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4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168" w:lineRule="exact"/>
        <w:rPr>
          <w:sz w:val="24"/>
          <w:szCs w:val="24"/>
          <w:color w:val="auto"/>
        </w:rPr>
      </w:pPr>
    </w:p>
    <w:p>
      <w:pPr>
        <w:ind w:left="1360" w:hanging="1012"/>
        <w:spacing w:after="0"/>
        <w:tabs>
          <w:tab w:leader="none" w:pos="13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 the quarterly period ended June 30, 2015</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OR</w:t>
      </w:r>
    </w:p>
    <w:p>
      <w:pPr>
        <w:spacing w:after="0" w:line="155" w:lineRule="exact"/>
        <w:rPr>
          <w:sz w:val="24"/>
          <w:szCs w:val="24"/>
          <w:color w:val="auto"/>
        </w:rPr>
      </w:pPr>
    </w:p>
    <w:p>
      <w:pPr>
        <w:ind w:left="4340" w:right="3960" w:hanging="3968"/>
        <w:spacing w:after="0" w:line="563" w:lineRule="auto"/>
        <w:tabs>
          <w:tab w:leader="none" w:pos="1363" w:val="left"/>
        </w:tabs>
        <w:numPr>
          <w:ilvl w:val="0"/>
          <w:numId w:val="2"/>
        </w:numPr>
        <w:rPr>
          <w:rFonts w:ascii="Arial" w:cs="Arial" w:eastAsia="Arial" w:hAnsi="Arial"/>
          <w:sz w:val="11"/>
          <w:szCs w:val="11"/>
          <w:color w:val="auto"/>
        </w:rPr>
      </w:pPr>
      <w:r>
        <w:rPr>
          <w:rFonts w:ascii="Arial" w:cs="Arial" w:eastAsia="Arial" w:hAnsi="Arial"/>
          <w:sz w:val="11"/>
          <w:szCs w:val="11"/>
          <w:b w:val="1"/>
          <w:bCs w:val="1"/>
          <w:color w:val="auto"/>
        </w:rPr>
        <w:t>TRANSITION REPORT PURSUANT TO SECTION 13 OR 15(d) OF THE SECURITIES EXCHANGE ACT OF 1934 For the transition period from _________to _________</w:t>
      </w:r>
    </w:p>
    <w:p>
      <w:pPr>
        <w:spacing w:after="0" w:line="1" w:lineRule="exact"/>
        <w:rPr>
          <w:rFonts w:ascii="Arial" w:cs="Arial" w:eastAsia="Arial" w:hAnsi="Arial"/>
          <w:sz w:val="11"/>
          <w:szCs w:val="11"/>
          <w:color w:val="auto"/>
        </w:rPr>
      </w:pPr>
    </w:p>
    <w:p>
      <w:pPr>
        <w:ind w:left="4900"/>
        <w:spacing w:after="0"/>
        <w:rPr>
          <w:rFonts w:ascii="Arial" w:cs="Arial" w:eastAsia="Arial" w:hAnsi="Arial"/>
          <w:sz w:val="11"/>
          <w:szCs w:val="11"/>
          <w:color w:val="auto"/>
        </w:rPr>
      </w:pPr>
      <w:r>
        <w:rPr>
          <w:rFonts w:ascii="Arial" w:cs="Arial" w:eastAsia="Arial" w:hAnsi="Arial"/>
          <w:sz w:val="12"/>
          <w:szCs w:val="12"/>
          <w:b w:val="1"/>
          <w:bCs w:val="1"/>
          <w:color w:val="auto"/>
        </w:rPr>
        <w:t>Commission File Number 0-1665</w:t>
      </w:r>
    </w:p>
    <w:p>
      <w:pPr>
        <w:spacing w:after="0" w:line="154" w:lineRule="exact"/>
        <w:rPr>
          <w:sz w:val="24"/>
          <w:szCs w:val="24"/>
          <w:color w:val="auto"/>
        </w:rPr>
      </w:pPr>
    </w:p>
    <w:tbl>
      <w:tblPr>
        <w:tblLayout w:type="fixed"/>
        <w:tblInd w:w="2540" w:type="dxa"/>
        <w:tblCellMar>
          <w:top w:w="0" w:type="dxa"/>
          <w:left w:w="0" w:type="dxa"/>
          <w:bottom w:w="0" w:type="dxa"/>
          <w:right w:w="0" w:type="dxa"/>
        </w:tblCellMar>
      </w:tblPr>
      <w:tr>
        <w:trPr>
          <w:trHeight w:val="258"/>
        </w:trPr>
        <w:tc>
          <w:tcPr>
            <w:tcW w:w="1580" w:type="dxa"/>
            <w:vAlign w:val="bottom"/>
          </w:tcPr>
          <w:p>
            <w:pPr>
              <w:spacing w:after="0"/>
              <w:rPr>
                <w:sz w:val="22"/>
                <w:szCs w:val="22"/>
                <w:color w:val="auto"/>
              </w:rPr>
            </w:pPr>
          </w:p>
        </w:tc>
        <w:tc>
          <w:tcPr>
            <w:tcW w:w="4620" w:type="dxa"/>
            <w:vAlign w:val="bottom"/>
          </w:tcPr>
          <w:p>
            <w:pPr>
              <w:jc w:val="center"/>
              <w:ind w:right="1335"/>
              <w:spacing w:after="0"/>
              <w:rPr>
                <w:sz w:val="20"/>
                <w:szCs w:val="20"/>
                <w:color w:val="auto"/>
              </w:rPr>
            </w:pPr>
            <w:r>
              <w:rPr>
                <w:rFonts w:ascii="Arial" w:cs="Arial" w:eastAsia="Arial" w:hAnsi="Arial"/>
                <w:sz w:val="22"/>
                <w:szCs w:val="22"/>
                <w:b w:val="1"/>
                <w:bCs w:val="1"/>
                <w:color w:val="auto"/>
                <w:w w:val="98"/>
              </w:rPr>
              <w:t>KINGSTONE COMPANIES, INC.</w:t>
            </w:r>
          </w:p>
        </w:tc>
      </w:tr>
      <w:tr>
        <w:trPr>
          <w:trHeight w:val="157"/>
        </w:trPr>
        <w:tc>
          <w:tcPr>
            <w:tcW w:w="1580" w:type="dxa"/>
            <w:vAlign w:val="bottom"/>
          </w:tcPr>
          <w:p>
            <w:pPr>
              <w:spacing w:after="0"/>
              <w:rPr>
                <w:sz w:val="13"/>
                <w:szCs w:val="13"/>
                <w:color w:val="auto"/>
              </w:rPr>
            </w:pPr>
          </w:p>
        </w:tc>
        <w:tc>
          <w:tcPr>
            <w:tcW w:w="4620" w:type="dxa"/>
            <w:vAlign w:val="bottom"/>
          </w:tcPr>
          <w:p>
            <w:pPr>
              <w:jc w:val="center"/>
              <w:ind w:right="1335"/>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r>
      <w:tr>
        <w:trPr>
          <w:trHeight w:val="293"/>
        </w:trPr>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4620" w:type="dxa"/>
            <w:vAlign w:val="bottom"/>
          </w:tcPr>
          <w:p>
            <w:pPr>
              <w:jc w:val="center"/>
              <w:ind w:left="3335"/>
              <w:spacing w:after="0"/>
              <w:rPr>
                <w:sz w:val="20"/>
                <w:szCs w:val="20"/>
                <w:color w:val="auto"/>
              </w:rPr>
            </w:pPr>
            <w:r>
              <w:rPr>
                <w:rFonts w:ascii="Arial" w:cs="Arial" w:eastAsia="Arial" w:hAnsi="Arial"/>
                <w:sz w:val="12"/>
                <w:szCs w:val="12"/>
                <w:b w:val="1"/>
                <w:bCs w:val="1"/>
                <w:color w:val="auto"/>
                <w:w w:val="90"/>
              </w:rPr>
              <w:t>36-2476480</w:t>
            </w:r>
          </w:p>
        </w:tc>
      </w:tr>
      <w:tr>
        <w:trPr>
          <w:trHeight w:val="144"/>
        </w:trPr>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1"/>
              </w:rPr>
              <w:t>(State or other jurisdiction of</w:t>
            </w:r>
          </w:p>
        </w:tc>
        <w:tc>
          <w:tcPr>
            <w:tcW w:w="4620" w:type="dxa"/>
            <w:vAlign w:val="bottom"/>
          </w:tcPr>
          <w:p>
            <w:pPr>
              <w:jc w:val="center"/>
              <w:ind w:left="3355"/>
              <w:spacing w:after="0"/>
              <w:rPr>
                <w:sz w:val="20"/>
                <w:szCs w:val="20"/>
                <w:color w:val="auto"/>
              </w:rPr>
            </w:pPr>
            <w:r>
              <w:rPr>
                <w:rFonts w:ascii="Arial" w:cs="Arial" w:eastAsia="Arial" w:hAnsi="Arial"/>
                <w:sz w:val="12"/>
                <w:szCs w:val="12"/>
                <w:b w:val="1"/>
                <w:bCs w:val="1"/>
                <w:color w:val="auto"/>
                <w:w w:val="95"/>
              </w:rPr>
              <w:t>(I.R.S. Employer</w:t>
            </w:r>
          </w:p>
        </w:tc>
      </w:tr>
      <w:tr>
        <w:trPr>
          <w:trHeight w:val="157"/>
        </w:trPr>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1"/>
              </w:rPr>
              <w:t>incorporation or organization)</w:t>
            </w:r>
          </w:p>
        </w:tc>
        <w:tc>
          <w:tcPr>
            <w:tcW w:w="4620" w:type="dxa"/>
            <w:vAlign w:val="bottom"/>
          </w:tcPr>
          <w:p>
            <w:pPr>
              <w:jc w:val="center"/>
              <w:ind w:left="3355"/>
              <w:spacing w:after="0"/>
              <w:rPr>
                <w:sz w:val="20"/>
                <w:szCs w:val="20"/>
                <w:color w:val="auto"/>
              </w:rPr>
            </w:pPr>
            <w:r>
              <w:rPr>
                <w:rFonts w:ascii="Arial" w:cs="Arial" w:eastAsia="Arial" w:hAnsi="Arial"/>
                <w:sz w:val="12"/>
                <w:szCs w:val="12"/>
                <w:b w:val="1"/>
                <w:bCs w:val="1"/>
                <w:color w:val="auto"/>
                <w:w w:val="94"/>
              </w:rPr>
              <w:t>Identification Number)</w:t>
            </w:r>
          </w:p>
        </w:tc>
      </w:tr>
      <w:tr>
        <w:trPr>
          <w:trHeight w:val="275"/>
        </w:trPr>
        <w:tc>
          <w:tcPr>
            <w:tcW w:w="1580" w:type="dxa"/>
            <w:vAlign w:val="bottom"/>
          </w:tcPr>
          <w:p>
            <w:pPr>
              <w:spacing w:after="0"/>
              <w:rPr>
                <w:sz w:val="23"/>
                <w:szCs w:val="23"/>
                <w:color w:val="auto"/>
              </w:rPr>
            </w:pPr>
          </w:p>
        </w:tc>
        <w:tc>
          <w:tcPr>
            <w:tcW w:w="4620" w:type="dxa"/>
            <w:vAlign w:val="bottom"/>
          </w:tcPr>
          <w:p>
            <w:pPr>
              <w:jc w:val="center"/>
              <w:ind w:right="1335"/>
              <w:spacing w:after="0"/>
              <w:rPr>
                <w:sz w:val="20"/>
                <w:szCs w:val="20"/>
                <w:color w:val="auto"/>
              </w:rPr>
            </w:pPr>
            <w:r>
              <w:rPr>
                <w:rFonts w:ascii="Arial" w:cs="Arial" w:eastAsia="Arial" w:hAnsi="Arial"/>
                <w:sz w:val="12"/>
                <w:szCs w:val="12"/>
                <w:b w:val="1"/>
                <w:bCs w:val="1"/>
                <w:color w:val="auto"/>
                <w:w w:val="87"/>
              </w:rPr>
              <w:t>15 Joys Lane</w:t>
            </w:r>
          </w:p>
        </w:tc>
      </w:tr>
      <w:tr>
        <w:trPr>
          <w:trHeight w:val="144"/>
        </w:trPr>
        <w:tc>
          <w:tcPr>
            <w:tcW w:w="1580" w:type="dxa"/>
            <w:vAlign w:val="bottom"/>
          </w:tcPr>
          <w:p>
            <w:pPr>
              <w:spacing w:after="0"/>
              <w:rPr>
                <w:sz w:val="12"/>
                <w:szCs w:val="12"/>
                <w:color w:val="auto"/>
              </w:rPr>
            </w:pPr>
          </w:p>
        </w:tc>
        <w:tc>
          <w:tcPr>
            <w:tcW w:w="4620" w:type="dxa"/>
            <w:vAlign w:val="bottom"/>
          </w:tcPr>
          <w:p>
            <w:pPr>
              <w:jc w:val="center"/>
              <w:ind w:right="1335"/>
              <w:spacing w:after="0"/>
              <w:rPr>
                <w:sz w:val="20"/>
                <w:szCs w:val="20"/>
                <w:color w:val="auto"/>
              </w:rPr>
            </w:pPr>
            <w:r>
              <w:rPr>
                <w:rFonts w:ascii="Arial" w:cs="Arial" w:eastAsia="Arial" w:hAnsi="Arial"/>
                <w:sz w:val="12"/>
                <w:szCs w:val="12"/>
                <w:b w:val="1"/>
                <w:bCs w:val="1"/>
                <w:color w:val="auto"/>
                <w:w w:val="91"/>
              </w:rPr>
              <w:t>Kingston, NY 12401</w:t>
            </w:r>
          </w:p>
        </w:tc>
      </w:tr>
      <w:tr>
        <w:trPr>
          <w:trHeight w:val="157"/>
        </w:trPr>
        <w:tc>
          <w:tcPr>
            <w:tcW w:w="1580" w:type="dxa"/>
            <w:vAlign w:val="bottom"/>
          </w:tcPr>
          <w:p>
            <w:pPr>
              <w:spacing w:after="0"/>
              <w:rPr>
                <w:sz w:val="13"/>
                <w:szCs w:val="13"/>
                <w:color w:val="auto"/>
              </w:rPr>
            </w:pPr>
          </w:p>
        </w:tc>
        <w:tc>
          <w:tcPr>
            <w:tcW w:w="4620" w:type="dxa"/>
            <w:vAlign w:val="bottom"/>
          </w:tcPr>
          <w:p>
            <w:pPr>
              <w:jc w:val="center"/>
              <w:ind w:right="1335"/>
              <w:spacing w:after="0"/>
              <w:rPr>
                <w:sz w:val="20"/>
                <w:szCs w:val="20"/>
                <w:color w:val="auto"/>
              </w:rPr>
            </w:pPr>
            <w:r>
              <w:rPr>
                <w:rFonts w:ascii="Arial" w:cs="Arial" w:eastAsia="Arial" w:hAnsi="Arial"/>
                <w:sz w:val="12"/>
                <w:szCs w:val="12"/>
                <w:b w:val="1"/>
                <w:bCs w:val="1"/>
                <w:color w:val="auto"/>
                <w:w w:val="88"/>
              </w:rPr>
              <w:t>(Address of principal executive offices)</w:t>
            </w:r>
          </w:p>
        </w:tc>
      </w:tr>
      <w:tr>
        <w:trPr>
          <w:trHeight w:val="293"/>
        </w:trPr>
        <w:tc>
          <w:tcPr>
            <w:tcW w:w="1580" w:type="dxa"/>
            <w:vAlign w:val="bottom"/>
          </w:tcPr>
          <w:p>
            <w:pPr>
              <w:spacing w:after="0"/>
              <w:rPr>
                <w:sz w:val="24"/>
                <w:szCs w:val="24"/>
                <w:color w:val="auto"/>
              </w:rPr>
            </w:pPr>
          </w:p>
        </w:tc>
        <w:tc>
          <w:tcPr>
            <w:tcW w:w="4620" w:type="dxa"/>
            <w:vAlign w:val="bottom"/>
          </w:tcPr>
          <w:p>
            <w:pPr>
              <w:jc w:val="center"/>
              <w:ind w:right="1335"/>
              <w:spacing w:after="0"/>
              <w:rPr>
                <w:sz w:val="20"/>
                <w:szCs w:val="20"/>
                <w:color w:val="auto"/>
              </w:rPr>
            </w:pPr>
            <w:r>
              <w:rPr>
                <w:rFonts w:ascii="Arial" w:cs="Arial" w:eastAsia="Arial" w:hAnsi="Arial"/>
                <w:sz w:val="12"/>
                <w:szCs w:val="12"/>
                <w:b w:val="1"/>
                <w:bCs w:val="1"/>
                <w:color w:val="auto"/>
                <w:w w:val="90"/>
              </w:rPr>
              <w:t>(845) 802-7900</w:t>
            </w:r>
          </w:p>
        </w:tc>
      </w:tr>
      <w:tr>
        <w:trPr>
          <w:trHeight w:val="157"/>
        </w:trPr>
        <w:tc>
          <w:tcPr>
            <w:tcW w:w="1580" w:type="dxa"/>
            <w:vAlign w:val="bottom"/>
          </w:tcPr>
          <w:p>
            <w:pPr>
              <w:spacing w:after="0"/>
              <w:rPr>
                <w:sz w:val="13"/>
                <w:szCs w:val="13"/>
                <w:color w:val="auto"/>
              </w:rPr>
            </w:pPr>
          </w:p>
        </w:tc>
        <w:tc>
          <w:tcPr>
            <w:tcW w:w="4620" w:type="dxa"/>
            <w:vAlign w:val="bottom"/>
          </w:tcPr>
          <w:p>
            <w:pPr>
              <w:jc w:val="center"/>
              <w:ind w:right="1335"/>
              <w:spacing w:after="0"/>
              <w:rPr>
                <w:sz w:val="20"/>
                <w:szCs w:val="20"/>
                <w:color w:val="auto"/>
              </w:rPr>
            </w:pPr>
            <w:r>
              <w:rPr>
                <w:rFonts w:ascii="Arial" w:cs="Arial" w:eastAsia="Arial" w:hAnsi="Arial"/>
                <w:sz w:val="12"/>
                <w:szCs w:val="12"/>
                <w:b w:val="1"/>
                <w:bCs w:val="1"/>
                <w:color w:val="auto"/>
                <w:w w:val="88"/>
              </w:rPr>
              <w:t>(Registrant’s telephone number, including area code)</w:t>
            </w:r>
          </w:p>
        </w:tc>
      </w:tr>
    </w:tbl>
    <w:p>
      <w:pPr>
        <w:spacing w:after="0" w:line="315" w:lineRule="exact"/>
        <w:rPr>
          <w:sz w:val="24"/>
          <w:szCs w:val="24"/>
          <w:color w:val="auto"/>
        </w:rPr>
      </w:pPr>
    </w:p>
    <w:p>
      <w:pPr>
        <w:ind w:right="220"/>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42" w:lineRule="exact"/>
        <w:rPr>
          <w:sz w:val="24"/>
          <w:szCs w:val="24"/>
          <w:color w:val="auto"/>
        </w:rPr>
      </w:pPr>
    </w:p>
    <w:p>
      <w:pPr>
        <w:ind w:right="80"/>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42"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40"/>
          </w:cols>
          <w:pgMar w:left="220" w:top="247" w:right="239" w:bottom="1440" w:gutter="0" w:footer="0" w:header="0"/>
        </w:sectPr>
      </w:pPr>
    </w:p>
    <w:p>
      <w:pPr>
        <w:spacing w:after="0" w:line="133" w:lineRule="exact"/>
        <w:rPr>
          <w:sz w:val="24"/>
          <w:szCs w:val="24"/>
          <w:color w:val="auto"/>
        </w:rPr>
      </w:pPr>
    </w:p>
    <w:p>
      <w:pPr>
        <w:ind w:left="560"/>
        <w:spacing w:after="0"/>
        <w:rPr>
          <w:sz w:val="20"/>
          <w:szCs w:val="20"/>
          <w:color w:val="auto"/>
        </w:rPr>
      </w:pPr>
      <w:r>
        <w:rPr>
          <w:rFonts w:ascii="Arial" w:cs="Arial" w:eastAsia="Arial" w:hAnsi="Arial"/>
          <w:sz w:val="10"/>
          <w:szCs w:val="10"/>
          <w:color w:val="auto"/>
        </w:rPr>
        <w:t>Large accelerated filer 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jc w:val="center"/>
        <w:ind w:right="820"/>
        <w:spacing w:after="0"/>
        <w:rPr>
          <w:sz w:val="20"/>
          <w:szCs w:val="20"/>
          <w:color w:val="auto"/>
        </w:rPr>
      </w:pPr>
      <w:r>
        <w:rPr>
          <w:rFonts w:ascii="Arial" w:cs="Arial" w:eastAsia="Arial" w:hAnsi="Arial"/>
          <w:sz w:val="12"/>
          <w:szCs w:val="12"/>
          <w:color w:val="auto"/>
        </w:rPr>
        <w:t>Non-accelerated filer o</w:t>
      </w:r>
    </w:p>
    <w:p>
      <w:pPr>
        <w:spacing w:after="0" w:line="15" w:lineRule="exact"/>
        <w:rPr>
          <w:sz w:val="24"/>
          <w:szCs w:val="24"/>
          <w:color w:val="auto"/>
        </w:rPr>
      </w:pPr>
    </w:p>
    <w:p>
      <w:pPr>
        <w:jc w:val="center"/>
        <w:ind w:right="820"/>
        <w:spacing w:after="0"/>
        <w:rPr>
          <w:sz w:val="20"/>
          <w:szCs w:val="20"/>
          <w:color w:val="auto"/>
        </w:rPr>
      </w:pPr>
      <w:r>
        <w:rPr>
          <w:rFonts w:ascii="Arial" w:cs="Arial" w:eastAsia="Arial" w:hAnsi="Arial"/>
          <w:sz w:val="11"/>
          <w:szCs w:val="1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p>
    <w:p>
      <w:pPr>
        <w:spacing w:after="0" w:line="334" w:lineRule="exact"/>
        <w:rPr>
          <w:sz w:val="24"/>
          <w:szCs w:val="24"/>
          <w:color w:val="auto"/>
        </w:rPr>
      </w:pPr>
    </w:p>
    <w:p>
      <w:pPr>
        <w:sectPr>
          <w:pgSz w:w="11900" w:h="16838" w:orient="portrait"/>
          <w:cols w:equalWidth="0" w:num="4">
            <w:col w:w="2420" w:space="720"/>
            <w:col w:w="1960" w:space="720"/>
            <w:col w:w="3060" w:space="720"/>
            <w:col w:w="1840"/>
          </w:cols>
          <w:pgMar w:left="220" w:top="247" w:right="239" w:bottom="1440" w:gutter="0" w:footer="0" w:header="0"/>
          <w:type w:val="continuous"/>
        </w:sectPr>
      </w:pPr>
    </w:p>
    <w:p>
      <w:pPr>
        <w:spacing w:after="0" w:line="115"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o No </w:t>
      </w:r>
      <w:r>
        <w:rPr>
          <w:rFonts w:ascii="MS PGothic" w:cs="MS PGothic" w:eastAsia="MS PGothic" w:hAnsi="MS PGothic"/>
          <w:sz w:val="10"/>
          <w:szCs w:val="10"/>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2"/>
          <w:szCs w:val="12"/>
          <w:color w:val="auto"/>
        </w:rPr>
        <w:t>As of August 12, 2015, there were 7,333,664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57785</wp:posOffset>
            </wp:positionV>
            <wp:extent cx="7299325"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32385"/>
                    </a:xfrm>
                    <a:prstGeom prst="rect">
                      <a:avLst/>
                    </a:prstGeom>
                    <a:noFill/>
                  </pic:spPr>
                </pic:pic>
              </a:graphicData>
            </a:graphic>
          </wp:anchor>
        </w:drawing>
      </w:r>
    </w:p>
    <w:p>
      <w:pPr>
        <w:sectPr>
          <w:pgSz w:w="11900" w:h="16838" w:orient="portrait"/>
          <w:cols w:equalWidth="0" w:num="1">
            <w:col w:w="11440"/>
          </w:cols>
          <w:pgMar w:left="220" w:top="24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2"/>
          <w:szCs w:val="12"/>
          <w:b w:val="1"/>
          <w:bCs w:val="1"/>
          <w:color w:val="auto"/>
        </w:rPr>
        <w:t>KINGSTONE COMPANIES,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INDEX</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500" w:type="dxa"/>
            <w:vAlign w:val="bottom"/>
          </w:tcPr>
          <w:p>
            <w:pPr>
              <w:spacing w:after="0"/>
              <w:rPr>
                <w:sz w:val="13"/>
                <w:szCs w:val="13"/>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6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PART I — FINANCIAL INFORMATION</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20"/>
              <w:spacing w:after="0"/>
              <w:rPr>
                <w:sz w:val="20"/>
                <w:szCs w:val="20"/>
                <w:color w:val="auto"/>
              </w:rPr>
            </w:pPr>
            <w:r>
              <w:rPr>
                <w:rFonts w:ascii="Arial" w:cs="Arial" w:eastAsia="Arial" w:hAnsi="Arial"/>
                <w:sz w:val="12"/>
                <w:szCs w:val="12"/>
                <w:color w:val="auto"/>
              </w:rPr>
              <w:t>Item 1 —</w:t>
            </w:r>
          </w:p>
        </w:tc>
        <w:tc>
          <w:tcPr>
            <w:tcW w:w="9500" w:type="dxa"/>
            <w:vAlign w:val="bottom"/>
          </w:tcPr>
          <w:p>
            <w:pPr>
              <w:ind w:left="360"/>
              <w:spacing w:after="0"/>
              <w:rPr>
                <w:sz w:val="20"/>
                <w:szCs w:val="20"/>
                <w:color w:val="auto"/>
              </w:rPr>
            </w:pPr>
            <w:r>
              <w:rPr>
                <w:rFonts w:ascii="Arial" w:cs="Arial" w:eastAsia="Arial" w:hAnsi="Arial"/>
                <w:sz w:val="12"/>
                <w:szCs w:val="12"/>
                <w:color w:val="auto"/>
              </w:rPr>
              <w:t>Financial Statements</w:t>
            </w: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Condensed Consolidated Balance Sheets at June 30, 2015 (Unaudited) and December 31, 2014</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500" w:type="dxa"/>
            <w:vAlign w:val="bottom"/>
          </w:tcPr>
          <w:p>
            <w:pPr>
              <w:ind w:left="360"/>
              <w:spacing w:after="0"/>
              <w:rPr>
                <w:sz w:val="20"/>
                <w:szCs w:val="20"/>
                <w:color w:val="auto"/>
              </w:rPr>
            </w:pPr>
            <w:r>
              <w:rPr>
                <w:rFonts w:ascii="Arial" w:cs="Arial" w:eastAsia="Arial" w:hAnsi="Arial"/>
                <w:sz w:val="12"/>
                <w:szCs w:val="12"/>
                <w:color w:val="auto"/>
              </w:rPr>
              <w:t>Condensed Consolidated Statements of Income and Comprehensive Income for the three months and six months ended June 30, 2015 (Unaudited) and 2014 (Unaudited)</w:t>
            </w: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Condensed Consolidated Statement of Stockholders’ Equity for the six months ended June 30, 2015 (Unaudited)</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500" w:type="dxa"/>
            <w:vAlign w:val="bottom"/>
          </w:tcPr>
          <w:p>
            <w:pPr>
              <w:ind w:left="360"/>
              <w:spacing w:after="0"/>
              <w:rPr>
                <w:sz w:val="20"/>
                <w:szCs w:val="20"/>
                <w:color w:val="auto"/>
              </w:rPr>
            </w:pPr>
            <w:r>
              <w:rPr>
                <w:rFonts w:ascii="Arial" w:cs="Arial" w:eastAsia="Arial" w:hAnsi="Arial"/>
                <w:sz w:val="12"/>
                <w:szCs w:val="12"/>
                <w:color w:val="auto"/>
              </w:rPr>
              <w:t>Condensed Consolidated Statements of Cash Flows for the six months ended June 30, 2015 (Unaudited) and 2014 (Unaudited)</w:t>
            </w: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Notes to Condensed Consolidated Financial Statements (Unaudited)</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20"/>
              <w:spacing w:after="0"/>
              <w:rPr>
                <w:sz w:val="20"/>
                <w:szCs w:val="20"/>
                <w:color w:val="auto"/>
              </w:rPr>
            </w:pPr>
            <w:r>
              <w:rPr>
                <w:rFonts w:ascii="Arial" w:cs="Arial" w:eastAsia="Arial" w:hAnsi="Arial"/>
                <w:sz w:val="12"/>
                <w:szCs w:val="12"/>
                <w:color w:val="auto"/>
              </w:rPr>
              <w:t>Item 2 —</w:t>
            </w:r>
          </w:p>
        </w:tc>
        <w:tc>
          <w:tcPr>
            <w:tcW w:w="9500" w:type="dxa"/>
            <w:vAlign w:val="bottom"/>
          </w:tcPr>
          <w:p>
            <w:pPr>
              <w:ind w:left="380"/>
              <w:spacing w:after="0"/>
              <w:rPr>
                <w:sz w:val="20"/>
                <w:szCs w:val="20"/>
                <w:color w:val="auto"/>
              </w:rPr>
            </w:pPr>
            <w:r>
              <w:rPr>
                <w:rFonts w:ascii="Arial" w:cs="Arial" w:eastAsia="Arial" w:hAnsi="Arial"/>
                <w:sz w:val="12"/>
                <w:szCs w:val="12"/>
                <w:color w:val="auto"/>
              </w:rPr>
              <w:t>Management’s Discussion and Analysis of Financial Condition and Results of Operations</w:t>
            </w: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Item 3 —</w:t>
            </w:r>
          </w:p>
        </w:tc>
        <w:tc>
          <w:tcPr>
            <w:tcW w:w="9500" w:type="dxa"/>
            <w:vAlign w:val="bottom"/>
            <w:shd w:val="clear" w:color="auto" w:fill="CCEEFF"/>
          </w:tcPr>
          <w:p>
            <w:pPr>
              <w:ind w:left="380"/>
              <w:spacing w:after="0"/>
              <w:rPr>
                <w:sz w:val="20"/>
                <w:szCs w:val="20"/>
                <w:color w:val="auto"/>
              </w:rPr>
            </w:pPr>
            <w:r>
              <w:rPr>
                <w:rFonts w:ascii="Arial" w:cs="Arial" w:eastAsia="Arial" w:hAnsi="Arial"/>
                <w:sz w:val="12"/>
                <w:szCs w:val="12"/>
                <w:color w:val="auto"/>
              </w:rPr>
              <w:t>Quantitative and Qualitative Disclosures About Market Risk</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20"/>
              <w:spacing w:after="0"/>
              <w:rPr>
                <w:sz w:val="20"/>
                <w:szCs w:val="20"/>
                <w:color w:val="auto"/>
              </w:rPr>
            </w:pPr>
            <w:r>
              <w:rPr>
                <w:rFonts w:ascii="Arial" w:cs="Arial" w:eastAsia="Arial" w:hAnsi="Arial"/>
                <w:sz w:val="12"/>
                <w:szCs w:val="12"/>
                <w:color w:val="auto"/>
              </w:rPr>
              <w:t>Item 4 —</w:t>
            </w:r>
          </w:p>
        </w:tc>
        <w:tc>
          <w:tcPr>
            <w:tcW w:w="9500" w:type="dxa"/>
            <w:vAlign w:val="bottom"/>
          </w:tcPr>
          <w:p>
            <w:pPr>
              <w:ind w:left="380"/>
              <w:spacing w:after="0"/>
              <w:rPr>
                <w:sz w:val="20"/>
                <w:szCs w:val="20"/>
                <w:color w:val="auto"/>
              </w:rPr>
            </w:pPr>
            <w:r>
              <w:rPr>
                <w:rFonts w:ascii="Arial" w:cs="Arial" w:eastAsia="Arial" w:hAnsi="Arial"/>
                <w:sz w:val="12"/>
                <w:szCs w:val="12"/>
                <w:color w:val="auto"/>
              </w:rPr>
              <w:t>Controls and Procedures</w:t>
            </w: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620" w:type="dxa"/>
            <w:vAlign w:val="bottom"/>
            <w:gridSpan w:val="2"/>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620" w:type="dxa"/>
            <w:vAlign w:val="bottom"/>
            <w:gridSpan w:val="2"/>
          </w:tcPr>
          <w:p>
            <w:pPr>
              <w:spacing w:after="0"/>
              <w:rPr>
                <w:sz w:val="20"/>
                <w:szCs w:val="20"/>
                <w:color w:val="auto"/>
              </w:rPr>
            </w:pPr>
            <w:r>
              <w:rPr>
                <w:rFonts w:ascii="Arial" w:cs="Arial" w:eastAsia="Arial" w:hAnsi="Arial"/>
                <w:sz w:val="12"/>
                <w:szCs w:val="12"/>
                <w:b w:val="1"/>
                <w:bCs w:val="1"/>
                <w:color w:val="auto"/>
              </w:rPr>
              <w:t>PART II — OTHER INFORMATION</w:t>
            </w: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Item 1 —</w:t>
            </w:r>
          </w:p>
        </w:tc>
        <w:tc>
          <w:tcPr>
            <w:tcW w:w="9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Legal Proceedings</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20"/>
              <w:spacing w:after="0"/>
              <w:rPr>
                <w:sz w:val="20"/>
                <w:szCs w:val="20"/>
                <w:color w:val="auto"/>
              </w:rPr>
            </w:pPr>
            <w:r>
              <w:rPr>
                <w:rFonts w:ascii="Arial" w:cs="Arial" w:eastAsia="Arial" w:hAnsi="Arial"/>
                <w:sz w:val="12"/>
                <w:szCs w:val="12"/>
                <w:color w:val="auto"/>
              </w:rPr>
              <w:t>Item 1A —</w:t>
            </w:r>
          </w:p>
        </w:tc>
        <w:tc>
          <w:tcPr>
            <w:tcW w:w="9500" w:type="dxa"/>
            <w:vAlign w:val="bottom"/>
          </w:tcPr>
          <w:p>
            <w:pPr>
              <w:ind w:left="360"/>
              <w:spacing w:after="0"/>
              <w:rPr>
                <w:sz w:val="20"/>
                <w:szCs w:val="20"/>
                <w:color w:val="auto"/>
              </w:rPr>
            </w:pPr>
            <w:r>
              <w:rPr>
                <w:rFonts w:ascii="Arial" w:cs="Arial" w:eastAsia="Arial" w:hAnsi="Arial"/>
                <w:sz w:val="12"/>
                <w:szCs w:val="12"/>
                <w:color w:val="auto"/>
              </w:rPr>
              <w:t>Risk Factors</w:t>
            </w: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Item 2 —</w:t>
            </w:r>
          </w:p>
        </w:tc>
        <w:tc>
          <w:tcPr>
            <w:tcW w:w="9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Unregistered Sales of Equity Securities and Use of Proceeds</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20"/>
              <w:spacing w:after="0"/>
              <w:rPr>
                <w:sz w:val="20"/>
                <w:szCs w:val="20"/>
                <w:color w:val="auto"/>
              </w:rPr>
            </w:pPr>
            <w:r>
              <w:rPr>
                <w:rFonts w:ascii="Arial" w:cs="Arial" w:eastAsia="Arial" w:hAnsi="Arial"/>
                <w:sz w:val="12"/>
                <w:szCs w:val="12"/>
                <w:color w:val="auto"/>
              </w:rPr>
              <w:t>Item 3 —</w:t>
            </w:r>
          </w:p>
        </w:tc>
        <w:tc>
          <w:tcPr>
            <w:tcW w:w="9500" w:type="dxa"/>
            <w:vAlign w:val="bottom"/>
          </w:tcPr>
          <w:p>
            <w:pPr>
              <w:ind w:left="360"/>
              <w:spacing w:after="0"/>
              <w:rPr>
                <w:sz w:val="20"/>
                <w:szCs w:val="20"/>
                <w:color w:val="auto"/>
              </w:rPr>
            </w:pPr>
            <w:r>
              <w:rPr>
                <w:rFonts w:ascii="Arial" w:cs="Arial" w:eastAsia="Arial" w:hAnsi="Arial"/>
                <w:sz w:val="12"/>
                <w:szCs w:val="12"/>
                <w:color w:val="auto"/>
              </w:rPr>
              <w:t>Defaults Upon Senior Securities</w:t>
            </w: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Item 4 —</w:t>
            </w:r>
          </w:p>
        </w:tc>
        <w:tc>
          <w:tcPr>
            <w:tcW w:w="9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Mine Safety Disclosures</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tcPr>
          <w:p>
            <w:pPr>
              <w:ind w:left="220"/>
              <w:spacing w:after="0"/>
              <w:rPr>
                <w:sz w:val="20"/>
                <w:szCs w:val="20"/>
                <w:color w:val="auto"/>
              </w:rPr>
            </w:pPr>
            <w:r>
              <w:rPr>
                <w:rFonts w:ascii="Arial" w:cs="Arial" w:eastAsia="Arial" w:hAnsi="Arial"/>
                <w:sz w:val="12"/>
                <w:szCs w:val="12"/>
                <w:color w:val="auto"/>
              </w:rPr>
              <w:t>Item 5 —</w:t>
            </w:r>
          </w:p>
        </w:tc>
        <w:tc>
          <w:tcPr>
            <w:tcW w:w="9500" w:type="dxa"/>
            <w:vAlign w:val="bottom"/>
          </w:tcPr>
          <w:p>
            <w:pPr>
              <w:ind w:left="360"/>
              <w:spacing w:after="0"/>
              <w:rPr>
                <w:sz w:val="20"/>
                <w:szCs w:val="20"/>
                <w:color w:val="auto"/>
              </w:rPr>
            </w:pPr>
            <w:r>
              <w:rPr>
                <w:rFonts w:ascii="Arial" w:cs="Arial" w:eastAsia="Arial" w:hAnsi="Arial"/>
                <w:sz w:val="12"/>
                <w:szCs w:val="12"/>
                <w:color w:val="auto"/>
              </w:rPr>
              <w:t>Other Information</w:t>
            </w: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Item 6 —</w:t>
            </w:r>
          </w:p>
        </w:tc>
        <w:tc>
          <w:tcPr>
            <w:tcW w:w="9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Exhibits</w:t>
            </w:r>
          </w:p>
        </w:tc>
        <w:tc>
          <w:tcPr>
            <w:tcW w:w="8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spacing w:after="0" w:line="136" w:lineRule="exact"/>
              <w:rPr>
                <w:sz w:val="20"/>
                <w:szCs w:val="20"/>
                <w:color w:val="auto"/>
              </w:rPr>
            </w:pPr>
            <w:r>
              <w:rPr>
                <w:rFonts w:ascii="Arial" w:cs="Arial" w:eastAsia="Arial" w:hAnsi="Arial"/>
                <w:sz w:val="12"/>
                <w:szCs w:val="12"/>
                <w:color w:val="auto"/>
              </w:rPr>
              <w:t>Signatures</w:t>
            </w:r>
          </w:p>
        </w:tc>
        <w:tc>
          <w:tcPr>
            <w:tcW w:w="9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40" w:type="dxa"/>
            <w:vAlign w:val="bottom"/>
            <w:gridSpan w:val="2"/>
          </w:tcPr>
          <w:p>
            <w:pPr>
              <w:spacing w:after="0"/>
              <w:rPr>
                <w:sz w:val="20"/>
                <w:szCs w:val="20"/>
                <w:color w:val="auto"/>
              </w:rPr>
            </w:pPr>
            <w:r>
              <w:rPr>
                <w:rFonts w:ascii="Arial" w:cs="Arial" w:eastAsia="Arial" w:hAnsi="Arial"/>
                <w:sz w:val="12"/>
                <w:szCs w:val="12"/>
                <w:color w:val="auto"/>
              </w:rPr>
              <w:t>EXHIBIT 3(a)</w:t>
            </w:r>
          </w:p>
        </w:tc>
        <w:tc>
          <w:tcPr>
            <w:tcW w:w="9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gridSpan w:val="2"/>
          </w:tcPr>
          <w:p>
            <w:pPr>
              <w:spacing w:after="0"/>
              <w:rPr>
                <w:sz w:val="20"/>
                <w:szCs w:val="20"/>
                <w:color w:val="auto"/>
              </w:rPr>
            </w:pPr>
            <w:r>
              <w:rPr>
                <w:rFonts w:ascii="Arial" w:cs="Arial" w:eastAsia="Arial" w:hAnsi="Arial"/>
                <w:sz w:val="12"/>
                <w:szCs w:val="12"/>
                <w:color w:val="auto"/>
              </w:rPr>
              <w:t>EXHIBIT 3(b)</w:t>
            </w:r>
          </w:p>
        </w:tc>
        <w:tc>
          <w:tcPr>
            <w:tcW w:w="9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gridSpan w:val="2"/>
          </w:tcPr>
          <w:p>
            <w:pPr>
              <w:spacing w:after="0"/>
              <w:rPr>
                <w:sz w:val="20"/>
                <w:szCs w:val="20"/>
                <w:color w:val="auto"/>
              </w:rPr>
            </w:pPr>
            <w:r>
              <w:rPr>
                <w:rFonts w:ascii="Arial" w:cs="Arial" w:eastAsia="Arial" w:hAnsi="Arial"/>
                <w:sz w:val="12"/>
                <w:szCs w:val="12"/>
                <w:color w:val="auto"/>
              </w:rPr>
              <w:t>EXHIBIT 31(a)</w:t>
            </w:r>
          </w:p>
        </w:tc>
        <w:tc>
          <w:tcPr>
            <w:tcW w:w="9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gridSpan w:val="2"/>
          </w:tcPr>
          <w:p>
            <w:pPr>
              <w:spacing w:after="0"/>
              <w:rPr>
                <w:sz w:val="20"/>
                <w:szCs w:val="20"/>
                <w:color w:val="auto"/>
              </w:rPr>
            </w:pPr>
            <w:r>
              <w:rPr>
                <w:rFonts w:ascii="Arial" w:cs="Arial" w:eastAsia="Arial" w:hAnsi="Arial"/>
                <w:sz w:val="12"/>
                <w:szCs w:val="12"/>
                <w:color w:val="auto"/>
              </w:rPr>
              <w:t>EXHIBIT 31(b)</w:t>
            </w:r>
          </w:p>
        </w:tc>
        <w:tc>
          <w:tcPr>
            <w:tcW w:w="9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2"/>
                <w:szCs w:val="12"/>
                <w:color w:val="auto"/>
              </w:rPr>
              <w:t>EXHIBIT 32</w:t>
            </w:r>
          </w:p>
        </w:tc>
        <w:tc>
          <w:tcPr>
            <w:tcW w:w="9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2"/>
          <w:szCs w:val="12"/>
          <w:color w:val="auto"/>
        </w:rPr>
        <w:t>EXHIBIT 101.INS XBRL Instance Document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EXHIBIT 101.SCH XBRL Taxonomy Extension Schema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EXHIBIT 101.CAL XBRL Taxonomy Extension Calculation Linkbase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EXHIBIT 101.DEF XBRL Taxonomy Extension Definition Linkbase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EXHIBIT 101.LAB XBRL Taxonomy Extension Label Linkbase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EXHIBIT 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274955</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 w:name="page3"/>
    <w:bookmarkEnd w:id="2"/>
    <w:p>
      <w:pPr>
        <w:spacing w:after="0"/>
        <w:rPr>
          <w:sz w:val="20"/>
          <w:szCs w:val="20"/>
          <w:color w:val="auto"/>
        </w:rPr>
      </w:pPr>
      <w:r>
        <w:rPr>
          <w:rFonts w:ascii="Arial" w:cs="Arial" w:eastAsia="Arial" w:hAnsi="Arial"/>
          <w:sz w:val="12"/>
          <w:szCs w:val="12"/>
          <w:u w:val="single" w:color="auto"/>
          <w:color w:val="auto"/>
        </w:rPr>
        <w:t>Forward-Looking Statements</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This Quarterly Report on Form 10-Q contains forward-looking statements as that term is defined in the federal securities laws. The events described in forward-looking statements contained in this Quarterly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which may affect our results include, but are not limited to, the risks and uncertainties discussed in Item 7 of our Annual Report on Form 10-K for the year ended December 31, 2014 under “Factors That May Affect Future Results and Financial Condition.”</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38"/>
        </w:trPr>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580" w:type="dxa"/>
            <w:vAlign w:val="bottom"/>
            <w:gridSpan w:val="4"/>
          </w:tcPr>
          <w:p>
            <w:pPr>
              <w:jc w:val="right"/>
              <w:ind w:right="2280"/>
              <w:spacing w:after="0"/>
              <w:rPr>
                <w:sz w:val="20"/>
                <w:szCs w:val="20"/>
                <w:color w:val="auto"/>
              </w:rPr>
            </w:pPr>
            <w:r>
              <w:rPr>
                <w:rFonts w:ascii="Arial" w:cs="Arial" w:eastAsia="Arial" w:hAnsi="Arial"/>
                <w:sz w:val="12"/>
                <w:szCs w:val="12"/>
                <w:b w:val="1"/>
                <w:bCs w:val="1"/>
                <w:color w:val="auto"/>
              </w:rPr>
              <w:t>PART I. FINANCIAL INFORMATION</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360" w:type="dxa"/>
            <w:vAlign w:val="bottom"/>
          </w:tcPr>
          <w:p>
            <w:pPr>
              <w:spacing w:after="0"/>
              <w:rPr>
                <w:sz w:val="20"/>
                <w:szCs w:val="20"/>
                <w:color w:val="auto"/>
              </w:rPr>
            </w:pPr>
            <w:r>
              <w:rPr>
                <w:rFonts w:ascii="Arial" w:cs="Arial" w:eastAsia="Arial" w:hAnsi="Arial"/>
                <w:sz w:val="12"/>
                <w:szCs w:val="12"/>
                <w:b w:val="1"/>
                <w:bCs w:val="1"/>
                <w:color w:val="auto"/>
                <w:w w:val="89"/>
              </w:rPr>
              <w:t>Item 1.</w:t>
            </w:r>
          </w:p>
        </w:tc>
        <w:tc>
          <w:tcPr>
            <w:tcW w:w="68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Arial" w:cs="Arial" w:eastAsia="Arial" w:hAnsi="Arial"/>
                <w:sz w:val="12"/>
                <w:szCs w:val="12"/>
                <w:b w:val="1"/>
                <w:bCs w:val="1"/>
                <w:color w:val="auto"/>
              </w:rPr>
              <w:t>Financial Statements</w:t>
            </w:r>
            <w:r>
              <w:rPr>
                <w:rFonts w:ascii="Arial" w:cs="Arial" w:eastAsia="Arial" w:hAnsi="Arial"/>
                <w:sz w:val="12"/>
                <w:szCs w:val="12"/>
                <w:color w:val="auto"/>
              </w:rPr>
              <w:t>.</w:t>
            </w:r>
          </w:p>
        </w:tc>
        <w:tc>
          <w:tcPr>
            <w:tcW w:w="7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700" w:type="dxa"/>
            <w:vAlign w:val="bottom"/>
            <w:gridSpan w:val="7"/>
            <w:vMerge w:val="restart"/>
          </w:tcPr>
          <w:p>
            <w:pPr>
              <w:jc w:val="right"/>
              <w:ind w:right="120"/>
              <w:spacing w:after="0"/>
              <w:rPr>
                <w:sz w:val="20"/>
                <w:szCs w:val="20"/>
                <w:color w:val="auto"/>
              </w:rPr>
            </w:pPr>
            <w:r>
              <w:rPr>
                <w:rFonts w:ascii="Arial" w:cs="Arial" w:eastAsia="Arial" w:hAnsi="Arial"/>
                <w:sz w:val="12"/>
                <w:szCs w:val="12"/>
                <w:b w:val="1"/>
                <w:bCs w:val="1"/>
                <w:color w:val="auto"/>
              </w:rPr>
              <w:t>KINGSTONE COMPANIES, INC. AND SUBSIDIARIES</w:t>
            </w:r>
          </w:p>
        </w:tc>
        <w:tc>
          <w:tcPr>
            <w:tcW w:w="0" w:type="dxa"/>
            <w:vAlign w:val="bottom"/>
          </w:tcPr>
          <w:p>
            <w:pPr>
              <w:spacing w:after="0" w:line="20" w:lineRule="exact"/>
              <w:rPr>
                <w:sz w:val="1"/>
                <w:szCs w:val="1"/>
                <w:color w:val="auto"/>
              </w:rPr>
            </w:pPr>
          </w:p>
        </w:tc>
      </w:tr>
      <w:tr>
        <w:trPr>
          <w:trHeight w:val="313"/>
        </w:trPr>
        <w:tc>
          <w:tcPr>
            <w:tcW w:w="44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Condensed Consolidated Balance Sheets</w:t>
            </w: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70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480" w:type="dxa"/>
            <w:vAlign w:val="bottom"/>
            <w:tcBorders>
              <w:bottom w:val="single" w:sz="8" w:color="auto"/>
            </w:tcBorders>
            <w:gridSpan w:val="4"/>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4"/>
              </w:rPr>
              <w:t>June 30,</w:t>
            </w:r>
          </w:p>
        </w:tc>
        <w:tc>
          <w:tcPr>
            <w:tcW w:w="160" w:type="dxa"/>
            <w:vAlign w:val="bottom"/>
          </w:tcPr>
          <w:p>
            <w:pPr>
              <w:spacing w:after="0"/>
              <w:rPr>
                <w:sz w:val="11"/>
                <w:szCs w:val="11"/>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center"/>
              <w:ind w:right="161"/>
              <w:spacing w:after="0" w:line="114" w:lineRule="exact"/>
              <w:rPr>
                <w:sz w:val="20"/>
                <w:szCs w:val="20"/>
                <w:color w:val="auto"/>
              </w:rPr>
            </w:pPr>
            <w:r>
              <w:rPr>
                <w:rFonts w:ascii="Arial" w:cs="Arial" w:eastAsia="Arial" w:hAnsi="Arial"/>
                <w:sz w:val="10"/>
                <w:szCs w:val="10"/>
                <w:b w:val="1"/>
                <w:bCs w:val="1"/>
                <w:color w:val="auto"/>
                <w:w w:val="89"/>
              </w:rPr>
              <w:t>2015</w:t>
            </w: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ind w:right="401"/>
              <w:spacing w:after="0" w:line="114" w:lineRule="exact"/>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82"/>
              </w:rPr>
              <w:t>Asset</w:t>
            </w:r>
            <w:r>
              <w:rPr>
                <w:rFonts w:ascii="Arial" w:cs="Arial" w:eastAsia="Arial" w:hAnsi="Arial"/>
                <w:sz w:val="12"/>
                <w:szCs w:val="12"/>
                <w:color w:val="auto"/>
                <w:w w:val="82"/>
              </w:rPr>
              <w:t>s</w:t>
            </w: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0"/>
                <w:szCs w:val="10"/>
                <w:color w:val="auto"/>
                <w:w w:val="86"/>
              </w:rPr>
              <w:t>(unaudited)</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140"/>
              <w:spacing w:after="0"/>
              <w:rPr>
                <w:sz w:val="20"/>
                <w:szCs w:val="20"/>
                <w:color w:val="auto"/>
              </w:rPr>
            </w:pPr>
            <w:r>
              <w:rPr>
                <w:rFonts w:ascii="Arial" w:cs="Arial" w:eastAsia="Arial" w:hAnsi="Arial"/>
                <w:sz w:val="12"/>
                <w:szCs w:val="12"/>
                <w:color w:val="auto"/>
              </w:rPr>
              <w:t>Fixed-maturity securities, held-to-maturity, at amortized cost (fair value of</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tcPr>
          <w:p>
            <w:pPr>
              <w:ind w:left="240"/>
              <w:spacing w:after="0"/>
              <w:rPr>
                <w:sz w:val="20"/>
                <w:szCs w:val="20"/>
                <w:color w:val="auto"/>
              </w:rPr>
            </w:pPr>
            <w:r>
              <w:rPr>
                <w:rFonts w:ascii="Arial" w:cs="Arial" w:eastAsia="Arial" w:hAnsi="Arial"/>
                <w:sz w:val="12"/>
                <w:szCs w:val="12"/>
                <w:color w:val="auto"/>
              </w:rPr>
              <w:t>$5,258,561 at June 30, 2015 and $5,395,054 at December 31, 2014)</w:t>
            </w:r>
          </w:p>
        </w:tc>
        <w:tc>
          <w:tcPr>
            <w:tcW w:w="4580" w:type="dxa"/>
            <w:vAlign w:val="bottom"/>
            <w:gridSpan w:val="4"/>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5,135,552</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5,128,735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140"/>
              <w:spacing w:after="0"/>
              <w:rPr>
                <w:sz w:val="20"/>
                <w:szCs w:val="20"/>
                <w:color w:val="auto"/>
              </w:rPr>
            </w:pPr>
            <w:r>
              <w:rPr>
                <w:rFonts w:ascii="Arial" w:cs="Arial" w:eastAsia="Arial" w:hAnsi="Arial"/>
                <w:sz w:val="12"/>
                <w:szCs w:val="12"/>
                <w:color w:val="auto"/>
              </w:rPr>
              <w:t>Fixed-maturity securities, available-for-sale, at fair value (amortized cost of</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tcPr>
          <w:p>
            <w:pPr>
              <w:ind w:left="240"/>
              <w:spacing w:after="0"/>
              <w:rPr>
                <w:sz w:val="20"/>
                <w:szCs w:val="20"/>
                <w:color w:val="auto"/>
              </w:rPr>
            </w:pPr>
            <w:r>
              <w:rPr>
                <w:rFonts w:ascii="Arial" w:cs="Arial" w:eastAsia="Arial" w:hAnsi="Arial"/>
                <w:sz w:val="12"/>
                <w:szCs w:val="12"/>
                <w:color w:val="auto"/>
              </w:rPr>
              <w:t>$56,207,791 at June 30, 2015 and $50,083,441 at December 31, 2014)</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56,852,094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51,120,859</w:t>
            </w: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140"/>
              <w:spacing w:after="0"/>
              <w:rPr>
                <w:sz w:val="20"/>
                <w:szCs w:val="20"/>
                <w:color w:val="auto"/>
              </w:rPr>
            </w:pPr>
            <w:r>
              <w:rPr>
                <w:rFonts w:ascii="Arial" w:cs="Arial" w:eastAsia="Arial" w:hAnsi="Arial"/>
                <w:sz w:val="12"/>
                <w:szCs w:val="12"/>
                <w:color w:val="auto"/>
              </w:rPr>
              <w:t>Equity securities, available-for-sale, at fair value (cost of $9,028,208</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 w:type="dxa"/>
            <w:vAlign w:val="bottom"/>
          </w:tcPr>
          <w:p>
            <w:pPr>
              <w:ind w:left="240"/>
              <w:spacing w:after="0"/>
              <w:rPr>
                <w:sz w:val="20"/>
                <w:szCs w:val="20"/>
                <w:color w:val="auto"/>
              </w:rPr>
            </w:pPr>
            <w:r>
              <w:rPr>
                <w:rFonts w:ascii="Arial" w:cs="Arial" w:eastAsia="Arial" w:hAnsi="Arial"/>
                <w:sz w:val="12"/>
                <w:szCs w:val="12"/>
                <w:color w:val="auto"/>
                <w:w w:val="99"/>
              </w:rPr>
              <w:t>at</w:t>
            </w:r>
          </w:p>
        </w:tc>
        <w:tc>
          <w:tcPr>
            <w:tcW w:w="4120" w:type="dxa"/>
            <w:vAlign w:val="bottom"/>
            <w:gridSpan w:val="3"/>
          </w:tcPr>
          <w:p>
            <w:pPr>
              <w:ind w:left="20"/>
              <w:spacing w:after="0"/>
              <w:rPr>
                <w:sz w:val="20"/>
                <w:szCs w:val="20"/>
                <w:color w:val="auto"/>
              </w:rPr>
            </w:pPr>
            <w:r>
              <w:rPr>
                <w:rFonts w:ascii="Arial" w:cs="Arial" w:eastAsia="Arial" w:hAnsi="Arial"/>
                <w:sz w:val="12"/>
                <w:szCs w:val="12"/>
                <w:color w:val="auto"/>
              </w:rPr>
              <w:t>June 30, 2015 and $7,621,309 at December 31, 2014)</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9,275,452</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8,017,729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Total investments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71,263,098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64,267,323</w:t>
            </w:r>
          </w:p>
        </w:tc>
        <w:tc>
          <w:tcPr>
            <w:tcW w:w="0" w:type="dxa"/>
            <w:vAlign w:val="bottom"/>
          </w:tcPr>
          <w:p>
            <w:pPr>
              <w:spacing w:after="0"/>
              <w:rPr>
                <w:sz w:val="1"/>
                <w:szCs w:val="1"/>
                <w:color w:val="auto"/>
              </w:rPr>
            </w:pPr>
          </w:p>
        </w:tc>
      </w:tr>
      <w:tr>
        <w:trPr>
          <w:trHeight w:val="144"/>
        </w:trPr>
        <w:tc>
          <w:tcPr>
            <w:tcW w:w="4480" w:type="dxa"/>
            <w:vAlign w:val="bottom"/>
            <w:gridSpan w:val="4"/>
          </w:tcPr>
          <w:p>
            <w:pPr>
              <w:ind w:left="140"/>
              <w:spacing w:after="0"/>
              <w:rPr>
                <w:sz w:val="20"/>
                <w:szCs w:val="20"/>
                <w:color w:val="auto"/>
              </w:rPr>
            </w:pPr>
            <w:r>
              <w:rPr>
                <w:rFonts w:ascii="Arial" w:cs="Arial" w:eastAsia="Arial" w:hAnsi="Arial"/>
                <w:sz w:val="12"/>
                <w:szCs w:val="12"/>
                <w:color w:val="auto"/>
              </w:rPr>
              <w:t>Cash and cash equivalents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3,932,397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9,906,878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140"/>
              <w:spacing w:after="0"/>
              <w:rPr>
                <w:sz w:val="20"/>
                <w:szCs w:val="20"/>
                <w:color w:val="auto"/>
              </w:rPr>
            </w:pPr>
            <w:r>
              <w:rPr>
                <w:rFonts w:ascii="Arial" w:cs="Arial" w:eastAsia="Arial" w:hAnsi="Arial"/>
                <w:sz w:val="12"/>
                <w:szCs w:val="12"/>
                <w:color w:val="auto"/>
              </w:rPr>
              <w:t>Premiums receivable, net of provision for uncollectible amounts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10,498,787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8,946,899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tcPr>
          <w:p>
            <w:pPr>
              <w:ind w:left="140"/>
              <w:spacing w:after="0"/>
              <w:rPr>
                <w:sz w:val="20"/>
                <w:szCs w:val="20"/>
                <w:color w:val="auto"/>
              </w:rPr>
            </w:pPr>
            <w:r>
              <w:rPr>
                <w:rFonts w:ascii="Arial" w:cs="Arial" w:eastAsia="Arial" w:hAnsi="Arial"/>
                <w:sz w:val="12"/>
                <w:szCs w:val="12"/>
                <w:color w:val="auto"/>
              </w:rPr>
              <w:t>Receivables - reinsurance contracts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2,126,803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1,301,549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140"/>
              <w:spacing w:after="0"/>
              <w:rPr>
                <w:sz w:val="20"/>
                <w:szCs w:val="20"/>
                <w:color w:val="auto"/>
              </w:rPr>
            </w:pPr>
            <w:r>
              <w:rPr>
                <w:rFonts w:ascii="Arial" w:cs="Arial" w:eastAsia="Arial" w:hAnsi="Arial"/>
                <w:sz w:val="12"/>
                <w:szCs w:val="12"/>
                <w:color w:val="auto"/>
              </w:rPr>
              <w:t>Reinsurance receivables, net of provision for uncollectible amounts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38,741,165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35,575,276</w:t>
            </w:r>
          </w:p>
        </w:tc>
        <w:tc>
          <w:tcPr>
            <w:tcW w:w="0" w:type="dxa"/>
            <w:vAlign w:val="bottom"/>
          </w:tcPr>
          <w:p>
            <w:pPr>
              <w:spacing w:after="0"/>
              <w:rPr>
                <w:sz w:val="1"/>
                <w:szCs w:val="1"/>
                <w:color w:val="auto"/>
              </w:rPr>
            </w:pPr>
          </w:p>
        </w:tc>
      </w:tr>
      <w:tr>
        <w:trPr>
          <w:trHeight w:val="144"/>
        </w:trPr>
        <w:tc>
          <w:tcPr>
            <w:tcW w:w="4480" w:type="dxa"/>
            <w:vAlign w:val="bottom"/>
            <w:gridSpan w:val="4"/>
          </w:tcPr>
          <w:p>
            <w:pPr>
              <w:ind w:left="140"/>
              <w:spacing w:after="0"/>
              <w:rPr>
                <w:sz w:val="20"/>
                <w:szCs w:val="20"/>
                <w:color w:val="auto"/>
              </w:rPr>
            </w:pPr>
            <w:r>
              <w:rPr>
                <w:rFonts w:ascii="Arial" w:cs="Arial" w:eastAsia="Arial" w:hAnsi="Arial"/>
                <w:sz w:val="12"/>
                <w:szCs w:val="12"/>
                <w:color w:val="auto"/>
              </w:rPr>
              <w:t>Deferred policy acquisition costs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9,759,078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8,985,981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140"/>
              <w:spacing w:after="0"/>
              <w:rPr>
                <w:sz w:val="20"/>
                <w:szCs w:val="20"/>
                <w:color w:val="auto"/>
              </w:rPr>
            </w:pPr>
            <w:r>
              <w:rPr>
                <w:rFonts w:ascii="Arial" w:cs="Arial" w:eastAsia="Arial" w:hAnsi="Arial"/>
                <w:sz w:val="12"/>
                <w:szCs w:val="12"/>
                <w:color w:val="auto"/>
              </w:rPr>
              <w:t>Intangible assets, net</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1,995,673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2,233,530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tcPr>
          <w:p>
            <w:pPr>
              <w:ind w:left="140"/>
              <w:spacing w:after="0"/>
              <w:rPr>
                <w:sz w:val="20"/>
                <w:szCs w:val="20"/>
                <w:color w:val="auto"/>
              </w:rPr>
            </w:pPr>
            <w:r>
              <w:rPr>
                <w:rFonts w:ascii="Arial" w:cs="Arial" w:eastAsia="Arial" w:hAnsi="Arial"/>
                <w:sz w:val="12"/>
                <w:szCs w:val="12"/>
                <w:color w:val="auto"/>
              </w:rPr>
              <w:t>Property and equipment, net of accumulated depreciation</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2,822,878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2,448,042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2"/>
                <w:szCs w:val="12"/>
                <w:color w:val="auto"/>
              </w:rPr>
              <w:t>Other assets</w:t>
            </w:r>
          </w:p>
        </w:tc>
        <w:tc>
          <w:tcPr>
            <w:tcW w:w="70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spacing w:after="0"/>
              <w:rPr>
                <w:sz w:val="12"/>
                <w:szCs w:val="12"/>
                <w:color w:val="auto"/>
              </w:rPr>
            </w:pPr>
          </w:p>
        </w:tc>
        <w:tc>
          <w:tcPr>
            <w:tcW w:w="20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1,321,191</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1,330,944</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gridSpan w:val="4"/>
          </w:tcPr>
          <w:p>
            <w:pPr>
              <w:ind w:left="20"/>
              <w:spacing w:after="0"/>
              <w:rPr>
                <w:sz w:val="20"/>
                <w:szCs w:val="20"/>
                <w:color w:val="auto"/>
              </w:rPr>
            </w:pPr>
            <w:r>
              <w:rPr>
                <w:rFonts w:ascii="Arial" w:cs="Arial" w:eastAsia="Arial" w:hAnsi="Arial"/>
                <w:sz w:val="12"/>
                <w:szCs w:val="12"/>
                <w:b w:val="1"/>
                <w:bCs w:val="1"/>
                <w:color w:val="auto"/>
              </w:rPr>
              <w:t>Total asset</w:t>
            </w:r>
            <w:r>
              <w:rPr>
                <w:rFonts w:ascii="Arial" w:cs="Arial" w:eastAsia="Arial" w:hAnsi="Arial"/>
                <w:sz w:val="12"/>
                <w:szCs w:val="12"/>
                <w:color w:val="auto"/>
              </w:rPr>
              <w:t>s</w:t>
            </w:r>
          </w:p>
        </w:tc>
        <w:tc>
          <w:tcPr>
            <w:tcW w:w="4580" w:type="dxa"/>
            <w:vAlign w:val="bottom"/>
            <w:gridSpan w:val="4"/>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142,461,070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134,996,422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040" w:type="dxa"/>
            <w:vAlign w:val="bottom"/>
            <w:gridSpan w:val="2"/>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480" w:type="dxa"/>
            <w:vAlign w:val="bottom"/>
            <w:gridSpan w:val="4"/>
          </w:tcPr>
          <w:p>
            <w:pPr>
              <w:ind w:left="20"/>
              <w:spacing w:after="0"/>
              <w:rPr>
                <w:sz w:val="20"/>
                <w:szCs w:val="20"/>
                <w:color w:val="auto"/>
              </w:rPr>
            </w:pPr>
            <w:r>
              <w:rPr>
                <w:rFonts w:ascii="Arial" w:cs="Arial" w:eastAsia="Arial" w:hAnsi="Arial"/>
                <w:sz w:val="12"/>
                <w:szCs w:val="12"/>
                <w:b w:val="1"/>
                <w:bCs w:val="1"/>
                <w:color w:val="auto"/>
              </w:rPr>
              <w:t>Liabilitie</w:t>
            </w:r>
            <w:r>
              <w:rPr>
                <w:rFonts w:ascii="Arial" w:cs="Arial" w:eastAsia="Arial" w:hAnsi="Arial"/>
                <w:sz w:val="12"/>
                <w:szCs w:val="12"/>
                <w:color w:val="auto"/>
              </w:rPr>
              <w:t>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140"/>
              <w:spacing w:after="0"/>
              <w:rPr>
                <w:sz w:val="20"/>
                <w:szCs w:val="20"/>
                <w:color w:val="auto"/>
              </w:rPr>
            </w:pPr>
            <w:r>
              <w:rPr>
                <w:rFonts w:ascii="Arial" w:cs="Arial" w:eastAsia="Arial" w:hAnsi="Arial"/>
                <w:sz w:val="12"/>
                <w:szCs w:val="12"/>
                <w:color w:val="auto"/>
              </w:rPr>
              <w:t>Loss and loss adjustment expense reserves</w:t>
            </w:r>
          </w:p>
        </w:tc>
        <w:tc>
          <w:tcPr>
            <w:tcW w:w="4580" w:type="dxa"/>
            <w:vAlign w:val="bottom"/>
            <w:gridSpan w:val="4"/>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41,248,820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39,912,683</w:t>
            </w:r>
          </w:p>
        </w:tc>
        <w:tc>
          <w:tcPr>
            <w:tcW w:w="0" w:type="dxa"/>
            <w:vAlign w:val="bottom"/>
          </w:tcPr>
          <w:p>
            <w:pPr>
              <w:spacing w:after="0"/>
              <w:rPr>
                <w:sz w:val="1"/>
                <w:szCs w:val="1"/>
                <w:color w:val="auto"/>
              </w:rPr>
            </w:pPr>
          </w:p>
        </w:tc>
      </w:tr>
      <w:tr>
        <w:trPr>
          <w:trHeight w:val="144"/>
        </w:trPr>
        <w:tc>
          <w:tcPr>
            <w:tcW w:w="4480" w:type="dxa"/>
            <w:vAlign w:val="bottom"/>
            <w:gridSpan w:val="4"/>
          </w:tcPr>
          <w:p>
            <w:pPr>
              <w:ind w:left="140"/>
              <w:spacing w:after="0"/>
              <w:rPr>
                <w:sz w:val="20"/>
                <w:szCs w:val="20"/>
                <w:color w:val="auto"/>
              </w:rPr>
            </w:pPr>
            <w:r>
              <w:rPr>
                <w:rFonts w:ascii="Arial" w:cs="Arial" w:eastAsia="Arial" w:hAnsi="Arial"/>
                <w:sz w:val="12"/>
                <w:szCs w:val="12"/>
                <w:color w:val="auto"/>
              </w:rPr>
              <w:t>Unearned premiums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44,109,982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40,458,041</w:t>
            </w: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Advance premiums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1,382,659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1,006,582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tcPr>
          <w:p>
            <w:pPr>
              <w:ind w:left="140"/>
              <w:spacing w:after="0"/>
              <w:rPr>
                <w:sz w:val="20"/>
                <w:szCs w:val="20"/>
                <w:color w:val="auto"/>
              </w:rPr>
            </w:pPr>
            <w:r>
              <w:rPr>
                <w:rFonts w:ascii="Arial" w:cs="Arial" w:eastAsia="Arial" w:hAnsi="Arial"/>
                <w:sz w:val="12"/>
                <w:szCs w:val="12"/>
                <w:color w:val="auto"/>
              </w:rPr>
              <w:t>Reinsurance balances payable</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2,749,770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2,096,363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140"/>
              <w:spacing w:after="0"/>
              <w:rPr>
                <w:sz w:val="20"/>
                <w:szCs w:val="20"/>
                <w:color w:val="auto"/>
              </w:rPr>
            </w:pPr>
            <w:r>
              <w:rPr>
                <w:rFonts w:ascii="Arial" w:cs="Arial" w:eastAsia="Arial" w:hAnsi="Arial"/>
                <w:sz w:val="12"/>
                <w:szCs w:val="12"/>
                <w:color w:val="auto"/>
              </w:rPr>
              <w:t>Deferred ceding commission revenue</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6,328,325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5,956,540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tcPr>
          <w:p>
            <w:pPr>
              <w:ind w:left="120"/>
              <w:spacing w:after="0"/>
              <w:rPr>
                <w:sz w:val="20"/>
                <w:szCs w:val="20"/>
                <w:color w:val="auto"/>
              </w:rPr>
            </w:pPr>
            <w:r>
              <w:rPr>
                <w:rFonts w:ascii="Arial" w:cs="Arial" w:eastAsia="Arial" w:hAnsi="Arial"/>
                <w:sz w:val="12"/>
                <w:szCs w:val="12"/>
                <w:color w:val="auto"/>
              </w:rPr>
              <w:t>Accounts payable, accrued expenses and other liabilities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3,275,664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3,928,137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140"/>
              <w:spacing w:after="0"/>
              <w:rPr>
                <w:sz w:val="20"/>
                <w:szCs w:val="20"/>
                <w:color w:val="auto"/>
              </w:rPr>
            </w:pPr>
            <w:r>
              <w:rPr>
                <w:rFonts w:ascii="Arial" w:cs="Arial" w:eastAsia="Arial" w:hAnsi="Arial"/>
                <w:sz w:val="12"/>
                <w:szCs w:val="12"/>
                <w:color w:val="auto"/>
              </w:rPr>
              <w:t>Income taxes payable</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454,133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tcPr>
          <w:p>
            <w:pPr>
              <w:ind w:left="140"/>
              <w:spacing w:after="0"/>
              <w:rPr>
                <w:sz w:val="20"/>
                <w:szCs w:val="20"/>
                <w:color w:val="auto"/>
              </w:rPr>
            </w:pPr>
            <w:r>
              <w:rPr>
                <w:rFonts w:ascii="Arial" w:cs="Arial" w:eastAsia="Arial" w:hAnsi="Arial"/>
                <w:sz w:val="12"/>
                <w:szCs w:val="12"/>
                <w:color w:val="auto"/>
              </w:rPr>
              <w:t>Deferred income taxes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888,044</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1,137,180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80" w:type="dxa"/>
            <w:vAlign w:val="bottom"/>
            <w:gridSpan w:val="4"/>
            <w:shd w:val="clear" w:color="auto" w:fill="CCEEFF"/>
          </w:tcPr>
          <w:p>
            <w:pPr>
              <w:ind w:left="20"/>
              <w:spacing w:after="0"/>
              <w:rPr>
                <w:sz w:val="20"/>
                <w:szCs w:val="20"/>
                <w:color w:val="auto"/>
              </w:rPr>
            </w:pPr>
            <w:r>
              <w:rPr>
                <w:rFonts w:ascii="Arial" w:cs="Arial" w:eastAsia="Arial" w:hAnsi="Arial"/>
                <w:sz w:val="12"/>
                <w:szCs w:val="12"/>
                <w:b w:val="1"/>
                <w:bCs w:val="1"/>
                <w:color w:val="auto"/>
              </w:rPr>
              <w:t>Total liabilitie</w:t>
            </w:r>
            <w:r>
              <w:rPr>
                <w:rFonts w:ascii="Arial" w:cs="Arial" w:eastAsia="Arial" w:hAnsi="Arial"/>
                <w:sz w:val="12"/>
                <w:szCs w:val="12"/>
                <w:color w:val="auto"/>
              </w:rPr>
              <w:t>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100,437,397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94,495,526</w:t>
            </w:r>
          </w:p>
        </w:tc>
        <w:tc>
          <w:tcPr>
            <w:tcW w:w="0" w:type="dxa"/>
            <w:vAlign w:val="bottom"/>
          </w:tcPr>
          <w:p>
            <w:pPr>
              <w:spacing w:after="0"/>
              <w:rPr>
                <w:sz w:val="1"/>
                <w:szCs w:val="1"/>
                <w:color w:val="auto"/>
              </w:rPr>
            </w:pPr>
          </w:p>
        </w:tc>
      </w:tr>
      <w:tr>
        <w:trPr>
          <w:trHeight w:val="142"/>
        </w:trPr>
        <w:tc>
          <w:tcPr>
            <w:tcW w:w="1040" w:type="dxa"/>
            <w:vAlign w:val="bottom"/>
            <w:tcBorders>
              <w:top w:val="single" w:sz="8" w:color="CCEEFF"/>
            </w:tcBorders>
            <w:gridSpan w:val="2"/>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236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600" w:type="dxa"/>
            <w:vAlign w:val="bottom"/>
            <w:tcBorders>
              <w:top w:val="single" w:sz="8" w:color="CCEEFF"/>
            </w:tcBorders>
          </w:tcPr>
          <w:p>
            <w:pPr>
              <w:spacing w:after="0"/>
              <w:rPr>
                <w:sz w:val="12"/>
                <w:szCs w:val="12"/>
                <w:color w:val="auto"/>
              </w:rPr>
            </w:pPr>
          </w:p>
        </w:tc>
        <w:tc>
          <w:tcPr>
            <w:tcW w:w="206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20"/>
              <w:spacing w:after="0"/>
              <w:rPr>
                <w:sz w:val="20"/>
                <w:szCs w:val="20"/>
                <w:color w:val="auto"/>
              </w:rPr>
            </w:pPr>
            <w:r>
              <w:rPr>
                <w:rFonts w:ascii="Arial" w:cs="Arial" w:eastAsia="Arial" w:hAnsi="Arial"/>
                <w:sz w:val="12"/>
                <w:szCs w:val="12"/>
                <w:b w:val="1"/>
                <w:bCs w:val="1"/>
                <w:color w:val="auto"/>
              </w:rPr>
              <w:t>Commitments and Contingencies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20"/>
              <w:spacing w:after="0"/>
              <w:rPr>
                <w:sz w:val="20"/>
                <w:szCs w:val="20"/>
                <w:color w:val="auto"/>
              </w:rPr>
            </w:pPr>
            <w:r>
              <w:rPr>
                <w:rFonts w:ascii="Arial" w:cs="Arial" w:eastAsia="Arial" w:hAnsi="Arial"/>
                <w:sz w:val="12"/>
                <w:szCs w:val="12"/>
                <w:b w:val="1"/>
                <w:bCs w:val="1"/>
                <w:color w:val="auto"/>
              </w:rPr>
              <w:t>Stockholders' Equity</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tcPr>
          <w:p>
            <w:pPr>
              <w:ind w:left="140"/>
              <w:spacing w:after="0"/>
              <w:rPr>
                <w:sz w:val="20"/>
                <w:szCs w:val="20"/>
                <w:color w:val="auto"/>
              </w:rPr>
            </w:pPr>
            <w:r>
              <w:rPr>
                <w:rFonts w:ascii="Arial" w:cs="Arial" w:eastAsia="Arial" w:hAnsi="Arial"/>
                <w:sz w:val="12"/>
                <w:szCs w:val="12"/>
                <w:color w:val="auto"/>
              </w:rPr>
              <w:t>Preferred stock, $.01 par value; authorized 2,500,000 shares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140"/>
              <w:spacing w:after="0"/>
              <w:rPr>
                <w:sz w:val="20"/>
                <w:szCs w:val="20"/>
                <w:color w:val="auto"/>
              </w:rPr>
            </w:pPr>
            <w:r>
              <w:rPr>
                <w:rFonts w:ascii="Arial" w:cs="Arial" w:eastAsia="Arial" w:hAnsi="Arial"/>
                <w:sz w:val="12"/>
                <w:szCs w:val="12"/>
                <w:color w:val="auto"/>
                <w:w w:val="92"/>
              </w:rPr>
              <w:t>Common stock, $.01 par value; authorized 20,000,000 shares; issued 8,286,452 shares</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tcPr>
          <w:p>
            <w:pPr>
              <w:ind w:left="240"/>
              <w:spacing w:after="0"/>
              <w:rPr>
                <w:sz w:val="20"/>
                <w:szCs w:val="20"/>
                <w:color w:val="auto"/>
              </w:rPr>
            </w:pPr>
            <w:r>
              <w:rPr>
                <w:rFonts w:ascii="Arial" w:cs="Arial" w:eastAsia="Arial" w:hAnsi="Arial"/>
                <w:sz w:val="12"/>
                <w:szCs w:val="12"/>
                <w:color w:val="auto"/>
              </w:rPr>
              <w:t>at June 30, 2015 and 8,235,095 shares at December 31, 2014; outstanding</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240"/>
              <w:spacing w:after="0"/>
              <w:rPr>
                <w:sz w:val="20"/>
                <w:szCs w:val="20"/>
                <w:color w:val="auto"/>
              </w:rPr>
            </w:pPr>
            <w:r>
              <w:rPr>
                <w:rFonts w:ascii="Arial" w:cs="Arial" w:eastAsia="Arial" w:hAnsi="Arial"/>
                <w:sz w:val="12"/>
                <w:szCs w:val="12"/>
                <w:color w:val="auto"/>
                <w:w w:val="98"/>
              </w:rPr>
              <w:t>7,333,664 shares at June 30, 2015 and 7,308,757 shares at December 31, 2014</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82,865</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82,351</w:t>
            </w:r>
          </w:p>
        </w:tc>
        <w:tc>
          <w:tcPr>
            <w:tcW w:w="0" w:type="dxa"/>
            <w:vAlign w:val="bottom"/>
          </w:tcPr>
          <w:p>
            <w:pPr>
              <w:spacing w:after="0"/>
              <w:rPr>
                <w:sz w:val="1"/>
                <w:szCs w:val="1"/>
                <w:color w:val="auto"/>
              </w:rPr>
            </w:pPr>
          </w:p>
        </w:tc>
      </w:tr>
      <w:tr>
        <w:trPr>
          <w:trHeight w:val="144"/>
        </w:trPr>
        <w:tc>
          <w:tcPr>
            <w:tcW w:w="4480" w:type="dxa"/>
            <w:vAlign w:val="bottom"/>
            <w:gridSpan w:val="4"/>
          </w:tcPr>
          <w:p>
            <w:pPr>
              <w:ind w:left="140"/>
              <w:spacing w:after="0"/>
              <w:rPr>
                <w:sz w:val="20"/>
                <w:szCs w:val="20"/>
                <w:color w:val="auto"/>
              </w:rPr>
            </w:pPr>
            <w:r>
              <w:rPr>
                <w:rFonts w:ascii="Arial" w:cs="Arial" w:eastAsia="Arial" w:hAnsi="Arial"/>
                <w:sz w:val="12"/>
                <w:szCs w:val="12"/>
                <w:color w:val="auto"/>
              </w:rPr>
              <w:t>Capital in excess of par</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32,928,127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32,873,383</w:t>
            </w: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income</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588,420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946,332</w:t>
            </w:r>
          </w:p>
        </w:tc>
        <w:tc>
          <w:tcPr>
            <w:tcW w:w="0" w:type="dxa"/>
            <w:vAlign w:val="bottom"/>
          </w:tcPr>
          <w:p>
            <w:pPr>
              <w:spacing w:after="0"/>
              <w:rPr>
                <w:sz w:val="1"/>
                <w:szCs w:val="1"/>
                <w:color w:val="auto"/>
              </w:rPr>
            </w:pPr>
          </w:p>
        </w:tc>
      </w:tr>
      <w:tr>
        <w:trPr>
          <w:trHeight w:val="144"/>
        </w:trPr>
        <w:tc>
          <w:tcPr>
            <w:tcW w:w="4480" w:type="dxa"/>
            <w:vAlign w:val="bottom"/>
            <w:gridSpan w:val="4"/>
          </w:tcPr>
          <w:p>
            <w:pPr>
              <w:ind w:left="140"/>
              <w:spacing w:after="0"/>
              <w:rPr>
                <w:sz w:val="20"/>
                <w:szCs w:val="20"/>
                <w:color w:val="auto"/>
              </w:rPr>
            </w:pPr>
            <w:r>
              <w:rPr>
                <w:rFonts w:ascii="Arial" w:cs="Arial" w:eastAsia="Arial" w:hAnsi="Arial"/>
                <w:sz w:val="12"/>
                <w:szCs w:val="12"/>
                <w:color w:val="auto"/>
              </w:rPr>
              <w:t>Retained earnings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10,232,494</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8,203,003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43,831,906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42,105,069</w:t>
            </w:r>
          </w:p>
        </w:tc>
        <w:tc>
          <w:tcPr>
            <w:tcW w:w="0" w:type="dxa"/>
            <w:vAlign w:val="bottom"/>
          </w:tcPr>
          <w:p>
            <w:pPr>
              <w:spacing w:after="0"/>
              <w:rPr>
                <w:sz w:val="1"/>
                <w:szCs w:val="1"/>
                <w:color w:val="auto"/>
              </w:rPr>
            </w:pPr>
          </w:p>
        </w:tc>
      </w:tr>
      <w:tr>
        <w:trPr>
          <w:trHeight w:val="144"/>
        </w:trPr>
        <w:tc>
          <w:tcPr>
            <w:tcW w:w="4480" w:type="dxa"/>
            <w:vAlign w:val="bottom"/>
            <w:gridSpan w:val="4"/>
          </w:tcPr>
          <w:p>
            <w:pPr>
              <w:ind w:left="120"/>
              <w:spacing w:after="0"/>
              <w:rPr>
                <w:sz w:val="20"/>
                <w:szCs w:val="20"/>
                <w:color w:val="auto"/>
              </w:rPr>
            </w:pPr>
            <w:r>
              <w:rPr>
                <w:rFonts w:ascii="Arial" w:cs="Arial" w:eastAsia="Arial" w:hAnsi="Arial"/>
                <w:sz w:val="12"/>
                <w:szCs w:val="12"/>
                <w:color w:val="auto"/>
              </w:rPr>
              <w:t>Treasury stock, at cost, 952,788 shares at June 30, 2015 and 926,338 shares</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shd w:val="clear" w:color="auto" w:fill="CCEEFF"/>
          </w:tcPr>
          <w:p>
            <w:pPr>
              <w:ind w:left="240"/>
              <w:spacing w:after="0"/>
              <w:rPr>
                <w:sz w:val="20"/>
                <w:szCs w:val="20"/>
                <w:color w:val="auto"/>
              </w:rPr>
            </w:pPr>
            <w:r>
              <w:rPr>
                <w:rFonts w:ascii="Arial" w:cs="Arial" w:eastAsia="Arial" w:hAnsi="Arial"/>
                <w:sz w:val="12"/>
                <w:szCs w:val="12"/>
                <w:color w:val="auto"/>
              </w:rPr>
              <w:t>at December 31, 2014</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(1,808,233)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(1,604,173)</w:t>
            </w:r>
          </w:p>
        </w:tc>
        <w:tc>
          <w:tcPr>
            <w:tcW w:w="0" w:type="dxa"/>
            <w:vAlign w:val="bottom"/>
          </w:tcPr>
          <w:p>
            <w:pPr>
              <w:spacing w:after="0"/>
              <w:rPr>
                <w:sz w:val="1"/>
                <w:szCs w:val="1"/>
                <w:color w:val="auto"/>
              </w:rPr>
            </w:pPr>
          </w:p>
        </w:tc>
      </w:tr>
      <w:tr>
        <w:trPr>
          <w:trHeight w:val="20"/>
        </w:trPr>
        <w:tc>
          <w:tcPr>
            <w:tcW w:w="3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80" w:type="dxa"/>
            <w:vAlign w:val="bottom"/>
            <w:gridSpan w:val="4"/>
          </w:tcPr>
          <w:p>
            <w:pPr>
              <w:ind w:left="20"/>
              <w:spacing w:after="0"/>
              <w:rPr>
                <w:sz w:val="20"/>
                <w:szCs w:val="20"/>
                <w:color w:val="auto"/>
              </w:rPr>
            </w:pPr>
            <w:r>
              <w:rPr>
                <w:rFonts w:ascii="Arial" w:cs="Arial" w:eastAsia="Arial" w:hAnsi="Arial"/>
                <w:sz w:val="12"/>
                <w:szCs w:val="12"/>
                <w:b w:val="1"/>
                <w:bCs w:val="1"/>
                <w:color w:val="auto"/>
              </w:rPr>
              <w:t>Total stockholders' equity</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41,720,503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40,500,896</w:t>
            </w:r>
          </w:p>
        </w:tc>
        <w:tc>
          <w:tcPr>
            <w:tcW w:w="0" w:type="dxa"/>
            <w:vAlign w:val="bottom"/>
          </w:tcPr>
          <w:p>
            <w:pPr>
              <w:spacing w:after="0"/>
              <w:rPr>
                <w:sz w:val="1"/>
                <w:szCs w:val="1"/>
                <w:color w:val="auto"/>
              </w:rPr>
            </w:pPr>
          </w:p>
        </w:tc>
      </w:tr>
      <w:tr>
        <w:trPr>
          <w:trHeight w:val="142"/>
        </w:trPr>
        <w:tc>
          <w:tcPr>
            <w:tcW w:w="1040" w:type="dxa"/>
            <w:vAlign w:val="bottom"/>
            <w:gridSpan w:val="2"/>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4"/>
          </w:tcPr>
          <w:p>
            <w:pPr>
              <w:ind w:left="20"/>
              <w:spacing w:after="0"/>
              <w:rPr>
                <w:sz w:val="20"/>
                <w:szCs w:val="20"/>
                <w:color w:val="auto"/>
              </w:rPr>
            </w:pPr>
            <w:r>
              <w:rPr>
                <w:rFonts w:ascii="Arial" w:cs="Arial" w:eastAsia="Arial" w:hAnsi="Arial"/>
                <w:sz w:val="12"/>
                <w:szCs w:val="12"/>
                <w:b w:val="1"/>
                <w:bCs w:val="1"/>
                <w:color w:val="auto"/>
              </w:rPr>
              <w:t>Total liabilities and stockholders' equity</w:t>
            </w:r>
          </w:p>
        </w:tc>
        <w:tc>
          <w:tcPr>
            <w:tcW w:w="4580" w:type="dxa"/>
            <w:vAlign w:val="bottom"/>
            <w:gridSpan w:val="4"/>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142,461,070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134,996,422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30377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condensed consolidated financial statements.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0" w:right="199" w:bottom="1440" w:gutter="0" w:footer="0" w:header="0"/>
        </w:sectPr>
      </w:pPr>
    </w:p>
    <w:bookmarkStart w:id="4" w:name="page5"/>
    <w:bookmarkEnd w:id="4"/>
    <w:p>
      <w:pPr>
        <w:ind w:left="8420"/>
        <w:spacing w:after="0"/>
        <w:rPr>
          <w:sz w:val="20"/>
          <w:szCs w:val="20"/>
          <w:color w:val="auto"/>
        </w:rPr>
      </w:pPr>
      <w:r>
        <w:rPr>
          <w:rFonts w:ascii="Arial" w:cs="Arial" w:eastAsia="Arial" w:hAnsi="Arial"/>
          <w:sz w:val="12"/>
          <w:szCs w:val="12"/>
          <w:b w:val="1"/>
          <w:bCs w:val="1"/>
          <w:color w:val="auto"/>
        </w:rPr>
        <w:t>KINGSTONE COMPANIES, INC. AND SUBSIDIARIES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Consolidated Statements of Income and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2376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3760" cy="1143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4"/>
          </w:tcPr>
          <w:p>
            <w:pPr>
              <w:jc w:val="right"/>
              <w:spacing w:after="0"/>
              <w:rPr>
                <w:sz w:val="20"/>
                <w:szCs w:val="20"/>
                <w:color w:val="auto"/>
              </w:rPr>
            </w:pPr>
            <w:r>
              <w:rPr>
                <w:rFonts w:ascii="Arial" w:cs="Arial" w:eastAsia="Arial" w:hAnsi="Arial"/>
                <w:sz w:val="10"/>
                <w:szCs w:val="10"/>
                <w:b w:val="1"/>
                <w:bCs w:val="1"/>
                <w:color w:val="auto"/>
              </w:rPr>
              <w:t>For the Three Months Ended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gridSpan w:val="3"/>
          </w:tcPr>
          <w:p>
            <w:pPr>
              <w:jc w:val="right"/>
              <w:spacing w:after="0"/>
              <w:rPr>
                <w:sz w:val="20"/>
                <w:szCs w:val="20"/>
                <w:color w:val="auto"/>
              </w:rPr>
            </w:pPr>
            <w:r>
              <w:rPr>
                <w:rFonts w:ascii="Arial" w:cs="Arial" w:eastAsia="Arial" w:hAnsi="Arial"/>
                <w:sz w:val="10"/>
                <w:szCs w:val="10"/>
                <w:b w:val="1"/>
                <w:bCs w:val="1"/>
                <w:color w:val="auto"/>
              </w:rPr>
              <w:t>For the Six Months Ended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4"/>
          </w:tcPr>
          <w:p>
            <w:pPr>
              <w:jc w:val="right"/>
              <w:ind w:right="420"/>
              <w:spacing w:after="0" w:line="114" w:lineRule="exact"/>
              <w:rPr>
                <w:sz w:val="20"/>
                <w:szCs w:val="20"/>
                <w:color w:val="auto"/>
              </w:rPr>
            </w:pPr>
            <w:r>
              <w:rPr>
                <w:rFonts w:ascii="Arial" w:cs="Arial" w:eastAsia="Arial" w:hAnsi="Arial"/>
                <w:sz w:val="10"/>
                <w:szCs w:val="10"/>
                <w:b w:val="1"/>
                <w:bCs w:val="1"/>
                <w:color w:val="auto"/>
              </w:rPr>
              <w:t>June 30,</w:t>
            </w: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gridSpan w:val="3"/>
          </w:tcPr>
          <w:p>
            <w:pPr>
              <w:jc w:val="right"/>
              <w:ind w:right="350"/>
              <w:spacing w:after="0" w:line="114" w:lineRule="exact"/>
              <w:rPr>
                <w:sz w:val="20"/>
                <w:szCs w:val="20"/>
                <w:color w:val="auto"/>
              </w:rPr>
            </w:pPr>
            <w:r>
              <w:rPr>
                <w:rFonts w:ascii="Arial" w:cs="Arial" w:eastAsia="Arial" w:hAnsi="Arial"/>
                <w:sz w:val="10"/>
                <w:szCs w:val="10"/>
                <w:b w:val="1"/>
                <w:bCs w:val="1"/>
                <w:color w:val="auto"/>
              </w:rPr>
              <w:t>June 30,</w:t>
            </w: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w w:val="71"/>
              </w:rPr>
              <w:t>2014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w:t>
            </w:r>
            <w:r>
              <w:rPr>
                <w:rFonts w:ascii="Arial" w:cs="Arial" w:eastAsia="Arial" w:hAnsi="Arial"/>
                <w:sz w:val="12"/>
                <w:szCs w:val="12"/>
                <w:color w:val="auto"/>
              </w:rPr>
              <w:t>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Net premiums earned</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10,865,715</w:t>
            </w:r>
          </w:p>
        </w:tc>
        <w:tc>
          <w:tcPr>
            <w:tcW w:w="140" w:type="dxa"/>
            <w:vAlign w:val="bottom"/>
          </w:tcPr>
          <w:p>
            <w:pPr>
              <w:spacing w:after="0"/>
              <w:rPr>
                <w:sz w:val="12"/>
                <w:szCs w:val="12"/>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6,429,373</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21,251,514</w:t>
            </w:r>
          </w:p>
        </w:tc>
        <w:tc>
          <w:tcPr>
            <w:tcW w:w="220" w:type="dxa"/>
            <w:vAlign w:val="bottom"/>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12,355,684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Ceding commission revenue</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3,655,522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3,706,049</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6,744,926</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7,087,332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Net investment income</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625,972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451,915</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1,200,628</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830,703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realized gains (losses) on sales of investments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134,602</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(65,231)</w:t>
            </w: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322,950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Other income</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393,040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250,908</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1,024,231</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478,465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revenues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15,542,512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10,972,847</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30,156,068</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21,075,134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Expense</w:t>
            </w:r>
            <w:r>
              <w:rPr>
                <w:rFonts w:ascii="Arial" w:cs="Arial" w:eastAsia="Arial" w:hAnsi="Arial"/>
                <w:sz w:val="12"/>
                <w:szCs w:val="12"/>
                <w:color w:val="auto"/>
              </w:rPr>
              <w:t>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Loss and loss adjustment expenses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4,770,813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3,007,939</w:t>
            </w:r>
          </w:p>
        </w:tc>
        <w:tc>
          <w:tcPr>
            <w:tcW w:w="28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11,834,030</w:t>
            </w:r>
          </w:p>
        </w:tc>
        <w:tc>
          <w:tcPr>
            <w:tcW w:w="4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7,332,893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Commission expense</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3,600,164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2,903,792</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7,012,491</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5,486,300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Other underwriting expenses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2,961,663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2,529,075</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5,960,818</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4,810,824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operating expenses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377,843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338,379</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706,341</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588,414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246,572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209,935</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482,234</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393,055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 expenses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11,957,055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8,989,120</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25,995,914</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18,611,486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from operations before taxes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3,126,108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1,983,727</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3,700,805</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2,463,648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Income tax expense</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1,206,275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629,225</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1,398,473</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782,013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2,379,182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1,354,502</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2,761,681</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1,681,635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comprehensive income (loss), net of tax</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Gross change in unrealized (losses) gains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on available-for-sale-securities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(1,313,096)</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870,921</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(607,522)</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1,739,665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Reclassification adjustment for (gains) losses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220"/>
              <w:spacing w:after="0"/>
              <w:rPr>
                <w:sz w:val="20"/>
                <w:szCs w:val="20"/>
                <w:color w:val="auto"/>
              </w:rPr>
            </w:pPr>
            <w:r>
              <w:rPr>
                <w:rFonts w:ascii="Arial" w:cs="Arial" w:eastAsia="Arial" w:hAnsi="Arial"/>
                <w:sz w:val="12"/>
                <w:szCs w:val="12"/>
                <w:color w:val="auto"/>
              </w:rPr>
              <w:t>included in net income</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(2,263)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2"/>
                <w:szCs w:val="12"/>
                <w:color w:val="auto"/>
              </w:rPr>
              <w:t>(134,602)</w:t>
            </w:r>
          </w:p>
        </w:tc>
        <w:tc>
          <w:tcPr>
            <w:tcW w:w="28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65,231</w:t>
            </w:r>
          </w:p>
        </w:tc>
        <w:tc>
          <w:tcPr>
            <w:tcW w:w="44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(322,950)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change in unrealized gains (losses)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(1,315,359)</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736,319</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(542,291)</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1,416,715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Income tax benefit (expense) related to items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of other comprehensive income (loss)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447,222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(250,348)</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184,379</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(481,683)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b w:val="1"/>
                <w:bCs w:val="1"/>
                <w:color w:val="auto"/>
              </w:rPr>
              <w:t>Other comprehensive income (loss), net of tax</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(868,137)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485,971</w:t>
            </w:r>
          </w:p>
        </w:tc>
        <w:tc>
          <w:tcPr>
            <w:tcW w:w="28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(357,912)</w:t>
            </w: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935,032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b w:val="1"/>
                <w:bCs w:val="1"/>
                <w:color w:val="auto"/>
              </w:rPr>
              <w:t>Comprehensive income</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1,511,045</w:t>
            </w:r>
          </w:p>
        </w:tc>
        <w:tc>
          <w:tcPr>
            <w:tcW w:w="140" w:type="dxa"/>
            <w:vAlign w:val="bottom"/>
          </w:tcPr>
          <w:p>
            <w:pPr>
              <w:spacing w:after="0"/>
              <w:rPr>
                <w:sz w:val="12"/>
                <w:szCs w:val="12"/>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1,840,473</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2,403,769</w:t>
            </w:r>
          </w:p>
        </w:tc>
        <w:tc>
          <w:tcPr>
            <w:tcW w:w="220" w:type="dxa"/>
            <w:vAlign w:val="bottom"/>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2,616,667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b w:val="1"/>
                <w:bCs w:val="1"/>
                <w:color w:val="auto"/>
              </w:rPr>
              <w:t>Earnings per common share:</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Basic</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0.32</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0.19</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0.38</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060" w:type="dxa"/>
            <w:vAlign w:val="bottom"/>
          </w:tcPr>
          <w:p>
            <w:pPr>
              <w:ind w:left="80"/>
              <w:spacing w:after="0" w:line="120" w:lineRule="exact"/>
              <w:rPr>
                <w:sz w:val="20"/>
                <w:szCs w:val="20"/>
                <w:color w:val="auto"/>
              </w:rPr>
            </w:pPr>
            <w:r>
              <w:rPr>
                <w:rFonts w:ascii="Arial" w:cs="Arial" w:eastAsia="Arial" w:hAnsi="Arial"/>
                <w:sz w:val="12"/>
                <w:szCs w:val="12"/>
                <w:color w:val="auto"/>
              </w:rPr>
              <w:t>Diluted</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20" w:lineRule="exact"/>
              <w:rPr>
                <w:sz w:val="20"/>
                <w:szCs w:val="20"/>
                <w:color w:val="auto"/>
              </w:rPr>
            </w:pPr>
            <w:r>
              <w:rPr>
                <w:rFonts w:ascii="Arial" w:cs="Arial" w:eastAsia="Arial" w:hAnsi="Arial"/>
                <w:sz w:val="12"/>
                <w:szCs w:val="12"/>
                <w:color w:val="auto"/>
              </w:rPr>
              <w:t>0.32</w:t>
            </w:r>
          </w:p>
        </w:tc>
        <w:tc>
          <w:tcPr>
            <w:tcW w:w="140" w:type="dxa"/>
            <w:vAlign w:val="bottom"/>
          </w:tcPr>
          <w:p>
            <w:pPr>
              <w:spacing w:after="0"/>
              <w:rPr>
                <w:sz w:val="10"/>
                <w:szCs w:val="10"/>
                <w:color w:val="auto"/>
              </w:rPr>
            </w:pPr>
          </w:p>
        </w:tc>
        <w:tc>
          <w:tcPr>
            <w:tcW w:w="580" w:type="dxa"/>
            <w:vAlign w:val="bottom"/>
            <w:gridSpan w:val="2"/>
          </w:tcPr>
          <w:p>
            <w:pPr>
              <w:jc w:val="right"/>
              <w:ind w:right="420"/>
              <w:spacing w:after="0" w:line="120"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0.18</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0.38</w:t>
            </w: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b w:val="1"/>
                <w:bCs w:val="1"/>
                <w:color w:val="auto"/>
              </w:rPr>
              <w:t>Weighted average common shares outstanding</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Basic</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7,337,817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7,287,935</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7,328,098</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7,277,313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060" w:type="dxa"/>
            <w:vAlign w:val="bottom"/>
          </w:tcPr>
          <w:p>
            <w:pPr>
              <w:ind w:left="80"/>
              <w:spacing w:after="0" w:line="120" w:lineRule="exact"/>
              <w:rPr>
                <w:sz w:val="20"/>
                <w:szCs w:val="20"/>
                <w:color w:val="auto"/>
              </w:rPr>
            </w:pPr>
            <w:r>
              <w:rPr>
                <w:rFonts w:ascii="Arial" w:cs="Arial" w:eastAsia="Arial" w:hAnsi="Arial"/>
                <w:sz w:val="12"/>
                <w:szCs w:val="12"/>
                <w:color w:val="auto"/>
              </w:rPr>
              <w:t>Diluted</w:t>
            </w:r>
          </w:p>
        </w:tc>
        <w:tc>
          <w:tcPr>
            <w:tcW w:w="280" w:type="dxa"/>
            <w:vAlign w:val="bottom"/>
          </w:tcPr>
          <w:p>
            <w:pPr>
              <w:spacing w:after="0"/>
              <w:rPr>
                <w:sz w:val="10"/>
                <w:szCs w:val="10"/>
                <w:color w:val="auto"/>
              </w:rPr>
            </w:pPr>
          </w:p>
        </w:tc>
        <w:tc>
          <w:tcPr>
            <w:tcW w:w="880" w:type="dxa"/>
            <w:vAlign w:val="bottom"/>
          </w:tcPr>
          <w:p>
            <w:pPr>
              <w:jc w:val="right"/>
              <w:spacing w:after="0" w:line="120" w:lineRule="exact"/>
              <w:rPr>
                <w:sz w:val="20"/>
                <w:szCs w:val="20"/>
                <w:color w:val="auto"/>
              </w:rPr>
            </w:pPr>
            <w:r>
              <w:rPr>
                <w:rFonts w:ascii="Arial" w:cs="Arial" w:eastAsia="Arial" w:hAnsi="Arial"/>
                <w:sz w:val="12"/>
                <w:szCs w:val="12"/>
                <w:color w:val="auto"/>
              </w:rPr>
              <w:t>7,362,988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7,358,280</w:t>
            </w:r>
          </w:p>
        </w:tc>
        <w:tc>
          <w:tcPr>
            <w:tcW w:w="280" w:type="dxa"/>
            <w:vAlign w:val="bottom"/>
          </w:tcPr>
          <w:p>
            <w:pPr>
              <w:spacing w:after="0"/>
              <w:rPr>
                <w:sz w:val="10"/>
                <w:szCs w:val="10"/>
                <w:color w:val="auto"/>
              </w:rPr>
            </w:pPr>
          </w:p>
        </w:tc>
        <w:tc>
          <w:tcPr>
            <w:tcW w:w="880" w:type="dxa"/>
            <w:vAlign w:val="bottom"/>
          </w:tcPr>
          <w:p>
            <w:pPr>
              <w:jc w:val="right"/>
              <w:spacing w:after="0" w:line="120" w:lineRule="exact"/>
              <w:rPr>
                <w:sz w:val="20"/>
                <w:szCs w:val="20"/>
                <w:color w:val="auto"/>
              </w:rPr>
            </w:pPr>
            <w:r>
              <w:rPr>
                <w:rFonts w:ascii="Arial" w:cs="Arial" w:eastAsia="Arial" w:hAnsi="Arial"/>
                <w:sz w:val="12"/>
                <w:szCs w:val="12"/>
                <w:color w:val="auto"/>
              </w:rPr>
              <w:t>7,355,908</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jc w:val="right"/>
              <w:spacing w:after="0" w:line="120" w:lineRule="exact"/>
              <w:rPr>
                <w:sz w:val="20"/>
                <w:szCs w:val="20"/>
                <w:color w:val="auto"/>
              </w:rPr>
            </w:pPr>
            <w:r>
              <w:rPr>
                <w:rFonts w:ascii="Arial" w:cs="Arial" w:eastAsia="Arial" w:hAnsi="Arial"/>
                <w:sz w:val="12"/>
                <w:szCs w:val="12"/>
                <w:color w:val="auto"/>
              </w:rPr>
              <w:t>7,352,609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b w:val="1"/>
                <w:bCs w:val="1"/>
                <w:color w:val="auto"/>
              </w:rPr>
              <w:t>Dividends declared and paid per common share</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0.05</w:t>
            </w:r>
          </w:p>
        </w:tc>
        <w:tc>
          <w:tcPr>
            <w:tcW w:w="140" w:type="dxa"/>
            <w:vAlign w:val="bottom"/>
          </w:tcPr>
          <w:p>
            <w:pPr>
              <w:spacing w:after="0"/>
              <w:rPr>
                <w:sz w:val="12"/>
                <w:szCs w:val="12"/>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0.04</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0.10</w:t>
            </w: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30377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condensed consolidated financial statements.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5" w:name="page6"/>
    <w:bookmarkEnd w:id="5"/>
    <w:p>
      <w:pPr>
        <w:ind w:left="8420"/>
        <w:spacing w:after="0"/>
        <w:rPr>
          <w:sz w:val="20"/>
          <w:szCs w:val="20"/>
          <w:color w:val="auto"/>
        </w:rPr>
      </w:pPr>
      <w:r>
        <w:rPr>
          <w:rFonts w:ascii="Arial" w:cs="Arial" w:eastAsia="Arial" w:hAnsi="Arial"/>
          <w:sz w:val="12"/>
          <w:szCs w:val="12"/>
          <w:b w:val="1"/>
          <w:bCs w:val="1"/>
          <w:color w:val="auto"/>
        </w:rPr>
        <w:t>KINGSTONE COMPANIES, INC. AND SUBSIDIARIES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Consolidated Statement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2376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3760" cy="1143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Six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2376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3760" cy="1143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9"/>
              </w:rPr>
              <w:t>Capital</w:t>
            </w:r>
          </w:p>
        </w:tc>
        <w:tc>
          <w:tcPr>
            <w:tcW w:w="60" w:type="dxa"/>
            <w:vAlign w:val="bottom"/>
          </w:tcPr>
          <w:p>
            <w:pPr>
              <w:spacing w:after="0"/>
              <w:rPr>
                <w:sz w:val="8"/>
                <w:szCs w:val="8"/>
                <w:color w:val="auto"/>
              </w:rPr>
            </w:pPr>
          </w:p>
        </w:tc>
        <w:tc>
          <w:tcPr>
            <w:tcW w:w="76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9"/>
              </w:rPr>
              <w:t>Other</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3"/>
          </w:tcPr>
          <w:p>
            <w:pPr>
              <w:jc w:val="right"/>
              <w:ind w:right="311"/>
              <w:spacing w:after="0" w:line="114" w:lineRule="exact"/>
              <w:rPr>
                <w:sz w:val="20"/>
                <w:szCs w:val="20"/>
                <w:color w:val="auto"/>
              </w:rPr>
            </w:pPr>
            <w:r>
              <w:rPr>
                <w:rFonts w:ascii="Arial" w:cs="Arial" w:eastAsia="Arial" w:hAnsi="Arial"/>
                <w:sz w:val="10"/>
                <w:szCs w:val="10"/>
                <w:b w:val="1"/>
                <w:bCs w:val="1"/>
                <w:color w:val="auto"/>
                <w:w w:val="85"/>
              </w:rPr>
              <w:t>Preferred Stock</w:t>
            </w:r>
          </w:p>
        </w:tc>
        <w:tc>
          <w:tcPr>
            <w:tcW w:w="1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Borders>
              <w:bottom w:val="single" w:sz="8" w:color="auto"/>
            </w:tcBorders>
            <w:gridSpan w:val="5"/>
          </w:tcPr>
          <w:p>
            <w:pPr>
              <w:jc w:val="right"/>
              <w:ind w:right="441"/>
              <w:spacing w:after="0" w:line="114" w:lineRule="exact"/>
              <w:rPr>
                <w:sz w:val="20"/>
                <w:szCs w:val="20"/>
                <w:color w:val="auto"/>
              </w:rPr>
            </w:pPr>
            <w:r>
              <w:rPr>
                <w:rFonts w:ascii="Arial" w:cs="Arial" w:eastAsia="Arial" w:hAnsi="Arial"/>
                <w:sz w:val="10"/>
                <w:szCs w:val="10"/>
                <w:b w:val="1"/>
                <w:bCs w:val="1"/>
                <w:color w:val="auto"/>
              </w:rPr>
              <w:t>Common Stock</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82"/>
              </w:rPr>
              <w:t>in Excess</w:t>
            </w:r>
          </w:p>
        </w:tc>
        <w:tc>
          <w:tcPr>
            <w:tcW w:w="820" w:type="dxa"/>
            <w:vAlign w:val="bottom"/>
            <w:gridSpan w:val="3"/>
          </w:tcPr>
          <w:p>
            <w:pPr>
              <w:jc w:val="center"/>
              <w:ind w:right="140"/>
              <w:spacing w:after="0" w:line="114" w:lineRule="exact"/>
              <w:rPr>
                <w:sz w:val="20"/>
                <w:szCs w:val="20"/>
                <w:color w:val="auto"/>
              </w:rPr>
            </w:pPr>
            <w:r>
              <w:rPr>
                <w:rFonts w:ascii="Arial" w:cs="Arial" w:eastAsia="Arial" w:hAnsi="Arial"/>
                <w:sz w:val="10"/>
                <w:szCs w:val="10"/>
                <w:b w:val="1"/>
                <w:bCs w:val="1"/>
                <w:color w:val="auto"/>
                <w:w w:val="85"/>
              </w:rPr>
              <w:t>Comprehensive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w w:val="99"/>
              </w:rPr>
              <w:t>Retained</w:t>
            </w:r>
          </w:p>
        </w:tc>
        <w:tc>
          <w:tcPr>
            <w:tcW w:w="1580" w:type="dxa"/>
            <w:vAlign w:val="bottom"/>
            <w:tcBorders>
              <w:bottom w:val="single" w:sz="8" w:color="auto"/>
            </w:tcBorders>
            <w:gridSpan w:val="5"/>
          </w:tcPr>
          <w:p>
            <w:pPr>
              <w:jc w:val="right"/>
              <w:ind w:right="421"/>
              <w:spacing w:after="0" w:line="114" w:lineRule="exact"/>
              <w:rPr>
                <w:sz w:val="20"/>
                <w:szCs w:val="20"/>
                <w:color w:val="auto"/>
              </w:rPr>
            </w:pPr>
            <w:r>
              <w:rPr>
                <w:rFonts w:ascii="Arial" w:cs="Arial" w:eastAsia="Arial" w:hAnsi="Arial"/>
                <w:sz w:val="10"/>
                <w:szCs w:val="10"/>
                <w:b w:val="1"/>
                <w:bCs w:val="1"/>
                <w:color w:val="auto"/>
              </w:rPr>
              <w:t>Treasury Stock</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w w:val="77"/>
              </w:rPr>
              <w:t>Shares</w:t>
            </w:r>
          </w:p>
        </w:tc>
        <w:tc>
          <w:tcPr>
            <w:tcW w:w="2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w w:val="91"/>
              </w:rPr>
              <w:t>of Par</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3"/>
              <w:spacing w:after="0"/>
              <w:rPr>
                <w:sz w:val="20"/>
                <w:szCs w:val="20"/>
                <w:color w:val="auto"/>
              </w:rPr>
            </w:pPr>
            <w:r>
              <w:rPr>
                <w:rFonts w:ascii="Arial" w:cs="Arial" w:eastAsia="Arial" w:hAnsi="Arial"/>
                <w:sz w:val="10"/>
                <w:szCs w:val="10"/>
                <w:b w:val="1"/>
                <w:bCs w:val="1"/>
                <w:color w:val="auto"/>
                <w:w w:val="91"/>
              </w:rPr>
              <w:t>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w w:val="98"/>
              </w:rPr>
              <w:t>Earnings</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Balance, January 1, 2015</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471"/>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8,235,095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82,351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3"/>
              </w:rPr>
              <w:t>32,873,383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946,332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8,203,003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926,338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7"/>
              </w:rPr>
              <w:t>(1,604,173)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40,500,896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tcPr>
          <w:p>
            <w:pPr>
              <w:spacing w:after="0"/>
              <w:rPr>
                <w:sz w:val="20"/>
                <w:szCs w:val="20"/>
                <w:color w:val="auto"/>
              </w:rPr>
            </w:pPr>
            <w:r>
              <w:rPr>
                <w:rFonts w:ascii="Arial" w:cs="Arial" w:eastAsia="Arial" w:hAnsi="Arial"/>
                <w:sz w:val="12"/>
                <w:szCs w:val="12"/>
                <w:color w:val="auto"/>
              </w:rPr>
              <w:t>Stock-based compensation</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77,784</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77,784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Shares deducted from exercise of stock</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tcPr>
          <w:p>
            <w:pPr>
              <w:ind w:left="80"/>
              <w:spacing w:after="0"/>
              <w:rPr>
                <w:sz w:val="20"/>
                <w:szCs w:val="20"/>
                <w:color w:val="auto"/>
              </w:rPr>
            </w:pPr>
            <w:r>
              <w:rPr>
                <w:rFonts w:ascii="Arial" w:cs="Arial" w:eastAsia="Arial" w:hAnsi="Arial"/>
                <w:sz w:val="12"/>
                <w:szCs w:val="12"/>
                <w:color w:val="auto"/>
              </w:rPr>
              <w:t>options for payment of withholding taxes</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(30,755)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(308)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(243,354)</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(243,662)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Excess tax benefit from exercise</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tcPr>
          <w:p>
            <w:pPr>
              <w:ind w:left="80"/>
              <w:spacing w:after="0"/>
              <w:rPr>
                <w:sz w:val="20"/>
                <w:szCs w:val="20"/>
                <w:color w:val="auto"/>
              </w:rPr>
            </w:pPr>
            <w:r>
              <w:rPr>
                <w:rFonts w:ascii="Arial" w:cs="Arial" w:eastAsia="Arial" w:hAnsi="Arial"/>
                <w:sz w:val="12"/>
                <w:szCs w:val="12"/>
                <w:color w:val="auto"/>
              </w:rPr>
              <w:t>of stock options</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221,136</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221,136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Exercise of stock options</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82,112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(822)</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tcPr>
          <w:p>
            <w:pPr>
              <w:spacing w:after="0"/>
              <w:rPr>
                <w:sz w:val="20"/>
                <w:szCs w:val="20"/>
                <w:color w:val="auto"/>
              </w:rPr>
            </w:pPr>
            <w:r>
              <w:rPr>
                <w:rFonts w:ascii="Arial" w:cs="Arial" w:eastAsia="Arial" w:hAnsi="Arial"/>
                <w:sz w:val="12"/>
                <w:szCs w:val="12"/>
                <w:color w:val="auto"/>
              </w:rPr>
              <w:t>Acquisition of treasury stock</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26,450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(204,060)</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(204,060)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Dividends</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(732,190)</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(732,190)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tcPr>
          <w:p>
            <w:pPr>
              <w:spacing w:after="0"/>
              <w:rPr>
                <w:sz w:val="20"/>
                <w:szCs w:val="20"/>
                <w:color w:val="auto"/>
              </w:rPr>
            </w:pPr>
            <w:r>
              <w:rPr>
                <w:rFonts w:ascii="Arial" w:cs="Arial" w:eastAsia="Arial" w:hAnsi="Arial"/>
                <w:sz w:val="12"/>
                <w:szCs w:val="12"/>
                <w:color w:val="auto"/>
              </w:rPr>
              <w:t>Net income</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2,761,681</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2,761,681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Change in unrealized gains on available-</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2"/>
          </w:tcPr>
          <w:p>
            <w:pPr>
              <w:ind w:left="80"/>
              <w:spacing w:after="0"/>
              <w:rPr>
                <w:sz w:val="20"/>
                <w:szCs w:val="20"/>
                <w:color w:val="auto"/>
              </w:rPr>
            </w:pPr>
            <w:r>
              <w:rPr>
                <w:rFonts w:ascii="Arial" w:cs="Arial" w:eastAsia="Arial" w:hAnsi="Arial"/>
                <w:sz w:val="12"/>
                <w:szCs w:val="12"/>
                <w:color w:val="auto"/>
              </w:rPr>
              <w:t>for-sale securities, net of tax</w:t>
            </w: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(357,912)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(357,912)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June 30, 2015</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71"/>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8,286,452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82,865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3"/>
              </w:rPr>
              <w:t>32,928,127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588,420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6"/>
              </w:rPr>
              <w:t>10,232,494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952,788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7"/>
              </w:rPr>
              <w:t>(1,808,233)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9"/>
              </w:rPr>
              <w:t>42,023,673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3037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condensed consolidated financial statements.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6" w:name="page7"/>
    <w:bookmarkEnd w:id="6"/>
    <w:p>
      <w:pPr>
        <w:ind w:left="8420"/>
        <w:spacing w:after="0"/>
        <w:rPr>
          <w:sz w:val="20"/>
          <w:szCs w:val="20"/>
          <w:color w:val="auto"/>
        </w:rPr>
      </w:pPr>
      <w:r>
        <w:rPr>
          <w:rFonts w:ascii="Arial" w:cs="Arial" w:eastAsia="Arial" w:hAnsi="Arial"/>
          <w:sz w:val="12"/>
          <w:szCs w:val="12"/>
          <w:b w:val="1"/>
          <w:bCs w:val="1"/>
          <w:color w:val="auto"/>
        </w:rPr>
        <w:t>KINGSTONE COMPANIES, INC. AND SUBSIDIARIES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Condensed Consolidated Statements of Cash Flows (Unaudited)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i w:val="1"/>
                <w:iCs w:val="1"/>
                <w:color w:val="auto"/>
              </w:rPr>
              <w:t>Six months ended June 30,</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2015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2"/>
                <w:szCs w:val="12"/>
                <w:color w:val="auto"/>
              </w:rPr>
            </w:pPr>
          </w:p>
        </w:tc>
      </w:tr>
      <w:tr>
        <w:trPr>
          <w:trHeight w:val="142"/>
        </w:trPr>
        <w:tc>
          <w:tcPr>
            <w:tcW w:w="8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provided by operating activities</w:t>
            </w: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40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2,761,681</w:t>
            </w:r>
          </w:p>
        </w:tc>
        <w:tc>
          <w:tcPr>
            <w:tcW w:w="2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1,681,635</w:t>
            </w:r>
          </w:p>
        </w:tc>
        <w:tc>
          <w:tcPr>
            <w:tcW w:w="120" w:type="dxa"/>
            <w:vAlign w:val="bottom"/>
          </w:tcPr>
          <w:p>
            <w:pPr>
              <w:spacing w:after="0"/>
              <w:rPr>
                <w:sz w:val="12"/>
                <w:szCs w:val="12"/>
                <w:color w:val="auto"/>
              </w:rPr>
            </w:pPr>
          </w:p>
        </w:tc>
      </w:tr>
      <w:tr>
        <w:trPr>
          <w:trHeight w:val="144"/>
        </w:trPr>
        <w:tc>
          <w:tcPr>
            <w:tcW w:w="8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Adjustments to reconcile net income to net cash flows provided by operating activities: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tcPr>
          <w:p>
            <w:pPr>
              <w:ind w:left="140"/>
              <w:spacing w:after="0"/>
              <w:rPr>
                <w:sz w:val="20"/>
                <w:szCs w:val="20"/>
                <w:color w:val="auto"/>
              </w:rPr>
            </w:pPr>
            <w:r>
              <w:rPr>
                <w:rFonts w:ascii="Arial" w:cs="Arial" w:eastAsia="Arial" w:hAnsi="Arial"/>
                <w:sz w:val="12"/>
                <w:szCs w:val="12"/>
                <w:color w:val="auto"/>
              </w:rPr>
              <w:t>Net realized gains (losses) on sale of investments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65,231</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(322,950)</w:t>
            </w:r>
          </w:p>
        </w:tc>
      </w:tr>
      <w:tr>
        <w:trPr>
          <w:trHeight w:val="144"/>
        </w:trPr>
        <w:tc>
          <w:tcPr>
            <w:tcW w:w="8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 and amortization</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482,234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393,055</w:t>
            </w:r>
          </w:p>
        </w:tc>
      </w:tr>
      <w:tr>
        <w:trPr>
          <w:trHeight w:val="144"/>
        </w:trPr>
        <w:tc>
          <w:tcPr>
            <w:tcW w:w="8720" w:type="dxa"/>
            <w:vAlign w:val="bottom"/>
          </w:tcPr>
          <w:p>
            <w:pPr>
              <w:ind w:left="120"/>
              <w:spacing w:after="0"/>
              <w:rPr>
                <w:sz w:val="20"/>
                <w:szCs w:val="20"/>
                <w:color w:val="auto"/>
              </w:rPr>
            </w:pPr>
            <w:r>
              <w:rPr>
                <w:rFonts w:ascii="Arial" w:cs="Arial" w:eastAsia="Arial" w:hAnsi="Arial"/>
                <w:sz w:val="12"/>
                <w:szCs w:val="12"/>
                <w:color w:val="auto"/>
              </w:rPr>
              <w:t>Amortization of bond premium, net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152,665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100,702</w:t>
            </w:r>
          </w:p>
        </w:tc>
      </w:tr>
      <w:tr>
        <w:trPr>
          <w:trHeight w:val="144"/>
        </w:trPr>
        <w:tc>
          <w:tcPr>
            <w:tcW w:w="8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Stock-based compensation</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77,784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26,783</w:t>
            </w:r>
          </w:p>
        </w:tc>
      </w:tr>
      <w:tr>
        <w:trPr>
          <w:trHeight w:val="144"/>
        </w:trPr>
        <w:tc>
          <w:tcPr>
            <w:tcW w:w="8720" w:type="dxa"/>
            <w:vAlign w:val="bottom"/>
          </w:tcPr>
          <w:p>
            <w:pPr>
              <w:ind w:left="140"/>
              <w:spacing w:after="0"/>
              <w:rPr>
                <w:sz w:val="20"/>
                <w:szCs w:val="20"/>
                <w:color w:val="auto"/>
              </w:rPr>
            </w:pPr>
            <w:r>
              <w:rPr>
                <w:rFonts w:ascii="Arial" w:cs="Arial" w:eastAsia="Arial" w:hAnsi="Arial"/>
                <w:sz w:val="12"/>
                <w:szCs w:val="12"/>
                <w:color w:val="auto"/>
              </w:rPr>
              <w:t>Excess tax benefit from exercise of stock options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(221,136)</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(70,313)</w:t>
            </w:r>
          </w:p>
        </w:tc>
      </w:tr>
      <w:tr>
        <w:trPr>
          <w:trHeight w:val="144"/>
        </w:trPr>
        <w:tc>
          <w:tcPr>
            <w:tcW w:w="8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income tax expense</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(64,757)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(237,411)</w:t>
            </w:r>
          </w:p>
        </w:tc>
      </w:tr>
      <w:tr>
        <w:trPr>
          <w:trHeight w:val="144"/>
        </w:trPr>
        <w:tc>
          <w:tcPr>
            <w:tcW w:w="8720" w:type="dxa"/>
            <w:vAlign w:val="bottom"/>
          </w:tcPr>
          <w:p>
            <w:pPr>
              <w:ind w:left="20"/>
              <w:spacing w:after="0"/>
              <w:rPr>
                <w:sz w:val="20"/>
                <w:szCs w:val="20"/>
                <w:color w:val="auto"/>
              </w:rPr>
            </w:pPr>
            <w:r>
              <w:rPr>
                <w:rFonts w:ascii="Arial" w:cs="Arial" w:eastAsia="Arial" w:hAnsi="Arial"/>
                <w:sz w:val="12"/>
                <w:szCs w:val="12"/>
                <w:color w:val="auto"/>
              </w:rPr>
              <w:t>(Increase) decrease in operating assets: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Premiums receivable, net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(1,551,888)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(1,659,628)</w:t>
            </w:r>
          </w:p>
        </w:tc>
      </w:tr>
      <w:tr>
        <w:trPr>
          <w:trHeight w:val="144"/>
        </w:trPr>
        <w:tc>
          <w:tcPr>
            <w:tcW w:w="8720" w:type="dxa"/>
            <w:vAlign w:val="bottom"/>
          </w:tcPr>
          <w:p>
            <w:pPr>
              <w:ind w:left="140"/>
              <w:spacing w:after="0"/>
              <w:rPr>
                <w:sz w:val="20"/>
                <w:szCs w:val="20"/>
                <w:color w:val="auto"/>
              </w:rPr>
            </w:pPr>
            <w:r>
              <w:rPr>
                <w:rFonts w:ascii="Arial" w:cs="Arial" w:eastAsia="Arial" w:hAnsi="Arial"/>
                <w:sz w:val="12"/>
                <w:szCs w:val="12"/>
                <w:color w:val="auto"/>
              </w:rPr>
              <w:t>Receivables - reinsurance contracts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(825,254)</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(93,562)</w:t>
            </w:r>
          </w:p>
        </w:tc>
      </w:tr>
      <w:tr>
        <w:trPr>
          <w:trHeight w:val="144"/>
        </w:trPr>
        <w:tc>
          <w:tcPr>
            <w:tcW w:w="8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Reinsurance receivables, net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(3,165,889)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(6,862,622)</w:t>
            </w:r>
          </w:p>
        </w:tc>
      </w:tr>
      <w:tr>
        <w:trPr>
          <w:trHeight w:val="144"/>
        </w:trPr>
        <w:tc>
          <w:tcPr>
            <w:tcW w:w="8720" w:type="dxa"/>
            <w:vAlign w:val="bottom"/>
          </w:tcPr>
          <w:p>
            <w:pPr>
              <w:ind w:left="140"/>
              <w:spacing w:after="0"/>
              <w:rPr>
                <w:sz w:val="20"/>
                <w:szCs w:val="20"/>
                <w:color w:val="auto"/>
              </w:rPr>
            </w:pPr>
            <w:r>
              <w:rPr>
                <w:rFonts w:ascii="Arial" w:cs="Arial" w:eastAsia="Arial" w:hAnsi="Arial"/>
                <w:sz w:val="12"/>
                <w:szCs w:val="12"/>
                <w:color w:val="auto"/>
              </w:rPr>
              <w:t>Deferred policy acquisition costs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(773,097)</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(1,135,839)</w:t>
            </w:r>
          </w:p>
        </w:tc>
      </w:tr>
      <w:tr>
        <w:trPr>
          <w:trHeight w:val="144"/>
        </w:trPr>
        <w:tc>
          <w:tcPr>
            <w:tcW w:w="8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assets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299,447</w:t>
            </w:r>
          </w:p>
        </w:tc>
      </w:tr>
      <w:tr>
        <w:trPr>
          <w:trHeight w:val="144"/>
        </w:trPr>
        <w:tc>
          <w:tcPr>
            <w:tcW w:w="8720" w:type="dxa"/>
            <w:vAlign w:val="bottom"/>
          </w:tcPr>
          <w:p>
            <w:pPr>
              <w:ind w:left="20"/>
              <w:spacing w:after="0"/>
              <w:rPr>
                <w:sz w:val="20"/>
                <w:szCs w:val="20"/>
                <w:color w:val="auto"/>
              </w:rPr>
            </w:pPr>
            <w:r>
              <w:rPr>
                <w:rFonts w:ascii="Arial" w:cs="Arial" w:eastAsia="Arial" w:hAnsi="Arial"/>
                <w:sz w:val="12"/>
                <w:szCs w:val="12"/>
                <w:color w:val="auto"/>
              </w:rPr>
              <w:t>Increase (decrease) in operating liabilities: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Loss and loss adjustment expense reserves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1,336,137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5,201,059</w:t>
            </w:r>
          </w:p>
        </w:tc>
        <w:tc>
          <w:tcPr>
            <w:tcW w:w="120" w:type="dxa"/>
            <w:vAlign w:val="bottom"/>
            <w:shd w:val="clear" w:color="auto" w:fill="CCEEFF"/>
          </w:tcPr>
          <w:p>
            <w:pPr>
              <w:spacing w:after="0"/>
              <w:rPr>
                <w:sz w:val="12"/>
                <w:szCs w:val="12"/>
                <w:color w:val="auto"/>
              </w:rPr>
            </w:pPr>
          </w:p>
        </w:tc>
      </w:tr>
      <w:tr>
        <w:trPr>
          <w:trHeight w:val="144"/>
        </w:trPr>
        <w:tc>
          <w:tcPr>
            <w:tcW w:w="8720" w:type="dxa"/>
            <w:vAlign w:val="bottom"/>
          </w:tcPr>
          <w:p>
            <w:pPr>
              <w:ind w:left="140"/>
              <w:spacing w:after="0"/>
              <w:rPr>
                <w:sz w:val="20"/>
                <w:szCs w:val="20"/>
                <w:color w:val="auto"/>
              </w:rPr>
            </w:pPr>
            <w:r>
              <w:rPr>
                <w:rFonts w:ascii="Arial" w:cs="Arial" w:eastAsia="Arial" w:hAnsi="Arial"/>
                <w:sz w:val="12"/>
                <w:szCs w:val="12"/>
                <w:color w:val="auto"/>
              </w:rPr>
              <w:t>Unearned premiums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3,651,941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4,866,459</w:t>
            </w:r>
          </w:p>
        </w:tc>
        <w:tc>
          <w:tcPr>
            <w:tcW w:w="120" w:type="dxa"/>
            <w:vAlign w:val="bottom"/>
          </w:tcPr>
          <w:p>
            <w:pPr>
              <w:spacing w:after="0"/>
              <w:rPr>
                <w:sz w:val="12"/>
                <w:szCs w:val="12"/>
                <w:color w:val="auto"/>
              </w:rPr>
            </w:pPr>
          </w:p>
        </w:tc>
      </w:tr>
      <w:tr>
        <w:trPr>
          <w:trHeight w:val="144"/>
        </w:trPr>
        <w:tc>
          <w:tcPr>
            <w:tcW w:w="8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Advance premiums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376,077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504,639</w:t>
            </w:r>
          </w:p>
        </w:tc>
      </w:tr>
      <w:tr>
        <w:trPr>
          <w:trHeight w:val="144"/>
        </w:trPr>
        <w:tc>
          <w:tcPr>
            <w:tcW w:w="8720" w:type="dxa"/>
            <w:vAlign w:val="bottom"/>
          </w:tcPr>
          <w:p>
            <w:pPr>
              <w:ind w:left="140"/>
              <w:spacing w:after="0"/>
              <w:rPr>
                <w:sz w:val="20"/>
                <w:szCs w:val="20"/>
                <w:color w:val="auto"/>
              </w:rPr>
            </w:pPr>
            <w:r>
              <w:rPr>
                <w:rFonts w:ascii="Arial" w:cs="Arial" w:eastAsia="Arial" w:hAnsi="Arial"/>
                <w:sz w:val="12"/>
                <w:szCs w:val="12"/>
                <w:color w:val="auto"/>
              </w:rPr>
              <w:t>Reinsurance balances payable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653,407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1,314,680</w:t>
            </w:r>
          </w:p>
        </w:tc>
        <w:tc>
          <w:tcPr>
            <w:tcW w:w="120" w:type="dxa"/>
            <w:vAlign w:val="bottom"/>
          </w:tcPr>
          <w:p>
            <w:pPr>
              <w:spacing w:after="0"/>
              <w:rPr>
                <w:sz w:val="12"/>
                <w:szCs w:val="12"/>
                <w:color w:val="auto"/>
              </w:rPr>
            </w:pPr>
          </w:p>
        </w:tc>
      </w:tr>
      <w:tr>
        <w:trPr>
          <w:trHeight w:val="144"/>
        </w:trPr>
        <w:tc>
          <w:tcPr>
            <w:tcW w:w="87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ceding commission revenue</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371,785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790,549</w:t>
            </w:r>
          </w:p>
        </w:tc>
      </w:tr>
      <w:tr>
        <w:trPr>
          <w:trHeight w:val="144"/>
        </w:trPr>
        <w:tc>
          <w:tcPr>
            <w:tcW w:w="8720" w:type="dxa"/>
            <w:vAlign w:val="bottom"/>
          </w:tcPr>
          <w:p>
            <w:pPr>
              <w:ind w:left="120"/>
              <w:spacing w:after="0"/>
              <w:rPr>
                <w:sz w:val="20"/>
                <w:szCs w:val="20"/>
                <w:color w:val="auto"/>
              </w:rPr>
            </w:pPr>
            <w:r>
              <w:rPr>
                <w:rFonts w:ascii="Arial" w:cs="Arial" w:eastAsia="Arial" w:hAnsi="Arial"/>
                <w:sz w:val="12"/>
                <w:szCs w:val="12"/>
                <w:color w:val="auto"/>
              </w:rPr>
              <w:t>Accounts payable, accrued expenses and other liabilities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22,796</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(402,388)</w:t>
            </w:r>
          </w:p>
        </w:tc>
      </w:tr>
      <w:tr>
        <w:trPr>
          <w:trHeight w:val="142"/>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flows provided by operating activities</w:t>
            </w: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3,356,300</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4,394,295</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used in investing activities</w:t>
            </w: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tcPr>
          <w:p>
            <w:pPr>
              <w:ind w:left="20"/>
              <w:spacing w:after="0"/>
              <w:rPr>
                <w:sz w:val="20"/>
                <w:szCs w:val="20"/>
                <w:color w:val="auto"/>
              </w:rPr>
            </w:pPr>
            <w:r>
              <w:rPr>
                <w:rFonts w:ascii="Arial" w:cs="Arial" w:eastAsia="Arial" w:hAnsi="Arial"/>
                <w:sz w:val="12"/>
                <w:szCs w:val="12"/>
                <w:color w:val="auto"/>
              </w:rPr>
              <w:t>Purchase - fixed-maturity securities held-to-maturity</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(2,215,540)</w:t>
            </w:r>
          </w:p>
        </w:tc>
      </w:tr>
      <w:tr>
        <w:trPr>
          <w:trHeight w:val="144"/>
        </w:trPr>
        <w:tc>
          <w:tcPr>
            <w:tcW w:w="8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 fixed-maturity securities available-for-sale</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(7,505,716)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(15,837,626)</w:t>
            </w:r>
          </w:p>
        </w:tc>
      </w:tr>
      <w:tr>
        <w:trPr>
          <w:trHeight w:val="144"/>
        </w:trPr>
        <w:tc>
          <w:tcPr>
            <w:tcW w:w="8720" w:type="dxa"/>
            <w:vAlign w:val="bottom"/>
          </w:tcPr>
          <w:p>
            <w:pPr>
              <w:ind w:left="20"/>
              <w:spacing w:after="0"/>
              <w:rPr>
                <w:sz w:val="20"/>
                <w:szCs w:val="20"/>
                <w:color w:val="auto"/>
              </w:rPr>
            </w:pPr>
            <w:r>
              <w:rPr>
                <w:rFonts w:ascii="Arial" w:cs="Arial" w:eastAsia="Arial" w:hAnsi="Arial"/>
                <w:sz w:val="12"/>
                <w:szCs w:val="12"/>
                <w:color w:val="auto"/>
              </w:rPr>
              <w:t>Purchase - equity securities available-for-sale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(2,225,328)</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(5,356,992)</w:t>
            </w:r>
          </w:p>
        </w:tc>
      </w:tr>
      <w:tr>
        <w:trPr>
          <w:trHeight w:val="144"/>
        </w:trPr>
        <w:tc>
          <w:tcPr>
            <w:tcW w:w="8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 or maturity - fixed-maturity securities available-for-sale</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1,135,673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3,643,499</w:t>
            </w:r>
          </w:p>
        </w:tc>
        <w:tc>
          <w:tcPr>
            <w:tcW w:w="120" w:type="dxa"/>
            <w:vAlign w:val="bottom"/>
            <w:shd w:val="clear" w:color="auto" w:fill="CCEEFF"/>
          </w:tcPr>
          <w:p>
            <w:pPr>
              <w:spacing w:after="0"/>
              <w:rPr>
                <w:sz w:val="12"/>
                <w:szCs w:val="12"/>
                <w:color w:val="auto"/>
              </w:rPr>
            </w:pPr>
          </w:p>
        </w:tc>
      </w:tr>
      <w:tr>
        <w:trPr>
          <w:trHeight w:val="144"/>
        </w:trPr>
        <w:tc>
          <w:tcPr>
            <w:tcW w:w="8720" w:type="dxa"/>
            <w:vAlign w:val="bottom"/>
          </w:tcPr>
          <w:p>
            <w:pPr>
              <w:ind w:left="20"/>
              <w:spacing w:after="0"/>
              <w:rPr>
                <w:sz w:val="20"/>
                <w:szCs w:val="20"/>
                <w:color w:val="auto"/>
              </w:rPr>
            </w:pPr>
            <w:r>
              <w:rPr>
                <w:rFonts w:ascii="Arial" w:cs="Arial" w:eastAsia="Arial" w:hAnsi="Arial"/>
                <w:sz w:val="12"/>
                <w:szCs w:val="12"/>
                <w:color w:val="auto"/>
              </w:rPr>
              <w:t>Sale - equity securities available-for-sale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839,408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3,417,605</w:t>
            </w:r>
          </w:p>
        </w:tc>
        <w:tc>
          <w:tcPr>
            <w:tcW w:w="120" w:type="dxa"/>
            <w:vAlign w:val="bottom"/>
          </w:tcPr>
          <w:p>
            <w:pPr>
              <w:spacing w:after="0"/>
              <w:rPr>
                <w:sz w:val="12"/>
                <w:szCs w:val="12"/>
                <w:color w:val="auto"/>
              </w:rPr>
            </w:pPr>
          </w:p>
        </w:tc>
      </w:tr>
      <w:tr>
        <w:trPr>
          <w:trHeight w:val="144"/>
        </w:trPr>
        <w:tc>
          <w:tcPr>
            <w:tcW w:w="8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investing activities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(616,042)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(542,074)</w:t>
            </w:r>
          </w:p>
        </w:tc>
      </w:tr>
      <w:tr>
        <w:trPr>
          <w:trHeight w:val="20"/>
        </w:trPr>
        <w:tc>
          <w:tcPr>
            <w:tcW w:w="8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20" w:type="dxa"/>
            <w:vAlign w:val="bottom"/>
          </w:tcPr>
          <w:p>
            <w:pPr>
              <w:ind w:left="20"/>
              <w:spacing w:after="0"/>
              <w:rPr>
                <w:sz w:val="20"/>
                <w:szCs w:val="20"/>
                <w:color w:val="auto"/>
              </w:rPr>
            </w:pPr>
            <w:r>
              <w:rPr>
                <w:rFonts w:ascii="Arial" w:cs="Arial" w:eastAsia="Arial" w:hAnsi="Arial"/>
                <w:sz w:val="12"/>
                <w:szCs w:val="12"/>
                <w:b w:val="1"/>
                <w:bCs w:val="1"/>
                <w:color w:val="auto"/>
              </w:rPr>
              <w:t>Net cash flows used in investing activitie</w:t>
            </w:r>
            <w:r>
              <w:rPr>
                <w:rFonts w:ascii="Arial" w:cs="Arial" w:eastAsia="Arial" w:hAnsi="Arial"/>
                <w:sz w:val="12"/>
                <w:szCs w:val="12"/>
                <w:color w:val="auto"/>
              </w:rPr>
              <w: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(8,372,005)</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(16,891,128)</w:t>
            </w:r>
          </w:p>
        </w:tc>
      </w:tr>
      <w:tr>
        <w:trPr>
          <w:trHeight w:val="142"/>
        </w:trPr>
        <w:tc>
          <w:tcPr>
            <w:tcW w:w="8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tcPr>
          <w:p>
            <w:pPr>
              <w:ind w:left="20"/>
              <w:spacing w:after="0"/>
              <w:rPr>
                <w:sz w:val="20"/>
                <w:szCs w:val="20"/>
                <w:color w:val="auto"/>
              </w:rPr>
            </w:pPr>
            <w:r>
              <w:rPr>
                <w:rFonts w:ascii="Arial" w:cs="Arial" w:eastAsia="Arial" w:hAnsi="Arial"/>
                <w:sz w:val="12"/>
                <w:szCs w:val="12"/>
                <w:b w:val="1"/>
                <w:bCs w:val="1"/>
                <w:color w:val="auto"/>
              </w:rPr>
              <w:t>Cash flows used in financing activities</w:t>
            </w: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Withholding taxes paid on net exercise of stock options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(243,662)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(66,095)</w:t>
            </w:r>
          </w:p>
        </w:tc>
      </w:tr>
      <w:tr>
        <w:trPr>
          <w:trHeight w:val="144"/>
        </w:trPr>
        <w:tc>
          <w:tcPr>
            <w:tcW w:w="8720" w:type="dxa"/>
            <w:vAlign w:val="bottom"/>
          </w:tcPr>
          <w:p>
            <w:pPr>
              <w:ind w:left="20"/>
              <w:spacing w:after="0"/>
              <w:rPr>
                <w:sz w:val="20"/>
                <w:szCs w:val="20"/>
                <w:color w:val="auto"/>
              </w:rPr>
            </w:pPr>
            <w:r>
              <w:rPr>
                <w:rFonts w:ascii="Arial" w:cs="Arial" w:eastAsia="Arial" w:hAnsi="Arial"/>
                <w:sz w:val="12"/>
                <w:szCs w:val="12"/>
                <w:color w:val="auto"/>
              </w:rPr>
              <w:t>Excess tax benefit from exercise of stock options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221,136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70,313</w:t>
            </w:r>
          </w:p>
        </w:tc>
      </w:tr>
      <w:tr>
        <w:trPr>
          <w:trHeight w:val="144"/>
        </w:trPr>
        <w:tc>
          <w:tcPr>
            <w:tcW w:w="8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 of treasury stock</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(204,060)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(23,203)</w:t>
            </w:r>
          </w:p>
        </w:tc>
      </w:tr>
      <w:tr>
        <w:trPr>
          <w:trHeight w:val="144"/>
        </w:trPr>
        <w:tc>
          <w:tcPr>
            <w:tcW w:w="8720" w:type="dxa"/>
            <w:vAlign w:val="bottom"/>
          </w:tcPr>
          <w:p>
            <w:pPr>
              <w:ind w:left="20"/>
              <w:spacing w:after="0"/>
              <w:rPr>
                <w:sz w:val="20"/>
                <w:szCs w:val="20"/>
                <w:color w:val="auto"/>
              </w:rPr>
            </w:pPr>
            <w:r>
              <w:rPr>
                <w:rFonts w:ascii="Arial" w:cs="Arial" w:eastAsia="Arial" w:hAnsi="Arial"/>
                <w:sz w:val="12"/>
                <w:szCs w:val="12"/>
                <w:color w:val="auto"/>
              </w:rPr>
              <w:t>Dividends paid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(732,190)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(582,439)</w:t>
            </w:r>
          </w:p>
        </w:tc>
      </w:tr>
      <w:tr>
        <w:trPr>
          <w:trHeight w:val="20"/>
        </w:trPr>
        <w:tc>
          <w:tcPr>
            <w:tcW w:w="8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8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flows used in financing activitie</w:t>
            </w:r>
            <w:r>
              <w:rPr>
                <w:rFonts w:ascii="Arial" w:cs="Arial" w:eastAsia="Arial" w:hAnsi="Arial"/>
                <w:sz w:val="12"/>
                <w:szCs w:val="12"/>
                <w:color w:val="auto"/>
              </w:rPr>
              <w:t>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(958,776)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(601,424)</w:t>
            </w:r>
          </w:p>
        </w:tc>
      </w:tr>
      <w:tr>
        <w:trPr>
          <w:trHeight w:val="142"/>
        </w:trPr>
        <w:tc>
          <w:tcPr>
            <w:tcW w:w="87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Decrease in cash and cash equivalents</w:t>
            </w: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(5,974,481)</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(13,098,257)</w:t>
            </w:r>
          </w:p>
        </w:tc>
      </w:tr>
      <w:tr>
        <w:trPr>
          <w:trHeight w:val="144"/>
        </w:trPr>
        <w:tc>
          <w:tcPr>
            <w:tcW w:w="8720" w:type="dxa"/>
            <w:vAlign w:val="bottom"/>
          </w:tcPr>
          <w:p>
            <w:pPr>
              <w:ind w:left="20"/>
              <w:spacing w:after="0"/>
              <w:rPr>
                <w:sz w:val="20"/>
                <w:szCs w:val="20"/>
                <w:color w:val="auto"/>
              </w:rPr>
            </w:pPr>
            <w:r>
              <w:rPr>
                <w:rFonts w:ascii="Arial" w:cs="Arial" w:eastAsia="Arial" w:hAnsi="Arial"/>
                <w:sz w:val="12"/>
                <w:szCs w:val="12"/>
                <w:color w:val="auto"/>
              </w:rPr>
              <w:t>Cash and cash equivalents, beginning of period</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9,906,878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19,922,506</w:t>
            </w:r>
          </w:p>
        </w:tc>
      </w:tr>
      <w:tr>
        <w:trPr>
          <w:trHeight w:val="182"/>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 end of period</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3,932,397</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6,824,249</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8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8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Supplemental disclosures of cash flow information:</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tcPr>
          <w:p>
            <w:pPr>
              <w:ind w:left="20"/>
              <w:spacing w:after="0"/>
              <w:rPr>
                <w:sz w:val="20"/>
                <w:szCs w:val="20"/>
                <w:color w:val="auto"/>
              </w:rPr>
            </w:pPr>
            <w:r>
              <w:rPr>
                <w:rFonts w:ascii="Arial" w:cs="Arial" w:eastAsia="Arial" w:hAnsi="Arial"/>
                <w:sz w:val="12"/>
                <w:szCs w:val="12"/>
                <w:color w:val="auto"/>
              </w:rPr>
              <w:t>Cash paid for income taxes</w:t>
            </w:r>
          </w:p>
        </w:tc>
        <w:tc>
          <w:tcPr>
            <w:tcW w:w="40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1,008,443</w:t>
            </w:r>
          </w:p>
        </w:tc>
        <w:tc>
          <w:tcPr>
            <w:tcW w:w="2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463,400</w:t>
            </w:r>
          </w:p>
        </w:tc>
      </w:tr>
      <w:tr>
        <w:trPr>
          <w:trHeight w:val="144"/>
        </w:trPr>
        <w:tc>
          <w:tcPr>
            <w:tcW w:w="8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20" w:type="dxa"/>
            <w:vAlign w:val="bottom"/>
          </w:tcPr>
          <w:p>
            <w:pPr>
              <w:ind w:left="20"/>
              <w:spacing w:after="0"/>
              <w:rPr>
                <w:sz w:val="20"/>
                <w:szCs w:val="20"/>
                <w:color w:val="auto"/>
              </w:rPr>
            </w:pPr>
            <w:r>
              <w:rPr>
                <w:rFonts w:ascii="Arial" w:cs="Arial" w:eastAsia="Arial" w:hAnsi="Arial"/>
                <w:sz w:val="12"/>
                <w:szCs w:val="12"/>
                <w:b w:val="1"/>
                <w:bCs w:val="1"/>
                <w:color w:val="auto"/>
              </w:rPr>
              <w:t>Supplemental schedule of non-cash investing and financing activities: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Value of shares deducted from exercise of stock options for payment of withholding taxes</w:t>
            </w: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243,662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30377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accompanying notes to condensed consolidated financial statements.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7" w:name="page8"/>
    <w:bookmarkEnd w:id="7"/>
    <w:p>
      <w:pPr>
        <w:jc w:val="center"/>
        <w:spacing w:after="0"/>
        <w:rPr>
          <w:sz w:val="20"/>
          <w:szCs w:val="20"/>
          <w:color w:val="auto"/>
        </w:rPr>
      </w:pPr>
      <w:r>
        <w:rPr>
          <w:rFonts w:ascii="Arial" w:cs="Arial" w:eastAsia="Arial" w:hAnsi="Arial"/>
          <w:sz w:val="12"/>
          <w:szCs w:val="12"/>
          <w:b w:val="1"/>
          <w:bCs w:val="1"/>
          <w:color w:val="auto"/>
        </w:rPr>
        <w:t>KINGSTONE COMPANIES,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Nature of Business and Basis of Presentation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 of New York and the Commonwealth of Pennsylvania; however, KICO writes substantially all of its business in New York. Through March 31, 2015, Kingstone, through its wholly owned subsidiary, Payments Inc., a licensed premium finance company in the State of New York, received fees for placing contracts with a third party licensed premium finance company (see Note 12 – Premium Finance Placement Fees).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accompanying unaudited condensed consolidated financial statements included in this report have been prepared in accordance with accounting principles generally accepted in the United States (“GAAP”) for interim financial information and the instructions to Securities and Exchange Commission (“SEC”) Form 10-Q and Article 8-03 of SEC Regulation S-X. The principles for condensed interim financial information do not require the inclusion of all the information and footnotes required by generally accepted accounting principles for complete financial statements. Therefore, these financial statements should be read in conjunction with the consolidated financial statements as of and for the year ended December 31, 2014 and notes thereto included in the Company’s Annual Report on Form 10-K filed with the SEC on March 25, 2015.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six months ended June 30, 2015 may not be indicative of the results that may be expected for the year ending December 31, 2015.</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Use of Estimates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and assumptions, which include the reserves for losses and loss adjustment expenses, are subject to considerable estimation error due to the inherent uncertainty in projecting ultimate claim amounts that will be reported and settled over a period of several years. In addition, estimates and assumptions associated with receivables under reinsurance contracts related to contingent ceding commission revenue require considerable judgment by management. On an on-going basis, management reevaluates its assumptions and the methods of calculating its estimates. Actual results may differ significantly from the estimates and assumptions used in preparing the consolidated financial statements.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8" w:name="page9"/>
    <w:bookmarkEnd w:id="8"/>
    <w:p>
      <w:pPr>
        <w:spacing w:after="0"/>
        <w:rPr>
          <w:sz w:val="20"/>
          <w:szCs w:val="20"/>
          <w:color w:val="auto"/>
        </w:rPr>
      </w:pPr>
      <w:r>
        <w:rPr>
          <w:rFonts w:ascii="Arial" w:cs="Arial" w:eastAsia="Arial" w:hAnsi="Arial"/>
          <w:sz w:val="12"/>
          <w:szCs w:val="12"/>
          <w:u w:val="single" w:color="auto"/>
          <w:color w:val="auto"/>
        </w:rPr>
        <w:t>Principles of Consolidation</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consolidated financial statements consist of Kingstone and its wholly owned subsidiaries. Subsidiaries include: (1) KICO and its wholly owned subsidiaries, CMIC Properties, Inc. (“Properties”) and 15 Joys Lane, LLC (“15 Joys Lane”), which together own the land and building from which KICO operates, and (2) Payments Inc. All significant inter-company transactions have been eliminated in consolidation.</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Accounting Pronouncements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 April 2014, the Financial Accounting Standards Board (“FASB”) issued Accounting Standards Update (“ASU”) No. 2014-08, “Presentation of Financial Statements (Topic 205) and Property, Plant, and Equipment (Topic 360): Reporting Discontinued Operations and Disclosures of Disposals of Components of an Entity. This ASU revised guidance to only allow disposals of components of an entity that represent a strategic shift (e.g., disposal of a major geographical area, a major line of business, a major equity method investment, or other major parts of an entity) and that have a major effect on a reporting entity’s operations and financial results to be reported as discontinued operations. The revised guidance also requires expanded disclosure in the financial statements for discontinued operations as well as for disposals of significant components of an entity that do not qualify for discontinued operations presentation. The Company adopted this guidance on January 1, 2015 and it did not have any effect on the Company’s consolidated results of operations, financial position or cash flows.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May 2014, FASB issued guidance to change the recognition of revenue from contracts with customers. The core principle of the new guidance is that an entity should recognize revenue to reflect the transfer of goods and services to customers in an amount equal to the consideration the entity receives or expects to receive. The guidance will be effective for the Company for reporting periods beginning after December 15, 2016. The Company will apply the guidance using a modified retrospective approach. The Company does not expect these amendments to have a material effect on its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Note 3 -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Available-for-Sale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amortized cost and fair value of investments in available-for-sale fixed-maturity securities and equity securities as of June 30, 2015 and December 31, 2014 are summarized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rPr>
              <w:t>June 30, 2015</w:t>
            </w: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3"/>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jc w:val="center"/>
              <w:ind w:right="145"/>
              <w:spacing w:after="0" w:line="83" w:lineRule="exact"/>
              <w:rPr>
                <w:sz w:val="20"/>
                <w:szCs w:val="20"/>
                <w:color w:val="auto"/>
              </w:rPr>
            </w:pPr>
            <w:r>
              <w:rPr>
                <w:rFonts w:ascii="Arial" w:cs="Arial" w:eastAsia="Arial" w:hAnsi="Arial"/>
                <w:sz w:val="8"/>
                <w:szCs w:val="8"/>
                <w:b w:val="1"/>
                <w:bCs w:val="1"/>
                <w:color w:val="auto"/>
              </w:rPr>
              <w:t>Net</w:t>
            </w:r>
          </w:p>
        </w:tc>
        <w:tc>
          <w:tcPr>
            <w:tcW w:w="120" w:type="dxa"/>
            <w:vAlign w:val="bottom"/>
          </w:tcPr>
          <w:p>
            <w:pPr>
              <w:spacing w:after="0"/>
              <w:rPr>
                <w:sz w:val="7"/>
                <w:szCs w:val="7"/>
                <w:color w:val="auto"/>
              </w:rPr>
            </w:pPr>
          </w:p>
        </w:tc>
      </w:tr>
      <w:tr>
        <w:trPr>
          <w:trHeight w:val="114"/>
        </w:trPr>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5"/>
              </w:rPr>
              <w:t>Cost or</w:t>
            </w:r>
          </w:p>
        </w:tc>
        <w:tc>
          <w:tcPr>
            <w:tcW w:w="200" w:type="dxa"/>
            <w:vAlign w:val="bottom"/>
          </w:tcPr>
          <w:p>
            <w:pPr>
              <w:spacing w:after="0"/>
              <w:rPr>
                <w:sz w:val="9"/>
                <w:szCs w:val="9"/>
                <w:color w:val="auto"/>
              </w:rPr>
            </w:pPr>
          </w:p>
        </w:tc>
        <w:tc>
          <w:tcPr>
            <w:tcW w:w="1180" w:type="dxa"/>
            <w:vAlign w:val="bottom"/>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82"/>
              </w:rPr>
              <w:t>Gross</w:t>
            </w:r>
          </w:p>
        </w:tc>
        <w:tc>
          <w:tcPr>
            <w:tcW w:w="200" w:type="dxa"/>
            <w:vAlign w:val="bottom"/>
          </w:tcPr>
          <w:p>
            <w:pPr>
              <w:spacing w:after="0"/>
              <w:rPr>
                <w:sz w:val="9"/>
                <w:szCs w:val="9"/>
                <w:color w:val="auto"/>
              </w:rPr>
            </w:pPr>
          </w:p>
        </w:tc>
        <w:tc>
          <w:tcPr>
            <w:tcW w:w="2580" w:type="dxa"/>
            <w:vAlign w:val="bottom"/>
            <w:gridSpan w:val="6"/>
          </w:tcPr>
          <w:p>
            <w:pPr>
              <w:jc w:val="right"/>
              <w:ind w:right="1000"/>
              <w:spacing w:after="0" w:line="114" w:lineRule="exact"/>
              <w:rPr>
                <w:sz w:val="20"/>
                <w:szCs w:val="20"/>
                <w:color w:val="auto"/>
              </w:rPr>
            </w:pPr>
            <w:r>
              <w:rPr>
                <w:rFonts w:ascii="Arial" w:cs="Arial" w:eastAsia="Arial" w:hAnsi="Arial"/>
                <w:sz w:val="10"/>
                <w:szCs w:val="10"/>
                <w:b w:val="1"/>
                <w:bCs w:val="1"/>
                <w:color w:val="auto"/>
              </w:rPr>
              <w:t>Gross Unrealized Losses</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6"/>
              </w:rPr>
              <w:t>Unrealized</w:t>
            </w:r>
          </w:p>
        </w:tc>
      </w:tr>
      <w:tr>
        <w:trPr>
          <w:trHeight w:val="122"/>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line="107" w:lineRule="exact"/>
              <w:rPr>
                <w:sz w:val="20"/>
                <w:szCs w:val="20"/>
                <w:color w:val="auto"/>
              </w:rPr>
            </w:pPr>
            <w:r>
              <w:rPr>
                <w:rFonts w:ascii="Arial" w:cs="Arial" w:eastAsia="Arial" w:hAnsi="Arial"/>
                <w:sz w:val="10"/>
                <w:szCs w:val="10"/>
                <w:b w:val="1"/>
                <w:bCs w:val="1"/>
                <w:color w:val="auto"/>
                <w:w w:val="85"/>
              </w:rPr>
              <w:t>Amortized</w:t>
            </w:r>
          </w:p>
        </w:tc>
        <w:tc>
          <w:tcPr>
            <w:tcW w:w="200" w:type="dxa"/>
            <w:vAlign w:val="bottom"/>
          </w:tcPr>
          <w:p>
            <w:pPr>
              <w:spacing w:after="0"/>
              <w:rPr>
                <w:sz w:val="10"/>
                <w:szCs w:val="10"/>
                <w:color w:val="auto"/>
              </w:rPr>
            </w:pPr>
          </w:p>
        </w:tc>
        <w:tc>
          <w:tcPr>
            <w:tcW w:w="1180" w:type="dxa"/>
            <w:vAlign w:val="bottom"/>
            <w:gridSpan w:val="2"/>
          </w:tcPr>
          <w:p>
            <w:pPr>
              <w:jc w:val="center"/>
              <w:ind w:right="420"/>
              <w:spacing w:after="0" w:line="107" w:lineRule="exact"/>
              <w:rPr>
                <w:sz w:val="20"/>
                <w:szCs w:val="20"/>
                <w:color w:val="auto"/>
              </w:rPr>
            </w:pPr>
            <w:r>
              <w:rPr>
                <w:rFonts w:ascii="Arial" w:cs="Arial" w:eastAsia="Arial" w:hAnsi="Arial"/>
                <w:sz w:val="10"/>
                <w:szCs w:val="10"/>
                <w:b w:val="1"/>
                <w:bCs w:val="1"/>
                <w:color w:val="auto"/>
                <w:w w:val="86"/>
              </w:rPr>
              <w:t>Unrealized</w:t>
            </w: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85"/>
              </w:rPr>
              <w:t>Less than 12</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202"/>
              <w:spacing w:after="0"/>
              <w:rPr>
                <w:sz w:val="20"/>
                <w:szCs w:val="20"/>
                <w:color w:val="auto"/>
              </w:rPr>
            </w:pPr>
            <w:r>
              <w:rPr>
                <w:rFonts w:ascii="Arial" w:cs="Arial" w:eastAsia="Arial" w:hAnsi="Arial"/>
                <w:sz w:val="10"/>
                <w:szCs w:val="10"/>
                <w:b w:val="1"/>
                <w:bCs w:val="1"/>
                <w:color w:val="auto"/>
                <w:w w:val="87"/>
              </w:rPr>
              <w:t>More than 12</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center"/>
              <w:ind w:right="202"/>
              <w:spacing w:after="0" w:line="107" w:lineRule="exact"/>
              <w:rPr>
                <w:sz w:val="20"/>
                <w:szCs w:val="20"/>
                <w:color w:val="auto"/>
              </w:rPr>
            </w:pPr>
            <w:r>
              <w:rPr>
                <w:rFonts w:ascii="Arial" w:cs="Arial" w:eastAsia="Arial" w:hAnsi="Arial"/>
                <w:sz w:val="10"/>
                <w:szCs w:val="10"/>
                <w:b w:val="1"/>
                <w:bCs w:val="1"/>
                <w:color w:val="auto"/>
                <w:w w:val="97"/>
              </w:rPr>
              <w:t>Fair</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20"/>
              <w:spacing w:after="0" w:line="107" w:lineRule="exact"/>
              <w:rPr>
                <w:sz w:val="20"/>
                <w:szCs w:val="20"/>
                <w:color w:val="auto"/>
              </w:rPr>
            </w:pPr>
            <w:r>
              <w:rPr>
                <w:rFonts w:ascii="Arial" w:cs="Arial" w:eastAsia="Arial" w:hAnsi="Arial"/>
                <w:sz w:val="10"/>
                <w:szCs w:val="10"/>
                <w:b w:val="1"/>
                <w:bCs w:val="1"/>
                <w:color w:val="auto"/>
                <w:w w:val="91"/>
              </w:rPr>
              <w:t>Gains/</w:t>
            </w:r>
          </w:p>
        </w:tc>
      </w:tr>
      <w:tr>
        <w:trPr>
          <w:trHeight w:val="120"/>
        </w:trPr>
        <w:tc>
          <w:tcPr>
            <w:tcW w:w="3220" w:type="dxa"/>
            <w:vAlign w:val="bottom"/>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0"/>
              </w:rPr>
              <w:t>Cost</w:t>
            </w:r>
          </w:p>
        </w:tc>
        <w:tc>
          <w:tcPr>
            <w:tcW w:w="20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6"/>
              </w:rPr>
              <w:t>Gains</w:t>
            </w:r>
          </w:p>
        </w:tc>
        <w:tc>
          <w:tcPr>
            <w:tcW w:w="20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4"/>
              </w:rPr>
              <w:t>Months</w:t>
            </w:r>
          </w:p>
        </w:tc>
        <w:tc>
          <w:tcPr>
            <w:tcW w:w="260" w:type="dxa"/>
            <w:vAlign w:val="bottom"/>
          </w:tcPr>
          <w:p>
            <w:pPr>
              <w:spacing w:after="0"/>
              <w:rPr>
                <w:sz w:val="10"/>
                <w:szCs w:val="10"/>
                <w:color w:val="auto"/>
              </w:rPr>
            </w:pPr>
          </w:p>
        </w:tc>
        <w:tc>
          <w:tcPr>
            <w:tcW w:w="880" w:type="dxa"/>
            <w:vAlign w:val="bottom"/>
          </w:tcPr>
          <w:p>
            <w:pPr>
              <w:jc w:val="center"/>
              <w:ind w:right="202"/>
              <w:spacing w:after="0"/>
              <w:rPr>
                <w:sz w:val="20"/>
                <w:szCs w:val="20"/>
                <w:color w:val="auto"/>
              </w:rPr>
            </w:pPr>
            <w:r>
              <w:rPr>
                <w:rFonts w:ascii="Arial" w:cs="Arial" w:eastAsia="Arial" w:hAnsi="Arial"/>
                <w:sz w:val="10"/>
                <w:szCs w:val="10"/>
                <w:b w:val="1"/>
                <w:bCs w:val="1"/>
                <w:color w:val="auto"/>
                <w:w w:val="82"/>
              </w:rPr>
              <w:t>Value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77"/>
              </w:rPr>
              <w:t>(Losses</w:t>
            </w:r>
            <w:r>
              <w:rPr>
                <w:rFonts w:ascii="Arial" w:cs="Arial" w:eastAsia="Arial" w:hAnsi="Arial"/>
                <w:sz w:val="10"/>
                <w:szCs w:val="10"/>
                <w:color w:val="auto"/>
                <w:w w:val="77"/>
              </w:rPr>
              <w:t>)</w:t>
            </w:r>
          </w:p>
        </w:tc>
      </w:tr>
      <w:tr>
        <w:trPr>
          <w:trHeight w:val="286"/>
        </w:trPr>
        <w:tc>
          <w:tcPr>
            <w:tcW w:w="322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rPr>
              <w:t>Fixed-Maturity Securities:</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Political subdivisions of States,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Territories and Possessions</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13,544,367</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296,651</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(62,414)</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13,778,604</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234,237</w:t>
            </w:r>
          </w:p>
        </w:tc>
      </w:tr>
      <w:tr>
        <w:trPr>
          <w:trHeight w:val="144"/>
        </w:trPr>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Corporate and other bonds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Industrial and miscellaneous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38,471,232</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624,272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(191,871)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(10,736)</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38,892,897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421,665</w:t>
            </w:r>
          </w:p>
        </w:tc>
      </w:tr>
      <w:tr>
        <w:trPr>
          <w:trHeight w:val="144"/>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mortgage backed</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4,192,192</w:t>
            </w:r>
          </w:p>
        </w:tc>
        <w:tc>
          <w:tcPr>
            <w:tcW w:w="2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30,439</w:t>
            </w: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(42,038)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4,180,593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(11,599)</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fixed-maturity securities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56,207,791</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951,362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(296,323)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(10,736)</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56,852,094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644,303</w:t>
            </w:r>
          </w:p>
        </w:tc>
      </w:tr>
      <w:tr>
        <w:trPr>
          <w:trHeight w:val="142"/>
        </w:trPr>
        <w:tc>
          <w:tcPr>
            <w:tcW w:w="3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Equity Securities: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Preferred stocks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3,130,221</w:t>
            </w:r>
          </w:p>
        </w:tc>
        <w:tc>
          <w:tcPr>
            <w:tcW w:w="2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22,047</w:t>
            </w: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(27,967)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(29,016)</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3,095,285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(34,936)</w:t>
            </w: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Common stocks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5,897,987</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428,808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(131,551)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(15,077)</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6,180,167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282,180</w:t>
            </w:r>
          </w:p>
        </w:tc>
      </w:tr>
      <w:tr>
        <w:trPr>
          <w:trHeight w:val="20"/>
        </w:trPr>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220" w:type="dxa"/>
            <w:vAlign w:val="bottom"/>
          </w:tcPr>
          <w:p>
            <w:pPr>
              <w:ind w:left="20"/>
              <w:spacing w:after="0"/>
              <w:rPr>
                <w:sz w:val="20"/>
                <w:szCs w:val="20"/>
                <w:color w:val="auto"/>
              </w:rPr>
            </w:pPr>
            <w:r>
              <w:rPr>
                <w:rFonts w:ascii="Arial" w:cs="Arial" w:eastAsia="Arial" w:hAnsi="Arial"/>
                <w:sz w:val="12"/>
                <w:szCs w:val="12"/>
                <w:color w:val="auto"/>
              </w:rPr>
              <w:t>Total equity 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9,028,208</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450,855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(159,518)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(44,093)</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9,275,452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247,244</w:t>
            </w:r>
          </w:p>
        </w:tc>
      </w:tr>
      <w:tr>
        <w:trPr>
          <w:trHeight w:val="142"/>
        </w:trPr>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Total</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65,235,999</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1,402,217</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(455,841)</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(54,829)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66,127,546</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891,547</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3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December 31, 2014</w:t>
            </w:r>
          </w:p>
        </w:tc>
        <w:tc>
          <w:tcPr>
            <w:tcW w:w="8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83"/>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jc w:val="center"/>
              <w:ind w:right="145"/>
              <w:spacing w:after="0" w:line="83" w:lineRule="exact"/>
              <w:rPr>
                <w:sz w:val="20"/>
                <w:szCs w:val="20"/>
                <w:color w:val="auto"/>
              </w:rPr>
            </w:pPr>
            <w:r>
              <w:rPr>
                <w:rFonts w:ascii="Arial" w:cs="Arial" w:eastAsia="Arial" w:hAnsi="Arial"/>
                <w:sz w:val="8"/>
                <w:szCs w:val="8"/>
                <w:b w:val="1"/>
                <w:bCs w:val="1"/>
                <w:color w:val="auto"/>
              </w:rPr>
              <w:t>Net</w:t>
            </w:r>
          </w:p>
        </w:tc>
        <w:tc>
          <w:tcPr>
            <w:tcW w:w="120" w:type="dxa"/>
            <w:vAlign w:val="bottom"/>
          </w:tcPr>
          <w:p>
            <w:pPr>
              <w:spacing w:after="0"/>
              <w:rPr>
                <w:sz w:val="7"/>
                <w:szCs w:val="7"/>
                <w:color w:val="auto"/>
              </w:rPr>
            </w:pPr>
          </w:p>
        </w:tc>
      </w:tr>
      <w:tr>
        <w:trPr>
          <w:trHeight w:val="114"/>
        </w:trPr>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5"/>
              </w:rPr>
              <w:t>Cost or</w:t>
            </w:r>
          </w:p>
        </w:tc>
        <w:tc>
          <w:tcPr>
            <w:tcW w:w="200" w:type="dxa"/>
            <w:vAlign w:val="bottom"/>
          </w:tcPr>
          <w:p>
            <w:pPr>
              <w:spacing w:after="0"/>
              <w:rPr>
                <w:sz w:val="9"/>
                <w:szCs w:val="9"/>
                <w:color w:val="auto"/>
              </w:rPr>
            </w:pPr>
          </w:p>
        </w:tc>
        <w:tc>
          <w:tcPr>
            <w:tcW w:w="1180" w:type="dxa"/>
            <w:vAlign w:val="bottom"/>
            <w:gridSpan w:val="2"/>
          </w:tcPr>
          <w:p>
            <w:pPr>
              <w:jc w:val="center"/>
              <w:ind w:right="420"/>
              <w:spacing w:after="0" w:line="114" w:lineRule="exact"/>
              <w:rPr>
                <w:sz w:val="20"/>
                <w:szCs w:val="20"/>
                <w:color w:val="auto"/>
              </w:rPr>
            </w:pPr>
            <w:r>
              <w:rPr>
                <w:rFonts w:ascii="Arial" w:cs="Arial" w:eastAsia="Arial" w:hAnsi="Arial"/>
                <w:sz w:val="10"/>
                <w:szCs w:val="10"/>
                <w:b w:val="1"/>
                <w:bCs w:val="1"/>
                <w:color w:val="auto"/>
                <w:w w:val="82"/>
              </w:rPr>
              <w:t>Gross</w:t>
            </w:r>
          </w:p>
        </w:tc>
        <w:tc>
          <w:tcPr>
            <w:tcW w:w="200" w:type="dxa"/>
            <w:vAlign w:val="bottom"/>
          </w:tcPr>
          <w:p>
            <w:pPr>
              <w:spacing w:after="0"/>
              <w:rPr>
                <w:sz w:val="9"/>
                <w:szCs w:val="9"/>
                <w:color w:val="auto"/>
              </w:rPr>
            </w:pPr>
          </w:p>
        </w:tc>
        <w:tc>
          <w:tcPr>
            <w:tcW w:w="2580" w:type="dxa"/>
            <w:vAlign w:val="bottom"/>
            <w:gridSpan w:val="6"/>
          </w:tcPr>
          <w:p>
            <w:pPr>
              <w:jc w:val="right"/>
              <w:ind w:right="1000"/>
              <w:spacing w:after="0" w:line="114" w:lineRule="exact"/>
              <w:rPr>
                <w:sz w:val="20"/>
                <w:szCs w:val="20"/>
                <w:color w:val="auto"/>
              </w:rPr>
            </w:pPr>
            <w:r>
              <w:rPr>
                <w:rFonts w:ascii="Arial" w:cs="Arial" w:eastAsia="Arial" w:hAnsi="Arial"/>
                <w:sz w:val="10"/>
                <w:szCs w:val="10"/>
                <w:b w:val="1"/>
                <w:bCs w:val="1"/>
                <w:color w:val="auto"/>
              </w:rPr>
              <w:t>Gross Unrealized Losses</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6"/>
              </w:rPr>
              <w:t>Unrealized</w:t>
            </w:r>
          </w:p>
        </w:tc>
      </w:tr>
      <w:tr>
        <w:trPr>
          <w:trHeight w:val="122"/>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line="107" w:lineRule="exact"/>
              <w:rPr>
                <w:sz w:val="20"/>
                <w:szCs w:val="20"/>
                <w:color w:val="auto"/>
              </w:rPr>
            </w:pPr>
            <w:r>
              <w:rPr>
                <w:rFonts w:ascii="Arial" w:cs="Arial" w:eastAsia="Arial" w:hAnsi="Arial"/>
                <w:sz w:val="10"/>
                <w:szCs w:val="10"/>
                <w:b w:val="1"/>
                <w:bCs w:val="1"/>
                <w:color w:val="auto"/>
                <w:w w:val="85"/>
              </w:rPr>
              <w:t>Amortized</w:t>
            </w:r>
          </w:p>
        </w:tc>
        <w:tc>
          <w:tcPr>
            <w:tcW w:w="200" w:type="dxa"/>
            <w:vAlign w:val="bottom"/>
          </w:tcPr>
          <w:p>
            <w:pPr>
              <w:spacing w:after="0"/>
              <w:rPr>
                <w:sz w:val="10"/>
                <w:szCs w:val="10"/>
                <w:color w:val="auto"/>
              </w:rPr>
            </w:pPr>
          </w:p>
        </w:tc>
        <w:tc>
          <w:tcPr>
            <w:tcW w:w="1180" w:type="dxa"/>
            <w:vAlign w:val="bottom"/>
            <w:gridSpan w:val="2"/>
          </w:tcPr>
          <w:p>
            <w:pPr>
              <w:jc w:val="center"/>
              <w:ind w:right="420"/>
              <w:spacing w:after="0" w:line="107" w:lineRule="exact"/>
              <w:rPr>
                <w:sz w:val="20"/>
                <w:szCs w:val="20"/>
                <w:color w:val="auto"/>
              </w:rPr>
            </w:pPr>
            <w:r>
              <w:rPr>
                <w:rFonts w:ascii="Arial" w:cs="Arial" w:eastAsia="Arial" w:hAnsi="Arial"/>
                <w:sz w:val="10"/>
                <w:szCs w:val="10"/>
                <w:b w:val="1"/>
                <w:bCs w:val="1"/>
                <w:color w:val="auto"/>
                <w:w w:val="86"/>
              </w:rPr>
              <w:t>Unrealized</w:t>
            </w: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85"/>
              </w:rPr>
              <w:t>Less than 12</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202"/>
              <w:spacing w:after="0"/>
              <w:rPr>
                <w:sz w:val="20"/>
                <w:szCs w:val="20"/>
                <w:color w:val="auto"/>
              </w:rPr>
            </w:pPr>
            <w:r>
              <w:rPr>
                <w:rFonts w:ascii="Arial" w:cs="Arial" w:eastAsia="Arial" w:hAnsi="Arial"/>
                <w:sz w:val="10"/>
                <w:szCs w:val="10"/>
                <w:b w:val="1"/>
                <w:bCs w:val="1"/>
                <w:color w:val="auto"/>
                <w:w w:val="87"/>
              </w:rPr>
              <w:t>More than 12</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center"/>
              <w:ind w:right="202"/>
              <w:spacing w:after="0" w:line="107" w:lineRule="exact"/>
              <w:rPr>
                <w:sz w:val="20"/>
                <w:szCs w:val="20"/>
                <w:color w:val="auto"/>
              </w:rPr>
            </w:pPr>
            <w:r>
              <w:rPr>
                <w:rFonts w:ascii="Arial" w:cs="Arial" w:eastAsia="Arial" w:hAnsi="Arial"/>
                <w:sz w:val="10"/>
                <w:szCs w:val="10"/>
                <w:b w:val="1"/>
                <w:bCs w:val="1"/>
                <w:color w:val="auto"/>
                <w:w w:val="97"/>
              </w:rPr>
              <w:t>Fair</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20"/>
              <w:spacing w:after="0" w:line="107" w:lineRule="exact"/>
              <w:rPr>
                <w:sz w:val="20"/>
                <w:szCs w:val="20"/>
                <w:color w:val="auto"/>
              </w:rPr>
            </w:pPr>
            <w:r>
              <w:rPr>
                <w:rFonts w:ascii="Arial" w:cs="Arial" w:eastAsia="Arial" w:hAnsi="Arial"/>
                <w:sz w:val="10"/>
                <w:szCs w:val="10"/>
                <w:b w:val="1"/>
                <w:bCs w:val="1"/>
                <w:color w:val="auto"/>
                <w:w w:val="91"/>
              </w:rPr>
              <w:t>Gains/</w:t>
            </w:r>
          </w:p>
        </w:tc>
      </w:tr>
      <w:tr>
        <w:trPr>
          <w:trHeight w:val="120"/>
        </w:trPr>
        <w:tc>
          <w:tcPr>
            <w:tcW w:w="3220" w:type="dxa"/>
            <w:vAlign w:val="bottom"/>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0"/>
              </w:rPr>
              <w:t>Cost</w:t>
            </w:r>
          </w:p>
        </w:tc>
        <w:tc>
          <w:tcPr>
            <w:tcW w:w="20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6"/>
              </w:rPr>
              <w:t>Gains</w:t>
            </w:r>
          </w:p>
        </w:tc>
        <w:tc>
          <w:tcPr>
            <w:tcW w:w="20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4"/>
              </w:rPr>
              <w:t>Months</w:t>
            </w:r>
          </w:p>
        </w:tc>
        <w:tc>
          <w:tcPr>
            <w:tcW w:w="260" w:type="dxa"/>
            <w:vAlign w:val="bottom"/>
          </w:tcPr>
          <w:p>
            <w:pPr>
              <w:spacing w:after="0"/>
              <w:rPr>
                <w:sz w:val="10"/>
                <w:szCs w:val="10"/>
                <w:color w:val="auto"/>
              </w:rPr>
            </w:pPr>
          </w:p>
        </w:tc>
        <w:tc>
          <w:tcPr>
            <w:tcW w:w="880" w:type="dxa"/>
            <w:vAlign w:val="bottom"/>
          </w:tcPr>
          <w:p>
            <w:pPr>
              <w:jc w:val="center"/>
              <w:ind w:right="202"/>
              <w:spacing w:after="0"/>
              <w:rPr>
                <w:sz w:val="20"/>
                <w:szCs w:val="20"/>
                <w:color w:val="auto"/>
              </w:rPr>
            </w:pPr>
            <w:r>
              <w:rPr>
                <w:rFonts w:ascii="Arial" w:cs="Arial" w:eastAsia="Arial" w:hAnsi="Arial"/>
                <w:sz w:val="10"/>
                <w:szCs w:val="10"/>
                <w:b w:val="1"/>
                <w:bCs w:val="1"/>
                <w:color w:val="auto"/>
                <w:w w:val="82"/>
              </w:rPr>
              <w:t>Value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77"/>
              </w:rPr>
              <w:t>(Losses</w:t>
            </w:r>
            <w:r>
              <w:rPr>
                <w:rFonts w:ascii="Arial" w:cs="Arial" w:eastAsia="Arial" w:hAnsi="Arial"/>
                <w:sz w:val="10"/>
                <w:szCs w:val="10"/>
                <w:color w:val="auto"/>
                <w:w w:val="77"/>
              </w:rPr>
              <w:t>)</w:t>
            </w:r>
          </w:p>
        </w:tc>
      </w:tr>
      <w:tr>
        <w:trPr>
          <w:trHeight w:val="286"/>
        </w:trPr>
        <w:tc>
          <w:tcPr>
            <w:tcW w:w="322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rPr>
              <w:t>Fixed-Maturity Securities:</w:t>
            </w: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Political subdivisions of States,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Territories and Possessions</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13,862,141</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412,490</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(23,813)</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(6,379)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14,244,439</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382,298</w:t>
            </w:r>
          </w:p>
        </w:tc>
      </w:tr>
      <w:tr>
        <w:trPr>
          <w:trHeight w:val="144"/>
        </w:trPr>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Corporate and other bonds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Industrial and miscellaneous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36,221,300</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803,440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(118,092)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(30,228)</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36,876,420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655,120</w:t>
            </w:r>
          </w:p>
        </w:tc>
      </w:tr>
      <w:tr>
        <w:trPr>
          <w:trHeight w:val="20"/>
        </w:trPr>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220" w:type="dxa"/>
            <w:vAlign w:val="bottom"/>
          </w:tcPr>
          <w:p>
            <w:pPr>
              <w:ind w:left="20"/>
              <w:spacing w:after="0"/>
              <w:rPr>
                <w:sz w:val="20"/>
                <w:szCs w:val="20"/>
                <w:color w:val="auto"/>
              </w:rPr>
            </w:pPr>
            <w:r>
              <w:rPr>
                <w:rFonts w:ascii="Arial" w:cs="Arial" w:eastAsia="Arial" w:hAnsi="Arial"/>
                <w:sz w:val="12"/>
                <w:szCs w:val="12"/>
                <w:color w:val="auto"/>
              </w:rPr>
              <w:t>Total fixed-maturity 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50,083,441</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1,215,930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(141,905)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(36,607)</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51,120,859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1,037,418</w:t>
            </w:r>
          </w:p>
        </w:tc>
        <w:tc>
          <w:tcPr>
            <w:tcW w:w="120" w:type="dxa"/>
            <w:vAlign w:val="bottom"/>
          </w:tcPr>
          <w:p>
            <w:pPr>
              <w:spacing w:after="0"/>
              <w:rPr>
                <w:sz w:val="12"/>
                <w:szCs w:val="12"/>
                <w:color w:val="auto"/>
              </w:rPr>
            </w:pPr>
          </w:p>
        </w:tc>
      </w:tr>
      <w:tr>
        <w:trPr>
          <w:trHeight w:val="142"/>
        </w:trPr>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b w:val="1"/>
                <w:bCs w:val="1"/>
                <w:color w:val="auto"/>
              </w:rPr>
              <w:t>Equity 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stocks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3,172,632</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19,180</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(2,647)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(62,886)</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3,126,280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(46,352)</w:t>
            </w: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Common stocks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4,448,677</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444,950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(2,177)</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4,891,449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442,772</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equity securities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7,621,309</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464,130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(2,647)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(65,063)</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8,017,729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396,420</w:t>
            </w:r>
          </w:p>
        </w:tc>
      </w:tr>
      <w:tr>
        <w:trPr>
          <w:trHeight w:val="142"/>
        </w:trPr>
        <w:tc>
          <w:tcPr>
            <w:tcW w:w="3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57,704,750</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1,680,060</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(144,552)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(101,670)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59,138,588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1,433,838</w:t>
            </w:r>
          </w:p>
        </w:tc>
        <w:tc>
          <w:tcPr>
            <w:tcW w:w="120" w:type="dxa"/>
            <w:vAlign w:val="bottom"/>
            <w:shd w:val="clear" w:color="auto" w:fill="CCEEFF"/>
          </w:tcPr>
          <w:p>
            <w:pPr>
              <w:spacing w:after="0"/>
              <w:rPr>
                <w:sz w:val="16"/>
                <w:szCs w:val="16"/>
                <w:color w:val="auto"/>
              </w:rPr>
            </w:pPr>
          </w:p>
        </w:tc>
      </w:tr>
      <w:tr>
        <w:trPr>
          <w:trHeight w:val="219"/>
        </w:trPr>
        <w:tc>
          <w:tcPr>
            <w:tcW w:w="3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63"/>
              <w:spacing w:after="0"/>
              <w:rPr>
                <w:sz w:val="20"/>
                <w:szCs w:val="20"/>
                <w:color w:val="auto"/>
              </w:rPr>
            </w:pPr>
            <w:r>
              <w:rPr>
                <w:rFonts w:ascii="Arial" w:cs="Arial" w:eastAsia="Arial" w:hAnsi="Arial"/>
                <w:sz w:val="12"/>
                <w:szCs w:val="12"/>
                <w:color w:val="auto"/>
              </w:rPr>
              <w:t>8</w:t>
            </w: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r>
      <w:tr>
        <w:trPr>
          <w:trHeight w:val="76"/>
        </w:trPr>
        <w:tc>
          <w:tcPr>
            <w:tcW w:w="32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10" w:name="page11"/>
    <w:bookmarkEnd w:id="10"/>
    <w:p>
      <w:pPr>
        <w:ind w:left="20"/>
        <w:spacing w:after="0"/>
        <w:rPr>
          <w:sz w:val="20"/>
          <w:szCs w:val="20"/>
          <w:color w:val="auto"/>
        </w:rPr>
      </w:pPr>
      <w:r>
        <w:rPr>
          <w:rFonts w:ascii="Arial" w:cs="Arial" w:eastAsia="Arial" w:hAnsi="Arial"/>
          <w:sz w:val="12"/>
          <w:szCs w:val="12"/>
          <w:color w:val="auto"/>
        </w:rPr>
        <w:t>A summary of the amortized cost and fair value of the Company’s investments in available-for-sale fixed-maturity securities by contractual maturity as of June 30, 2015 and December 31, 2014 is shown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June 30, 2015</w:t>
            </w:r>
          </w:p>
        </w:tc>
        <w:tc>
          <w:tcPr>
            <w:tcW w:w="9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2014</w:t>
            </w:r>
          </w:p>
        </w:tc>
        <w:tc>
          <w:tcPr>
            <w:tcW w:w="8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Amortized</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9"/>
              </w:rPr>
              <w:t>Amortized</w:t>
            </w:r>
          </w:p>
        </w:tc>
        <w:tc>
          <w:tcPr>
            <w:tcW w:w="280" w:type="dxa"/>
            <w:vAlign w:val="bottom"/>
          </w:tcPr>
          <w:p>
            <w:pPr>
              <w:spacing w:after="0"/>
              <w:rPr>
                <w:sz w:val="10"/>
                <w:szCs w:val="10"/>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0"/>
              </w:rPr>
              <w:t xml:space="preserve">Fair </w:t>
            </w:r>
            <w:r>
              <w:rPr>
                <w:rFonts w:ascii="Arial" w:cs="Arial" w:eastAsia="Arial" w:hAnsi="Arial"/>
                <w:sz w:val="12"/>
                <w:szCs w:val="12"/>
                <w:b w:val="1"/>
                <w:bCs w:val="1"/>
                <w:color w:val="auto"/>
                <w:w w:val="90"/>
              </w:rPr>
              <w:t>Value</w:t>
            </w:r>
          </w:p>
        </w:tc>
        <w:tc>
          <w:tcPr>
            <w:tcW w:w="0" w:type="dxa"/>
            <w:vAlign w:val="bottom"/>
          </w:tcPr>
          <w:p>
            <w:pPr>
              <w:spacing w:after="0"/>
              <w:rPr>
                <w:sz w:val="1"/>
                <w:szCs w:val="1"/>
                <w:color w:val="auto"/>
              </w:rPr>
            </w:pPr>
          </w:p>
        </w:tc>
      </w:tr>
      <w:tr>
        <w:trPr>
          <w:trHeight w:val="120"/>
        </w:trPr>
        <w:tc>
          <w:tcPr>
            <w:tcW w:w="3220" w:type="dxa"/>
            <w:vAlign w:val="bottom"/>
            <w:gridSpan w:val="2"/>
          </w:tcPr>
          <w:p>
            <w:pPr>
              <w:ind w:left="20"/>
              <w:spacing w:after="0"/>
              <w:rPr>
                <w:sz w:val="20"/>
                <w:szCs w:val="20"/>
                <w:color w:val="auto"/>
              </w:rPr>
            </w:pPr>
            <w:r>
              <w:rPr>
                <w:rFonts w:ascii="Arial" w:cs="Arial" w:eastAsia="Arial" w:hAnsi="Arial"/>
                <w:sz w:val="10"/>
                <w:szCs w:val="10"/>
                <w:b w:val="1"/>
                <w:bCs w:val="1"/>
                <w:color w:val="auto"/>
              </w:rPr>
              <w:t>Remaining Time to Maturit</w:t>
            </w:r>
            <w:r>
              <w:rPr>
                <w:rFonts w:ascii="Arial" w:cs="Arial" w:eastAsia="Arial" w:hAnsi="Arial"/>
                <w:sz w:val="10"/>
                <w:szCs w:val="10"/>
                <w:color w:val="auto"/>
              </w:rPr>
              <w: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Cost</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Fair Value</w:t>
            </w:r>
          </w:p>
        </w:tc>
        <w:tc>
          <w:tcPr>
            <w:tcW w:w="200" w:type="dxa"/>
            <w:vAlign w:val="bottom"/>
          </w:tcPr>
          <w:p>
            <w:pPr>
              <w:spacing w:after="0"/>
              <w:rPr>
                <w:sz w:val="10"/>
                <w:szCs w:val="1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9"/>
              </w:rPr>
              <w:t>Cost</w:t>
            </w:r>
          </w:p>
        </w:tc>
        <w:tc>
          <w:tcPr>
            <w:tcW w:w="2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2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Less than one year</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122"/>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607,496</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625,288</w:t>
            </w: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122"/>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482,833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487,507</w:t>
            </w:r>
          </w:p>
        </w:tc>
        <w:tc>
          <w:tcPr>
            <w:tcW w:w="0" w:type="dxa"/>
            <w:vAlign w:val="bottom"/>
          </w:tcPr>
          <w:p>
            <w:pPr>
              <w:spacing w:after="0"/>
              <w:rPr>
                <w:sz w:val="1"/>
                <w:szCs w:val="1"/>
                <w:color w:val="auto"/>
              </w:rPr>
            </w:pPr>
          </w:p>
        </w:tc>
      </w:tr>
      <w:tr>
        <w:trPr>
          <w:trHeight w:val="144"/>
        </w:trPr>
        <w:tc>
          <w:tcPr>
            <w:tcW w:w="3220" w:type="dxa"/>
            <w:vAlign w:val="bottom"/>
            <w:gridSpan w:val="2"/>
          </w:tcPr>
          <w:p>
            <w:pPr>
              <w:ind w:left="20"/>
              <w:spacing w:after="0"/>
              <w:rPr>
                <w:sz w:val="20"/>
                <w:szCs w:val="20"/>
                <w:color w:val="auto"/>
              </w:rPr>
            </w:pPr>
            <w:r>
              <w:rPr>
                <w:rFonts w:ascii="Arial" w:cs="Arial" w:eastAsia="Arial" w:hAnsi="Arial"/>
                <w:sz w:val="12"/>
                <w:szCs w:val="12"/>
                <w:color w:val="auto"/>
              </w:rPr>
              <w:t>One to five years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11,251,937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11,519,899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11,640,381</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11,943,127</w:t>
            </w:r>
          </w:p>
        </w:tc>
        <w:tc>
          <w:tcPr>
            <w:tcW w:w="0" w:type="dxa"/>
            <w:vAlign w:val="bottom"/>
          </w:tcPr>
          <w:p>
            <w:pPr>
              <w:spacing w:after="0"/>
              <w:rPr>
                <w:sz w:val="1"/>
                <w:szCs w:val="1"/>
                <w:color w:val="auto"/>
              </w:rPr>
            </w:pPr>
          </w:p>
        </w:tc>
      </w:tr>
      <w:tr>
        <w:trPr>
          <w:trHeight w:val="144"/>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Five to ten years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35,952,360</w:t>
            </w: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36,298,627</w:t>
            </w: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32,283,921</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32,865,231</w:t>
            </w:r>
          </w:p>
        </w:tc>
        <w:tc>
          <w:tcPr>
            <w:tcW w:w="0" w:type="dxa"/>
            <w:vAlign w:val="bottom"/>
          </w:tcPr>
          <w:p>
            <w:pPr>
              <w:spacing w:after="0"/>
              <w:rPr>
                <w:sz w:val="1"/>
                <w:szCs w:val="1"/>
                <w:color w:val="auto"/>
              </w:rPr>
            </w:pPr>
          </w:p>
        </w:tc>
      </w:tr>
      <w:tr>
        <w:trPr>
          <w:trHeight w:val="144"/>
        </w:trPr>
        <w:tc>
          <w:tcPr>
            <w:tcW w:w="3220" w:type="dxa"/>
            <w:vAlign w:val="bottom"/>
            <w:gridSpan w:val="2"/>
          </w:tcPr>
          <w:p>
            <w:pPr>
              <w:ind w:left="20"/>
              <w:spacing w:after="0"/>
              <w:rPr>
                <w:sz w:val="20"/>
                <w:szCs w:val="20"/>
                <w:color w:val="auto"/>
              </w:rPr>
            </w:pPr>
            <w:r>
              <w:rPr>
                <w:rFonts w:ascii="Arial" w:cs="Arial" w:eastAsia="Arial" w:hAnsi="Arial"/>
                <w:sz w:val="12"/>
                <w:szCs w:val="12"/>
                <w:color w:val="auto"/>
              </w:rPr>
              <w:t>More than 10 years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4,203,806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4,227,687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5,676,306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5,824,994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Residential mortgage backed securities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4,192,192</w:t>
            </w: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4,180,593</w:t>
            </w: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gridSpan w:val="2"/>
          </w:tcPr>
          <w:p>
            <w:pPr>
              <w:ind w:left="2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jc w:val="right"/>
              <w:ind w:right="122"/>
              <w:spacing w:after="0"/>
              <w:rPr>
                <w:sz w:val="20"/>
                <w:szCs w:val="20"/>
                <w:color w:val="auto"/>
              </w:rPr>
            </w:pPr>
            <w:r>
              <w:rPr>
                <w:rFonts w:ascii="Arial" w:cs="Arial" w:eastAsia="Arial" w:hAnsi="Arial"/>
                <w:sz w:val="5"/>
                <w:szCs w:val="5"/>
                <w:color w:val="auto"/>
                <w:w w:val="70"/>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56,207,791</w:t>
            </w:r>
          </w:p>
        </w:tc>
        <w:tc>
          <w:tcPr>
            <w:tcW w:w="120" w:type="dxa"/>
            <w:vAlign w:val="bottom"/>
          </w:tcPr>
          <w:p>
            <w:pPr>
              <w:spacing w:after="0"/>
              <w:rPr>
                <w:sz w:val="12"/>
                <w:szCs w:val="12"/>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56,852,094</w:t>
            </w:r>
          </w:p>
        </w:tc>
        <w:tc>
          <w:tcPr>
            <w:tcW w:w="240" w:type="dxa"/>
            <w:vAlign w:val="bottom"/>
          </w:tcPr>
          <w:p>
            <w:pPr>
              <w:spacing w:after="0"/>
              <w:rPr>
                <w:sz w:val="12"/>
                <w:szCs w:val="12"/>
                <w:color w:val="auto"/>
              </w:rPr>
            </w:pPr>
          </w:p>
        </w:tc>
        <w:tc>
          <w:tcPr>
            <w:tcW w:w="200" w:type="dxa"/>
            <w:vAlign w:val="bottom"/>
          </w:tcPr>
          <w:p>
            <w:pPr>
              <w:jc w:val="right"/>
              <w:ind w:right="122"/>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50,083,441</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51,120,859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20" w:type="dxa"/>
            <w:vAlign w:val="bottom"/>
            <w:gridSpan w:val="15"/>
          </w:tcPr>
          <w:p>
            <w:pPr>
              <w:spacing w:after="0"/>
              <w:rPr>
                <w:sz w:val="20"/>
                <w:szCs w:val="20"/>
                <w:color w:val="auto"/>
              </w:rPr>
            </w:pPr>
            <w:r>
              <w:rPr>
                <w:rFonts w:ascii="Arial" w:cs="Arial" w:eastAsia="Arial" w:hAnsi="Arial"/>
                <w:sz w:val="12"/>
                <w:szCs w:val="12"/>
                <w:color w:val="auto"/>
                <w:w w:val="94"/>
              </w:rPr>
              <w:t>The actual maturities may differ from contractual maturities because certain borrowers have the right to call or prepay obligations with or without penalties.</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220" w:type="dxa"/>
            <w:vAlign w:val="bottom"/>
            <w:gridSpan w:val="2"/>
          </w:tcPr>
          <w:p>
            <w:pPr>
              <w:spacing w:after="0"/>
              <w:rPr>
                <w:sz w:val="20"/>
                <w:szCs w:val="20"/>
                <w:color w:val="auto"/>
              </w:rPr>
            </w:pPr>
            <w:r>
              <w:rPr>
                <w:rFonts w:ascii="Arial" w:cs="Arial" w:eastAsia="Arial" w:hAnsi="Arial"/>
                <w:sz w:val="12"/>
                <w:szCs w:val="12"/>
                <w:color w:val="auto"/>
              </w:rPr>
              <w:t>Held-to-Maturity Securities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7560" w:type="dxa"/>
            <w:vAlign w:val="bottom"/>
            <w:gridSpan w:val="1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8880" w:type="dxa"/>
            <w:vAlign w:val="bottom"/>
            <w:gridSpan w:val="17"/>
          </w:tcPr>
          <w:p>
            <w:pPr>
              <w:spacing w:after="0"/>
              <w:rPr>
                <w:sz w:val="20"/>
                <w:szCs w:val="20"/>
                <w:color w:val="auto"/>
              </w:rPr>
            </w:pPr>
            <w:r>
              <w:rPr>
                <w:rFonts w:ascii="Arial" w:cs="Arial" w:eastAsia="Arial" w:hAnsi="Arial"/>
                <w:sz w:val="12"/>
                <w:szCs w:val="12"/>
                <w:color w:val="auto"/>
              </w:rPr>
              <w:t>The amortized cost and fair value of investments in held-to-maturity fixed-maturity securities as of June 30, 2015 and December 31, 2014 are summarized as follows: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rPr>
              <w:t>June 30, 2015</w:t>
            </w: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3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jc w:val="center"/>
              <w:ind w:right="224"/>
              <w:spacing w:after="0" w:line="83" w:lineRule="exact"/>
              <w:rPr>
                <w:sz w:val="20"/>
                <w:szCs w:val="20"/>
                <w:color w:val="auto"/>
              </w:rPr>
            </w:pPr>
            <w:r>
              <w:rPr>
                <w:rFonts w:ascii="Arial" w:cs="Arial" w:eastAsia="Arial" w:hAnsi="Arial"/>
                <w:sz w:val="8"/>
                <w:szCs w:val="8"/>
                <w:b w:val="1"/>
                <w:bCs w:val="1"/>
                <w:color w:val="auto"/>
              </w:rPr>
              <w:t>Net</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5"/>
              </w:rPr>
              <w:t>Cost or</w:t>
            </w:r>
          </w:p>
        </w:tc>
        <w:tc>
          <w:tcPr>
            <w:tcW w:w="200" w:type="dxa"/>
            <w:vAlign w:val="bottom"/>
          </w:tcPr>
          <w:p>
            <w:pPr>
              <w:spacing w:after="0"/>
              <w:rPr>
                <w:sz w:val="9"/>
                <w:szCs w:val="9"/>
                <w:color w:val="auto"/>
              </w:rPr>
            </w:pPr>
          </w:p>
        </w:tc>
        <w:tc>
          <w:tcPr>
            <w:tcW w:w="1180" w:type="dxa"/>
            <w:vAlign w:val="bottom"/>
            <w:gridSpan w:val="3"/>
          </w:tcPr>
          <w:p>
            <w:pPr>
              <w:jc w:val="center"/>
              <w:ind w:right="420"/>
              <w:spacing w:after="0" w:line="114" w:lineRule="exact"/>
              <w:rPr>
                <w:sz w:val="20"/>
                <w:szCs w:val="20"/>
                <w:color w:val="auto"/>
              </w:rPr>
            </w:pPr>
            <w:r>
              <w:rPr>
                <w:rFonts w:ascii="Arial" w:cs="Arial" w:eastAsia="Arial" w:hAnsi="Arial"/>
                <w:sz w:val="10"/>
                <w:szCs w:val="10"/>
                <w:b w:val="1"/>
                <w:bCs w:val="1"/>
                <w:color w:val="auto"/>
                <w:w w:val="82"/>
              </w:rPr>
              <w:t>Gross</w:t>
            </w:r>
          </w:p>
        </w:tc>
        <w:tc>
          <w:tcPr>
            <w:tcW w:w="200" w:type="dxa"/>
            <w:vAlign w:val="bottom"/>
          </w:tcPr>
          <w:p>
            <w:pPr>
              <w:spacing w:after="0"/>
              <w:rPr>
                <w:sz w:val="9"/>
                <w:szCs w:val="9"/>
                <w:color w:val="auto"/>
              </w:rPr>
            </w:pPr>
          </w:p>
        </w:tc>
        <w:tc>
          <w:tcPr>
            <w:tcW w:w="2580" w:type="dxa"/>
            <w:vAlign w:val="bottom"/>
            <w:gridSpan w:val="6"/>
          </w:tcPr>
          <w:p>
            <w:pPr>
              <w:jc w:val="right"/>
              <w:ind w:right="1000"/>
              <w:spacing w:after="0" w:line="114" w:lineRule="exact"/>
              <w:rPr>
                <w:sz w:val="20"/>
                <w:szCs w:val="20"/>
                <w:color w:val="auto"/>
              </w:rPr>
            </w:pPr>
            <w:r>
              <w:rPr>
                <w:rFonts w:ascii="Arial" w:cs="Arial" w:eastAsia="Arial" w:hAnsi="Arial"/>
                <w:sz w:val="10"/>
                <w:szCs w:val="10"/>
                <w:b w:val="1"/>
                <w:bCs w:val="1"/>
                <w:color w:val="auto"/>
              </w:rPr>
              <w:t>Gross Unrealized Losses</w:t>
            </w: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gridSpan w:val="2"/>
          </w:tcPr>
          <w:p>
            <w:pPr>
              <w:jc w:val="center"/>
              <w:ind w:right="400"/>
              <w:spacing w:after="0" w:line="114" w:lineRule="exact"/>
              <w:rPr>
                <w:sz w:val="20"/>
                <w:szCs w:val="20"/>
                <w:color w:val="auto"/>
              </w:rPr>
            </w:pPr>
            <w:r>
              <w:rPr>
                <w:rFonts w:ascii="Arial" w:cs="Arial" w:eastAsia="Arial" w:hAnsi="Arial"/>
                <w:sz w:val="10"/>
                <w:szCs w:val="10"/>
                <w:b w:val="1"/>
                <w:bCs w:val="1"/>
                <w:color w:val="auto"/>
                <w:w w:val="86"/>
              </w:rPr>
              <w:t>Unrealized</w:t>
            </w: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line="107" w:lineRule="exact"/>
              <w:rPr>
                <w:sz w:val="20"/>
                <w:szCs w:val="20"/>
                <w:color w:val="auto"/>
              </w:rPr>
            </w:pPr>
            <w:r>
              <w:rPr>
                <w:rFonts w:ascii="Arial" w:cs="Arial" w:eastAsia="Arial" w:hAnsi="Arial"/>
                <w:sz w:val="10"/>
                <w:szCs w:val="10"/>
                <w:b w:val="1"/>
                <w:bCs w:val="1"/>
                <w:color w:val="auto"/>
                <w:w w:val="85"/>
              </w:rPr>
              <w:t>Amortized</w:t>
            </w:r>
          </w:p>
        </w:tc>
        <w:tc>
          <w:tcPr>
            <w:tcW w:w="200" w:type="dxa"/>
            <w:vAlign w:val="bottom"/>
          </w:tcPr>
          <w:p>
            <w:pPr>
              <w:spacing w:after="0"/>
              <w:rPr>
                <w:sz w:val="10"/>
                <w:szCs w:val="10"/>
                <w:color w:val="auto"/>
              </w:rPr>
            </w:pPr>
          </w:p>
        </w:tc>
        <w:tc>
          <w:tcPr>
            <w:tcW w:w="1180" w:type="dxa"/>
            <w:vAlign w:val="bottom"/>
            <w:gridSpan w:val="3"/>
          </w:tcPr>
          <w:p>
            <w:pPr>
              <w:jc w:val="center"/>
              <w:ind w:right="420"/>
              <w:spacing w:after="0" w:line="107" w:lineRule="exact"/>
              <w:rPr>
                <w:sz w:val="20"/>
                <w:szCs w:val="20"/>
                <w:color w:val="auto"/>
              </w:rPr>
            </w:pPr>
            <w:r>
              <w:rPr>
                <w:rFonts w:ascii="Arial" w:cs="Arial" w:eastAsia="Arial" w:hAnsi="Arial"/>
                <w:sz w:val="10"/>
                <w:szCs w:val="10"/>
                <w:b w:val="1"/>
                <w:bCs w:val="1"/>
                <w:color w:val="auto"/>
                <w:w w:val="86"/>
              </w:rPr>
              <w:t>Unrealized</w:t>
            </w: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rPr>
              <w:t>Less than 12</w:t>
            </w: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43"/>
              <w:spacing w:after="0"/>
              <w:rPr>
                <w:sz w:val="20"/>
                <w:szCs w:val="20"/>
                <w:color w:val="auto"/>
              </w:rPr>
            </w:pPr>
            <w:r>
              <w:rPr>
                <w:rFonts w:ascii="Arial" w:cs="Arial" w:eastAsia="Arial" w:hAnsi="Arial"/>
                <w:sz w:val="10"/>
                <w:szCs w:val="10"/>
                <w:b w:val="1"/>
                <w:bCs w:val="1"/>
                <w:color w:val="auto"/>
                <w:w w:val="97"/>
              </w:rPr>
              <w:t>More than 12</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420"/>
              <w:spacing w:after="0" w:line="107" w:lineRule="exact"/>
              <w:rPr>
                <w:sz w:val="20"/>
                <w:szCs w:val="20"/>
                <w:color w:val="auto"/>
              </w:rPr>
            </w:pPr>
            <w:r>
              <w:rPr>
                <w:rFonts w:ascii="Arial" w:cs="Arial" w:eastAsia="Arial" w:hAnsi="Arial"/>
                <w:sz w:val="10"/>
                <w:szCs w:val="10"/>
                <w:b w:val="1"/>
                <w:bCs w:val="1"/>
                <w:color w:val="auto"/>
                <w:w w:val="97"/>
              </w:rPr>
              <w:t>Fair</w:t>
            </w:r>
          </w:p>
        </w:tc>
        <w:tc>
          <w:tcPr>
            <w:tcW w:w="280" w:type="dxa"/>
            <w:vAlign w:val="bottom"/>
          </w:tcPr>
          <w:p>
            <w:pPr>
              <w:spacing w:after="0"/>
              <w:rPr>
                <w:sz w:val="10"/>
                <w:szCs w:val="10"/>
                <w:color w:val="auto"/>
              </w:rPr>
            </w:pPr>
          </w:p>
        </w:tc>
        <w:tc>
          <w:tcPr>
            <w:tcW w:w="960" w:type="dxa"/>
            <w:vAlign w:val="bottom"/>
            <w:gridSpan w:val="2"/>
          </w:tcPr>
          <w:p>
            <w:pPr>
              <w:jc w:val="center"/>
              <w:ind w:right="400"/>
              <w:spacing w:after="0" w:line="107" w:lineRule="exact"/>
              <w:rPr>
                <w:sz w:val="20"/>
                <w:szCs w:val="20"/>
                <w:color w:val="auto"/>
              </w:rPr>
            </w:pPr>
            <w:r>
              <w:rPr>
                <w:rFonts w:ascii="Arial" w:cs="Arial" w:eastAsia="Arial" w:hAnsi="Arial"/>
                <w:sz w:val="10"/>
                <w:szCs w:val="10"/>
                <w:b w:val="1"/>
                <w:bCs w:val="1"/>
                <w:color w:val="auto"/>
                <w:w w:val="91"/>
              </w:rPr>
              <w:t>Gains/</w:t>
            </w:r>
          </w:p>
        </w:tc>
        <w:tc>
          <w:tcPr>
            <w:tcW w:w="0" w:type="dxa"/>
            <w:vAlign w:val="bottom"/>
          </w:tcPr>
          <w:p>
            <w:pPr>
              <w:spacing w:after="0"/>
              <w:rPr>
                <w:sz w:val="1"/>
                <w:szCs w:val="1"/>
                <w:color w:val="auto"/>
              </w:rPr>
            </w:pPr>
          </w:p>
        </w:tc>
      </w:tr>
      <w:tr>
        <w:trPr>
          <w:trHeight w:val="120"/>
        </w:trPr>
        <w:tc>
          <w:tcPr>
            <w:tcW w:w="3220" w:type="dxa"/>
            <w:vAlign w:val="bottom"/>
            <w:gridSpan w:val="2"/>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0"/>
              </w:rPr>
              <w:t>Cost</w:t>
            </w:r>
          </w:p>
        </w:tc>
        <w:tc>
          <w:tcPr>
            <w:tcW w:w="200" w:type="dxa"/>
            <w:vAlign w:val="bottom"/>
          </w:tcPr>
          <w:p>
            <w:pPr>
              <w:spacing w:after="0"/>
              <w:rPr>
                <w:sz w:val="10"/>
                <w:szCs w:val="10"/>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86"/>
              </w:rPr>
              <w:t>Gains</w:t>
            </w:r>
          </w:p>
        </w:tc>
        <w:tc>
          <w:tcPr>
            <w:tcW w:w="200" w:type="dxa"/>
            <w:vAlign w:val="bottom"/>
          </w:tcPr>
          <w:p>
            <w:pPr>
              <w:spacing w:after="0"/>
              <w:rPr>
                <w:sz w:val="10"/>
                <w:szCs w:val="1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Months</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Months</w:t>
            </w:r>
          </w:p>
        </w:tc>
        <w:tc>
          <w:tcPr>
            <w:tcW w:w="200" w:type="dxa"/>
            <w:vAlign w:val="bottom"/>
          </w:tcPr>
          <w:p>
            <w:pPr>
              <w:spacing w:after="0"/>
              <w:rPr>
                <w:sz w:val="10"/>
                <w:szCs w:val="1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2"/>
              </w:rPr>
              <w:t>Value</w:t>
            </w:r>
          </w:p>
        </w:tc>
        <w:tc>
          <w:tcPr>
            <w:tcW w:w="280" w:type="dxa"/>
            <w:vAlign w:val="bottom"/>
          </w:tcPr>
          <w:p>
            <w:pPr>
              <w:spacing w:after="0"/>
              <w:rPr>
                <w:sz w:val="10"/>
                <w:szCs w:val="10"/>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77"/>
              </w:rPr>
              <w:t>(Losses</w:t>
            </w:r>
            <w:r>
              <w:rPr>
                <w:rFonts w:ascii="Arial" w:cs="Arial" w:eastAsia="Arial" w:hAnsi="Arial"/>
                <w:sz w:val="10"/>
                <w:szCs w:val="10"/>
                <w:color w:val="auto"/>
                <w:w w:val="77"/>
              </w:rPr>
              <w:t>)</w:t>
            </w:r>
          </w:p>
        </w:tc>
        <w:tc>
          <w:tcPr>
            <w:tcW w:w="0" w:type="dxa"/>
            <w:vAlign w:val="bottom"/>
          </w:tcPr>
          <w:p>
            <w:pPr>
              <w:spacing w:after="0"/>
              <w:rPr>
                <w:sz w:val="1"/>
                <w:szCs w:val="1"/>
                <w:color w:val="auto"/>
              </w:rPr>
            </w:pPr>
          </w:p>
        </w:tc>
      </w:tr>
      <w:tr>
        <w:trPr>
          <w:trHeight w:val="286"/>
        </w:trPr>
        <w:tc>
          <w:tcPr>
            <w:tcW w:w="132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U.S. Treasury securities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606,371</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128,547</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734,918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128,547</w:t>
            </w:r>
          </w:p>
        </w:tc>
        <w:tc>
          <w:tcPr>
            <w:tcW w:w="0" w:type="dxa"/>
            <w:vAlign w:val="bottom"/>
          </w:tcPr>
          <w:p>
            <w:pPr>
              <w:spacing w:after="0"/>
              <w:rPr>
                <w:sz w:val="1"/>
                <w:szCs w:val="1"/>
                <w:color w:val="auto"/>
              </w:rPr>
            </w:pPr>
          </w:p>
        </w:tc>
      </w:tr>
      <w:tr>
        <w:trPr>
          <w:trHeight w:val="144"/>
        </w:trPr>
        <w:tc>
          <w:tcPr>
            <w:tcW w:w="1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Political subdivisions of States,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gridSpan w:val="2"/>
          </w:tcPr>
          <w:p>
            <w:pPr>
              <w:ind w:left="20"/>
              <w:spacing w:after="0"/>
              <w:rPr>
                <w:sz w:val="20"/>
                <w:szCs w:val="20"/>
                <w:color w:val="auto"/>
              </w:rPr>
            </w:pPr>
            <w:r>
              <w:rPr>
                <w:rFonts w:ascii="Arial" w:cs="Arial" w:eastAsia="Arial" w:hAnsi="Arial"/>
                <w:sz w:val="12"/>
                <w:szCs w:val="12"/>
                <w:color w:val="auto"/>
              </w:rPr>
              <w:t>Territories and Possessions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1,415,423</w:t>
            </w:r>
          </w:p>
        </w:tc>
        <w:tc>
          <w:tcPr>
            <w:tcW w:w="20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34,784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(47,642)</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1,402,565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2"/>
                <w:szCs w:val="12"/>
                <w:color w:val="auto"/>
              </w:rPr>
              <w:t>(12,858)</w:t>
            </w:r>
          </w:p>
        </w:tc>
        <w:tc>
          <w:tcPr>
            <w:tcW w:w="0" w:type="dxa"/>
            <w:vAlign w:val="bottom"/>
          </w:tcPr>
          <w:p>
            <w:pPr>
              <w:spacing w:after="0"/>
              <w:rPr>
                <w:sz w:val="1"/>
                <w:szCs w:val="1"/>
                <w:color w:val="auto"/>
              </w:rPr>
            </w:pPr>
          </w:p>
        </w:tc>
      </w:tr>
      <w:tr>
        <w:trPr>
          <w:trHeight w:val="144"/>
        </w:trPr>
        <w:tc>
          <w:tcPr>
            <w:tcW w:w="13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gridSpan w:val="2"/>
          </w:tcPr>
          <w:p>
            <w:pPr>
              <w:ind w:left="20"/>
              <w:spacing w:after="0"/>
              <w:rPr>
                <w:sz w:val="20"/>
                <w:szCs w:val="20"/>
                <w:color w:val="auto"/>
              </w:rPr>
            </w:pPr>
            <w:r>
              <w:rPr>
                <w:rFonts w:ascii="Arial" w:cs="Arial" w:eastAsia="Arial" w:hAnsi="Arial"/>
                <w:sz w:val="12"/>
                <w:szCs w:val="12"/>
                <w:color w:val="auto"/>
              </w:rPr>
              <w:t>Corporate and other bonds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Industrial and miscellaneous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3,113,758</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63,724</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(56,404)</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3,121,078</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7,320</w:t>
            </w:r>
          </w:p>
        </w:tc>
        <w:tc>
          <w:tcPr>
            <w:tcW w:w="0" w:type="dxa"/>
            <w:vAlign w:val="bottom"/>
          </w:tcPr>
          <w:p>
            <w:pPr>
              <w:spacing w:after="0"/>
              <w:rPr>
                <w:sz w:val="1"/>
                <w:szCs w:val="1"/>
                <w:color w:val="auto"/>
              </w:rPr>
            </w:pPr>
          </w:p>
        </w:tc>
      </w:tr>
      <w:tr>
        <w:trPr>
          <w:trHeight w:val="142"/>
        </w:trPr>
        <w:tc>
          <w:tcPr>
            <w:tcW w:w="1320" w:type="dxa"/>
            <w:vAlign w:val="bottom"/>
            <w:tcBorders>
              <w:top w:val="single" w:sz="8" w:color="CCEEFF"/>
            </w:tcBorders>
          </w:tcPr>
          <w:p>
            <w:pPr>
              <w:spacing w:after="0"/>
              <w:rPr>
                <w:sz w:val="12"/>
                <w:szCs w:val="12"/>
                <w:color w:val="auto"/>
              </w:rPr>
            </w:pPr>
          </w:p>
        </w:tc>
        <w:tc>
          <w:tcPr>
            <w:tcW w:w="19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5,135,552</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227,055</w:t>
            </w: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(56,404)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(47,642)</w:t>
            </w:r>
          </w:p>
        </w:tc>
        <w:tc>
          <w:tcPr>
            <w:tcW w:w="200" w:type="dxa"/>
            <w:vAlign w:val="bottom"/>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5,258,561</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123,009</w:t>
            </w:r>
          </w:p>
        </w:tc>
        <w:tc>
          <w:tcPr>
            <w:tcW w:w="0" w:type="dxa"/>
            <w:vAlign w:val="bottom"/>
          </w:tcPr>
          <w:p>
            <w:pPr>
              <w:spacing w:after="0"/>
              <w:rPr>
                <w:sz w:val="1"/>
                <w:szCs w:val="1"/>
                <w:color w:val="auto"/>
              </w:rPr>
            </w:pPr>
          </w:p>
        </w:tc>
      </w:tr>
      <w:tr>
        <w:trPr>
          <w:trHeight w:val="381"/>
        </w:trPr>
        <w:tc>
          <w:tcPr>
            <w:tcW w:w="132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64"/>
              <w:spacing w:after="0"/>
              <w:rPr>
                <w:sz w:val="20"/>
                <w:szCs w:val="20"/>
                <w:color w:val="auto"/>
              </w:rPr>
            </w:pPr>
            <w:r>
              <w:rPr>
                <w:rFonts w:ascii="Arial" w:cs="Arial" w:eastAsia="Arial" w:hAnsi="Arial"/>
                <w:sz w:val="12"/>
                <w:szCs w:val="12"/>
                <w:color w:val="auto"/>
              </w:rPr>
              <w:t>9</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320" w:type="dxa"/>
            <w:vAlign w:val="bottom"/>
            <w:tcBorders>
              <w:bottom w:val="single" w:sz="8" w:color="808080"/>
            </w:tcBorders>
          </w:tcPr>
          <w:p>
            <w:pPr>
              <w:spacing w:after="0"/>
              <w:rPr>
                <w:sz w:val="6"/>
                <w:szCs w:val="6"/>
                <w:color w:val="auto"/>
              </w:rPr>
            </w:pPr>
          </w:p>
        </w:tc>
        <w:tc>
          <w:tcPr>
            <w:tcW w:w="19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December 31, 2014</w:t>
            </w: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r>
        <w:trPr>
          <w:trHeight w:val="83"/>
        </w:trPr>
        <w:tc>
          <w:tcPr>
            <w:tcW w:w="3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Net</w:t>
            </w:r>
          </w:p>
        </w:tc>
      </w:tr>
      <w:tr>
        <w:trPr>
          <w:trHeight w:val="114"/>
        </w:trPr>
        <w:tc>
          <w:tcPr>
            <w:tcW w:w="3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5"/>
              </w:rPr>
              <w:t>Cost or</w:t>
            </w:r>
          </w:p>
        </w:tc>
        <w:tc>
          <w:tcPr>
            <w:tcW w:w="240" w:type="dxa"/>
            <w:vAlign w:val="bottom"/>
          </w:tcPr>
          <w:p>
            <w:pPr>
              <w:spacing w:after="0"/>
              <w:rPr>
                <w:sz w:val="9"/>
                <w:szCs w:val="9"/>
                <w:color w:val="auto"/>
              </w:rPr>
            </w:pPr>
          </w:p>
        </w:tc>
        <w:tc>
          <w:tcPr>
            <w:tcW w:w="138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Gross</w:t>
            </w:r>
          </w:p>
        </w:tc>
        <w:tc>
          <w:tcPr>
            <w:tcW w:w="2540" w:type="dxa"/>
            <w:vAlign w:val="bottom"/>
            <w:tcBorders>
              <w:bottom w:val="single" w:sz="8" w:color="auto"/>
            </w:tcBorders>
            <w:gridSpan w:val="4"/>
          </w:tcPr>
          <w:p>
            <w:pPr>
              <w:ind w:left="780"/>
              <w:spacing w:after="0" w:line="114" w:lineRule="exact"/>
              <w:rPr>
                <w:sz w:val="20"/>
                <w:szCs w:val="20"/>
                <w:color w:val="auto"/>
              </w:rPr>
            </w:pPr>
            <w:r>
              <w:rPr>
                <w:rFonts w:ascii="Arial" w:cs="Arial" w:eastAsia="Arial" w:hAnsi="Arial"/>
                <w:sz w:val="10"/>
                <w:szCs w:val="10"/>
                <w:b w:val="1"/>
                <w:bCs w:val="1"/>
                <w:color w:val="auto"/>
              </w:rPr>
              <w:t>Gross Unrealized Losses</w:t>
            </w: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6"/>
              </w:rPr>
              <w:t>Unrealized</w:t>
            </w:r>
          </w:p>
        </w:tc>
      </w:tr>
      <w:tr>
        <w:trPr>
          <w:trHeight w:val="122"/>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85"/>
              </w:rPr>
              <w:t>Amortized</w:t>
            </w:r>
          </w:p>
        </w:tc>
        <w:tc>
          <w:tcPr>
            <w:tcW w:w="240" w:type="dxa"/>
            <w:vAlign w:val="bottom"/>
          </w:tcPr>
          <w:p>
            <w:pPr>
              <w:spacing w:after="0"/>
              <w:rPr>
                <w:sz w:val="10"/>
                <w:szCs w:val="10"/>
                <w:color w:val="auto"/>
              </w:rPr>
            </w:pPr>
          </w:p>
        </w:tc>
        <w:tc>
          <w:tcPr>
            <w:tcW w:w="1380" w:type="dxa"/>
            <w:vAlign w:val="bottom"/>
            <w:gridSpan w:val="2"/>
          </w:tcPr>
          <w:p>
            <w:pPr>
              <w:jc w:val="center"/>
              <w:ind w:right="220"/>
              <w:spacing w:after="0" w:line="107" w:lineRule="exact"/>
              <w:rPr>
                <w:sz w:val="20"/>
                <w:szCs w:val="20"/>
                <w:color w:val="auto"/>
              </w:rPr>
            </w:pPr>
            <w:r>
              <w:rPr>
                <w:rFonts w:ascii="Arial" w:cs="Arial" w:eastAsia="Arial" w:hAnsi="Arial"/>
                <w:sz w:val="10"/>
                <w:szCs w:val="10"/>
                <w:b w:val="1"/>
                <w:bCs w:val="1"/>
                <w:color w:val="auto"/>
                <w:w w:val="86"/>
              </w:rPr>
              <w:t>Unrealized</w:t>
            </w:r>
          </w:p>
        </w:tc>
        <w:tc>
          <w:tcPr>
            <w:tcW w:w="860" w:type="dxa"/>
            <w:vAlign w:val="bottom"/>
          </w:tcPr>
          <w:p>
            <w:pPr>
              <w:jc w:val="center"/>
              <w:ind w:left="252"/>
              <w:spacing w:after="0"/>
              <w:rPr>
                <w:sz w:val="20"/>
                <w:szCs w:val="20"/>
                <w:color w:val="auto"/>
              </w:rPr>
            </w:pPr>
            <w:r>
              <w:rPr>
                <w:rFonts w:ascii="Arial" w:cs="Arial" w:eastAsia="Arial" w:hAnsi="Arial"/>
                <w:sz w:val="10"/>
                <w:szCs w:val="10"/>
                <w:b w:val="1"/>
                <w:bCs w:val="1"/>
                <w:color w:val="auto"/>
                <w:w w:val="85"/>
              </w:rPr>
              <w:t>Less than 12</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w w:val="87"/>
              </w:rPr>
              <w:t>More than 12</w:t>
            </w:r>
          </w:p>
        </w:tc>
        <w:tc>
          <w:tcPr>
            <w:tcW w:w="240" w:type="dxa"/>
            <w:vAlign w:val="bottom"/>
          </w:tcPr>
          <w:p>
            <w:pPr>
              <w:spacing w:after="0"/>
              <w:rPr>
                <w:sz w:val="10"/>
                <w:szCs w:val="10"/>
                <w:color w:val="auto"/>
              </w:rPr>
            </w:pPr>
          </w:p>
        </w:tc>
        <w:tc>
          <w:tcPr>
            <w:tcW w:w="114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7"/>
              </w:rPr>
              <w:t>Fair</w:t>
            </w:r>
          </w:p>
        </w:tc>
        <w:tc>
          <w:tcPr>
            <w:tcW w:w="220" w:type="dxa"/>
            <w:vAlign w:val="bottom"/>
          </w:tcPr>
          <w:p>
            <w:pPr>
              <w:spacing w:after="0"/>
              <w:rPr>
                <w:sz w:val="10"/>
                <w:szCs w:val="10"/>
                <w:color w:val="auto"/>
              </w:rPr>
            </w:pPr>
          </w:p>
        </w:tc>
        <w:tc>
          <w:tcPr>
            <w:tcW w:w="112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1"/>
              </w:rPr>
              <w:t>Gains/</w:t>
            </w:r>
          </w:p>
        </w:tc>
      </w:tr>
      <w:tr>
        <w:trPr>
          <w:trHeight w:val="120"/>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Cost</w:t>
            </w:r>
          </w:p>
        </w:tc>
        <w:tc>
          <w:tcPr>
            <w:tcW w:w="24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Gains</w:t>
            </w:r>
          </w:p>
        </w:tc>
        <w:tc>
          <w:tcPr>
            <w:tcW w:w="220" w:type="dxa"/>
            <w:vAlign w:val="bottom"/>
          </w:tcPr>
          <w:p>
            <w:pPr>
              <w:spacing w:after="0"/>
              <w:rPr>
                <w:sz w:val="10"/>
                <w:szCs w:val="10"/>
                <w:color w:val="auto"/>
              </w:rPr>
            </w:pPr>
          </w:p>
        </w:tc>
        <w:tc>
          <w:tcPr>
            <w:tcW w:w="860" w:type="dxa"/>
            <w:vAlign w:val="bottom"/>
            <w:tcBorders>
              <w:bottom w:val="single" w:sz="8" w:color="auto"/>
            </w:tcBorders>
          </w:tcPr>
          <w:p>
            <w:pPr>
              <w:jc w:val="center"/>
              <w:ind w:left="252"/>
              <w:spacing w:after="0"/>
              <w:rPr>
                <w:sz w:val="20"/>
                <w:szCs w:val="20"/>
                <w:color w:val="auto"/>
              </w:rPr>
            </w:pPr>
            <w:r>
              <w:rPr>
                <w:rFonts w:ascii="Arial" w:cs="Arial" w:eastAsia="Arial" w:hAnsi="Arial"/>
                <w:sz w:val="10"/>
                <w:szCs w:val="10"/>
                <w:b w:val="1"/>
                <w:bCs w:val="1"/>
                <w:color w:val="auto"/>
                <w:w w:val="89"/>
              </w:rPr>
              <w:t>Months</w:t>
            </w:r>
          </w:p>
        </w:tc>
        <w:tc>
          <w:tcPr>
            <w:tcW w:w="3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Months</w:t>
            </w:r>
          </w:p>
        </w:tc>
        <w:tc>
          <w:tcPr>
            <w:tcW w:w="24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Value</w:t>
            </w:r>
          </w:p>
        </w:tc>
        <w:tc>
          <w:tcPr>
            <w:tcW w:w="22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77"/>
              </w:rPr>
              <w:t>(Losses</w:t>
            </w:r>
            <w:r>
              <w:rPr>
                <w:rFonts w:ascii="Arial" w:cs="Arial" w:eastAsia="Arial" w:hAnsi="Arial"/>
                <w:sz w:val="10"/>
                <w:szCs w:val="10"/>
                <w:color w:val="auto"/>
                <w:w w:val="77"/>
              </w:rPr>
              <w:t>)</w:t>
            </w: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Treasury securities</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606,353</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183,200</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789,553</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183,200</w:t>
            </w:r>
          </w:p>
        </w:tc>
      </w:tr>
      <w:tr>
        <w:trPr>
          <w:trHeight w:val="144"/>
        </w:trPr>
        <w:tc>
          <w:tcPr>
            <w:tcW w:w="2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Political subdivisions of States,</w:t>
            </w: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440" w:type="dxa"/>
            <w:vAlign w:val="bottom"/>
          </w:tcPr>
          <w:p>
            <w:pPr>
              <w:ind w:left="20"/>
              <w:spacing w:after="0"/>
              <w:rPr>
                <w:sz w:val="20"/>
                <w:szCs w:val="20"/>
                <w:color w:val="auto"/>
              </w:rPr>
            </w:pPr>
            <w:r>
              <w:rPr>
                <w:rFonts w:ascii="Arial" w:cs="Arial" w:eastAsia="Arial" w:hAnsi="Arial"/>
                <w:sz w:val="12"/>
                <w:szCs w:val="12"/>
                <w:color w:val="auto"/>
              </w:rPr>
              <w:t>Territories and Possessions</w:t>
            </w: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1,413,303</w:t>
            </w:r>
          </w:p>
        </w:tc>
        <w:tc>
          <w:tcPr>
            <w:tcW w:w="4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49,981</w:t>
            </w:r>
          </w:p>
        </w:tc>
        <w:tc>
          <w:tcPr>
            <w:tcW w:w="4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(12,247)</w:t>
            </w:r>
          </w:p>
        </w:tc>
        <w:tc>
          <w:tcPr>
            <w:tcW w:w="3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1,451,037</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37,734</w:t>
            </w:r>
          </w:p>
        </w:tc>
      </w:tr>
      <w:tr>
        <w:trPr>
          <w:trHeight w:val="144"/>
        </w:trPr>
        <w:tc>
          <w:tcPr>
            <w:tcW w:w="2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440" w:type="dxa"/>
            <w:vAlign w:val="bottom"/>
          </w:tcPr>
          <w:p>
            <w:pPr>
              <w:ind w:left="20"/>
              <w:spacing w:after="0"/>
              <w:rPr>
                <w:sz w:val="20"/>
                <w:szCs w:val="20"/>
                <w:color w:val="auto"/>
              </w:rPr>
            </w:pPr>
            <w:r>
              <w:rPr>
                <w:rFonts w:ascii="Arial" w:cs="Arial" w:eastAsia="Arial" w:hAnsi="Arial"/>
                <w:sz w:val="12"/>
                <w:szCs w:val="12"/>
                <w:color w:val="auto"/>
              </w:rPr>
              <w:t>Corporate and other bonds</w:t>
            </w: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Industrial and miscellaneous</w:t>
            </w: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3,109,079</w:t>
            </w: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98,306</w:t>
            </w:r>
          </w:p>
        </w:tc>
        <w:tc>
          <w:tcPr>
            <w:tcW w:w="4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(52,921)</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3,154,464</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45,385</w:t>
            </w:r>
          </w:p>
        </w:tc>
      </w:tr>
      <w:tr>
        <w:trPr>
          <w:trHeight w:val="142"/>
        </w:trPr>
        <w:tc>
          <w:tcPr>
            <w:tcW w:w="244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4"/>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5,128,735</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331,487</w:t>
            </w: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(52,921)</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(12,247)</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5,395,054</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266,319</w:t>
            </w:r>
          </w:p>
        </w:tc>
      </w:tr>
      <w:tr>
        <w:trPr>
          <w:trHeight w:val="20"/>
        </w:trPr>
        <w:tc>
          <w:tcPr>
            <w:tcW w:w="24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Held-to-maturity U.S. Treasury securities are held in trust pursuant to the New York State Department of Financial Services’ minimum funds requirement.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amortized cost and fair value of the Company’s investments in held-to-maturity securities by contractual maturity as of June 30, 2015 and December 31, 2014 is shown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center"/>
              <w:ind w:left="564"/>
              <w:spacing w:after="0"/>
              <w:rPr>
                <w:sz w:val="20"/>
                <w:szCs w:val="20"/>
                <w:color w:val="auto"/>
              </w:rPr>
            </w:pPr>
            <w:r>
              <w:rPr>
                <w:rFonts w:ascii="Arial" w:cs="Arial" w:eastAsia="Arial" w:hAnsi="Arial"/>
                <w:sz w:val="10"/>
                <w:szCs w:val="10"/>
                <w:b w:val="1"/>
                <w:bCs w:val="1"/>
                <w:color w:val="auto"/>
                <w:w w:val="86"/>
              </w:rPr>
              <w:t>June 30, 2015</w:t>
            </w:r>
          </w:p>
        </w:tc>
        <w:tc>
          <w:tcPr>
            <w:tcW w:w="8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0"/>
                <w:szCs w:val="10"/>
                <w:b w:val="1"/>
                <w:bCs w:val="1"/>
                <w:color w:val="auto"/>
                <w:w w:val="86"/>
              </w:rPr>
              <w:t>December 31, 2014</w:t>
            </w: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9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304"/>
              <w:spacing w:after="0"/>
              <w:rPr>
                <w:sz w:val="20"/>
                <w:szCs w:val="20"/>
                <w:color w:val="auto"/>
              </w:rPr>
            </w:pPr>
            <w:r>
              <w:rPr>
                <w:rFonts w:ascii="Arial" w:cs="Arial" w:eastAsia="Arial" w:hAnsi="Arial"/>
                <w:sz w:val="10"/>
                <w:szCs w:val="10"/>
                <w:b w:val="1"/>
                <w:bCs w:val="1"/>
                <w:color w:val="auto"/>
              </w:rPr>
              <w:t>Amortized</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304"/>
              <w:spacing w:after="0"/>
              <w:rPr>
                <w:sz w:val="20"/>
                <w:szCs w:val="20"/>
                <w:color w:val="auto"/>
              </w:rPr>
            </w:pPr>
            <w:r>
              <w:rPr>
                <w:rFonts w:ascii="Arial" w:cs="Arial" w:eastAsia="Arial" w:hAnsi="Arial"/>
                <w:sz w:val="10"/>
                <w:szCs w:val="10"/>
                <w:b w:val="1"/>
                <w:bCs w:val="1"/>
                <w:color w:val="auto"/>
              </w:rPr>
              <w:t>Amortized</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6080" w:type="dxa"/>
            <w:vAlign w:val="bottom"/>
            <w:gridSpan w:val="3"/>
          </w:tcPr>
          <w:p>
            <w:pPr>
              <w:ind w:left="20"/>
              <w:spacing w:after="0"/>
              <w:rPr>
                <w:sz w:val="20"/>
                <w:szCs w:val="20"/>
                <w:color w:val="auto"/>
              </w:rPr>
            </w:pPr>
            <w:r>
              <w:rPr>
                <w:rFonts w:ascii="Arial" w:cs="Arial" w:eastAsia="Arial" w:hAnsi="Arial"/>
                <w:sz w:val="10"/>
                <w:szCs w:val="10"/>
                <w:b w:val="1"/>
                <w:bCs w:val="1"/>
                <w:color w:val="auto"/>
              </w:rPr>
              <w:t>Remaining Time to Maturit</w:t>
            </w:r>
            <w:r>
              <w:rPr>
                <w:rFonts w:ascii="Arial" w:cs="Arial" w:eastAsia="Arial" w:hAnsi="Arial"/>
                <w:sz w:val="10"/>
                <w:szCs w:val="10"/>
                <w:color w:val="auto"/>
              </w:rPr>
              <w:t>y</w:t>
            </w:r>
          </w:p>
        </w:tc>
        <w:tc>
          <w:tcPr>
            <w:tcW w:w="220" w:type="dxa"/>
            <w:vAlign w:val="bottom"/>
          </w:tcPr>
          <w:p>
            <w:pPr>
              <w:spacing w:after="0"/>
              <w:rPr>
                <w:sz w:val="10"/>
                <w:szCs w:val="10"/>
                <w:color w:val="auto"/>
              </w:rPr>
            </w:pPr>
          </w:p>
        </w:tc>
        <w:tc>
          <w:tcPr>
            <w:tcW w:w="940" w:type="dxa"/>
            <w:vAlign w:val="bottom"/>
          </w:tcPr>
          <w:p>
            <w:pPr>
              <w:jc w:val="right"/>
              <w:ind w:right="424"/>
              <w:spacing w:after="0"/>
              <w:rPr>
                <w:sz w:val="20"/>
                <w:szCs w:val="20"/>
                <w:color w:val="auto"/>
              </w:rPr>
            </w:pPr>
            <w:r>
              <w:rPr>
                <w:rFonts w:ascii="Arial" w:cs="Arial" w:eastAsia="Arial" w:hAnsi="Arial"/>
                <w:sz w:val="10"/>
                <w:szCs w:val="10"/>
                <w:b w:val="1"/>
                <w:bCs w:val="1"/>
                <w:color w:val="auto"/>
              </w:rPr>
              <w:t>Cost</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87"/>
              </w:rPr>
              <w:t>Fair Value</w:t>
            </w:r>
          </w:p>
        </w:tc>
        <w:tc>
          <w:tcPr>
            <w:tcW w:w="220" w:type="dxa"/>
            <w:vAlign w:val="bottom"/>
          </w:tcPr>
          <w:p>
            <w:pPr>
              <w:spacing w:after="0"/>
              <w:rPr>
                <w:sz w:val="10"/>
                <w:szCs w:val="10"/>
                <w:color w:val="auto"/>
              </w:rPr>
            </w:pPr>
          </w:p>
        </w:tc>
        <w:tc>
          <w:tcPr>
            <w:tcW w:w="940" w:type="dxa"/>
            <w:vAlign w:val="bottom"/>
          </w:tcPr>
          <w:p>
            <w:pPr>
              <w:jc w:val="right"/>
              <w:ind w:right="424"/>
              <w:spacing w:after="0"/>
              <w:rPr>
                <w:sz w:val="20"/>
                <w:szCs w:val="20"/>
                <w:color w:val="auto"/>
              </w:rPr>
            </w:pPr>
            <w:r>
              <w:rPr>
                <w:rFonts w:ascii="Arial" w:cs="Arial" w:eastAsia="Arial" w:hAnsi="Arial"/>
                <w:sz w:val="10"/>
                <w:szCs w:val="10"/>
                <w:b w:val="1"/>
                <w:bCs w:val="1"/>
                <w:color w:val="auto"/>
              </w:rPr>
              <w:t>Cost</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96"/>
              </w:rPr>
              <w:t>Fair Value</w:t>
            </w:r>
          </w:p>
        </w:tc>
      </w:tr>
      <w:tr>
        <w:trPr>
          <w:trHeight w:val="142"/>
        </w:trPr>
        <w:tc>
          <w:tcPr>
            <w:tcW w:w="920" w:type="dxa"/>
            <w:vAlign w:val="bottom"/>
            <w:tcBorders>
              <w:top w:val="single" w:sz="8" w:color="auto"/>
            </w:tcBorders>
          </w:tcPr>
          <w:p>
            <w:pPr>
              <w:spacing w:after="0"/>
              <w:rPr>
                <w:sz w:val="12"/>
                <w:szCs w:val="12"/>
                <w:color w:val="auto"/>
              </w:rPr>
            </w:pPr>
          </w:p>
        </w:tc>
        <w:tc>
          <w:tcPr>
            <w:tcW w:w="5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Less than one year</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gridSpan w:val="3"/>
          </w:tcPr>
          <w:p>
            <w:pPr>
              <w:ind w:left="20"/>
              <w:spacing w:after="0"/>
              <w:rPr>
                <w:sz w:val="20"/>
                <w:szCs w:val="20"/>
                <w:color w:val="auto"/>
              </w:rPr>
            </w:pPr>
            <w:r>
              <w:rPr>
                <w:rFonts w:ascii="Arial" w:cs="Arial" w:eastAsia="Arial" w:hAnsi="Arial"/>
                <w:sz w:val="12"/>
                <w:szCs w:val="12"/>
                <w:color w:val="auto"/>
              </w:rPr>
              <w:t>One to five years</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Five to ten years</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4,034,068</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4,010,908</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3,522,927</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3,563,401</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gridSpan w:val="3"/>
          </w:tcPr>
          <w:p>
            <w:pPr>
              <w:ind w:left="20"/>
              <w:spacing w:after="0"/>
              <w:rPr>
                <w:sz w:val="20"/>
                <w:szCs w:val="20"/>
                <w:color w:val="auto"/>
              </w:rPr>
            </w:pPr>
            <w:r>
              <w:rPr>
                <w:rFonts w:ascii="Arial" w:cs="Arial" w:eastAsia="Arial" w:hAnsi="Arial"/>
                <w:sz w:val="12"/>
                <w:szCs w:val="12"/>
                <w:color w:val="auto"/>
              </w:rPr>
              <w:t>More than 10 years</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1,101,484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1,247,653</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1,605,808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1,831,653</w:t>
            </w:r>
          </w:p>
        </w:tc>
        <w:tc>
          <w:tcPr>
            <w:tcW w:w="12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5,135,552</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5,258,561</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5,128,735</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5,395,054</w:t>
            </w:r>
          </w:p>
        </w:tc>
        <w:tc>
          <w:tcPr>
            <w:tcW w:w="120" w:type="dxa"/>
            <w:vAlign w:val="bottom"/>
            <w:shd w:val="clear" w:color="auto" w:fill="CCEEFF"/>
          </w:tcPr>
          <w:p>
            <w:pPr>
              <w:spacing w:after="0"/>
              <w:rPr>
                <w:sz w:val="15"/>
                <w:szCs w:val="15"/>
                <w:color w:val="auto"/>
              </w:rPr>
            </w:pPr>
          </w:p>
        </w:tc>
      </w:tr>
      <w:tr>
        <w:trPr>
          <w:trHeight w:val="237"/>
        </w:trPr>
        <w:tc>
          <w:tcPr>
            <w:tcW w:w="92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2"/>
                <w:szCs w:val="12"/>
                <w:color w:val="auto"/>
                <w:w w:val="88"/>
              </w:rPr>
              <w:t>Investment Income</w:t>
            </w:r>
          </w:p>
        </w:tc>
        <w:tc>
          <w:tcPr>
            <w:tcW w:w="5160" w:type="dxa"/>
            <w:vAlign w:val="bottom"/>
            <w:tcBorders>
              <w:top w:val="single" w:sz="8" w:color="CCEEFF"/>
            </w:tcBorders>
            <w:gridSpan w:val="2"/>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r>
      <w:tr>
        <w:trPr>
          <w:trHeight w:val="313"/>
        </w:trPr>
        <w:tc>
          <w:tcPr>
            <w:tcW w:w="6080" w:type="dxa"/>
            <w:vAlign w:val="bottom"/>
            <w:gridSpan w:val="3"/>
          </w:tcPr>
          <w:p>
            <w:pPr>
              <w:spacing w:after="0"/>
              <w:rPr>
                <w:sz w:val="20"/>
                <w:szCs w:val="20"/>
                <w:color w:val="auto"/>
              </w:rPr>
            </w:pPr>
            <w:r>
              <w:rPr>
                <w:rFonts w:ascii="Arial" w:cs="Arial" w:eastAsia="Arial" w:hAnsi="Arial"/>
                <w:sz w:val="12"/>
                <w:szCs w:val="12"/>
                <w:color w:val="auto"/>
              </w:rPr>
              <w:t>Major categories of the Company’s net investment income are summarized as follows: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2"/>
        </w:trPr>
        <w:tc>
          <w:tcPr>
            <w:tcW w:w="9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center"/>
              <w:ind w:left="564"/>
              <w:spacing w:after="0"/>
              <w:rPr>
                <w:sz w:val="20"/>
                <w:szCs w:val="20"/>
                <w:color w:val="auto"/>
              </w:rPr>
            </w:pPr>
            <w:r>
              <w:rPr>
                <w:rFonts w:ascii="Arial" w:cs="Arial" w:eastAsia="Arial" w:hAnsi="Arial"/>
                <w:sz w:val="10"/>
                <w:szCs w:val="10"/>
                <w:b w:val="1"/>
                <w:bCs w:val="1"/>
                <w:color w:val="auto"/>
                <w:w w:val="85"/>
              </w:rPr>
              <w:t>Three months ended</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jc w:val="center"/>
              <w:ind w:left="564"/>
              <w:spacing w:after="0"/>
              <w:rPr>
                <w:sz w:val="20"/>
                <w:szCs w:val="20"/>
                <w:color w:val="auto"/>
              </w:rPr>
            </w:pPr>
            <w:r>
              <w:rPr>
                <w:rFonts w:ascii="Arial" w:cs="Arial" w:eastAsia="Arial" w:hAnsi="Arial"/>
                <w:sz w:val="10"/>
                <w:szCs w:val="10"/>
                <w:b w:val="1"/>
                <w:bCs w:val="1"/>
                <w:color w:val="auto"/>
                <w:w w:val="83"/>
              </w:rPr>
              <w:t>Six months ended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4"/>
        </w:trPr>
        <w:tc>
          <w:tcPr>
            <w:tcW w:w="9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3"/>
          </w:tcPr>
          <w:p>
            <w:pPr>
              <w:jc w:val="center"/>
              <w:ind w:left="564"/>
              <w:spacing w:after="0" w:line="114" w:lineRule="exact"/>
              <w:rPr>
                <w:sz w:val="20"/>
                <w:szCs w:val="20"/>
                <w:color w:val="auto"/>
              </w:rPr>
            </w:pPr>
            <w:r>
              <w:rPr>
                <w:rFonts w:ascii="Arial" w:cs="Arial" w:eastAsia="Arial" w:hAnsi="Arial"/>
                <w:sz w:val="10"/>
                <w:szCs w:val="10"/>
                <w:b w:val="1"/>
                <w:bCs w:val="1"/>
                <w:color w:val="auto"/>
                <w:w w:val="89"/>
              </w:rPr>
              <w:t>June 30,</w:t>
            </w:r>
          </w:p>
        </w:tc>
        <w:tc>
          <w:tcPr>
            <w:tcW w:w="8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3"/>
          </w:tcPr>
          <w:p>
            <w:pPr>
              <w:jc w:val="center"/>
              <w:ind w:left="544"/>
              <w:spacing w:after="0" w:line="114" w:lineRule="exact"/>
              <w:rPr>
                <w:sz w:val="20"/>
                <w:szCs w:val="20"/>
                <w:color w:val="auto"/>
              </w:rPr>
            </w:pPr>
            <w:r>
              <w:rPr>
                <w:rFonts w:ascii="Arial" w:cs="Arial" w:eastAsia="Arial" w:hAnsi="Arial"/>
                <w:sz w:val="10"/>
                <w:szCs w:val="10"/>
                <w:b w:val="1"/>
                <w:bCs w:val="1"/>
                <w:color w:val="auto"/>
                <w:w w:val="84"/>
              </w:rPr>
              <w:t>June 30,</w:t>
            </w:r>
          </w:p>
        </w:tc>
        <w:tc>
          <w:tcPr>
            <w:tcW w:w="8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42"/>
        </w:trPr>
        <w:tc>
          <w:tcPr>
            <w:tcW w:w="9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2015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2014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2"/>
                <w:szCs w:val="12"/>
                <w:color w:val="auto"/>
              </w:rPr>
            </w:pPr>
          </w:p>
        </w:tc>
      </w:tr>
      <w:tr>
        <w:trPr>
          <w:trHeight w:val="286"/>
        </w:trPr>
        <w:tc>
          <w:tcPr>
            <w:tcW w:w="6080" w:type="dxa"/>
            <w:vAlign w:val="bottom"/>
            <w:gridSpan w:val="3"/>
          </w:tcPr>
          <w:p>
            <w:pPr>
              <w:ind w:left="20"/>
              <w:spacing w:after="0"/>
              <w:rPr>
                <w:sz w:val="20"/>
                <w:szCs w:val="20"/>
                <w:color w:val="auto"/>
              </w:rPr>
            </w:pPr>
            <w:r>
              <w:rPr>
                <w:rFonts w:ascii="Arial" w:cs="Arial" w:eastAsia="Arial" w:hAnsi="Arial"/>
                <w:sz w:val="12"/>
                <w:szCs w:val="12"/>
                <w:b w:val="1"/>
                <w:bCs w:val="1"/>
                <w:color w:val="auto"/>
              </w:rPr>
              <w:t>Income: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Fixed-maturity securities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565,337</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406,137</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1,076,292</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749,055</w:t>
            </w:r>
          </w:p>
        </w:tc>
      </w:tr>
      <w:tr>
        <w:trPr>
          <w:trHeight w:val="144"/>
        </w:trPr>
        <w:tc>
          <w:tcPr>
            <w:tcW w:w="6080" w:type="dxa"/>
            <w:vAlign w:val="bottom"/>
            <w:gridSpan w:val="3"/>
          </w:tcPr>
          <w:p>
            <w:pPr>
              <w:ind w:left="20"/>
              <w:spacing w:after="0"/>
              <w:rPr>
                <w:sz w:val="20"/>
                <w:szCs w:val="20"/>
                <w:color w:val="auto"/>
              </w:rPr>
            </w:pPr>
            <w:r>
              <w:rPr>
                <w:rFonts w:ascii="Arial" w:cs="Arial" w:eastAsia="Arial" w:hAnsi="Arial"/>
                <w:sz w:val="12"/>
                <w:szCs w:val="12"/>
                <w:color w:val="auto"/>
              </w:rPr>
              <w:t>Equity securities</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130,136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141,705</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252,705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256,218</w:t>
            </w:r>
          </w:p>
        </w:tc>
      </w:tr>
      <w:tr>
        <w:trPr>
          <w:trHeight w:val="144"/>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2,821</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23,440</w:t>
            </w:r>
          </w:p>
        </w:tc>
      </w:tr>
      <w:tr>
        <w:trPr>
          <w:trHeight w:val="144"/>
        </w:trPr>
        <w:tc>
          <w:tcPr>
            <w:tcW w:w="6080" w:type="dxa"/>
            <w:vAlign w:val="bottom"/>
            <w:gridSpan w:val="3"/>
          </w:tcPr>
          <w:p>
            <w:pPr>
              <w:ind w:left="20"/>
              <w:spacing w:after="0"/>
              <w:rPr>
                <w:sz w:val="20"/>
                <w:szCs w:val="20"/>
                <w:color w:val="auto"/>
              </w:rPr>
            </w:pPr>
            <w:r>
              <w:rPr>
                <w:rFonts w:ascii="Arial" w:cs="Arial" w:eastAsia="Arial" w:hAnsi="Arial"/>
                <w:sz w:val="12"/>
                <w:szCs w:val="12"/>
                <w:color w:val="auto"/>
              </w:rPr>
              <w:t>Other</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594</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594</w:t>
            </w:r>
          </w:p>
        </w:tc>
      </w:tr>
      <w:tr>
        <w:trPr>
          <w:trHeight w:val="20"/>
        </w:trPr>
        <w:tc>
          <w:tcPr>
            <w:tcW w:w="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695,594</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551,257</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1,329,212</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1,029,307</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gridSpan w:val="3"/>
          </w:tcPr>
          <w:p>
            <w:pPr>
              <w:ind w:left="20"/>
              <w:spacing w:after="0"/>
              <w:rPr>
                <w:sz w:val="20"/>
                <w:szCs w:val="20"/>
                <w:color w:val="auto"/>
              </w:rPr>
            </w:pPr>
            <w:r>
              <w:rPr>
                <w:rFonts w:ascii="Arial" w:cs="Arial" w:eastAsia="Arial" w:hAnsi="Arial"/>
                <w:sz w:val="12"/>
                <w:szCs w:val="12"/>
                <w:b w:val="1"/>
                <w:bCs w:val="1"/>
                <w:color w:val="auto"/>
              </w:rPr>
              <w:t>Expenses:</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Investment expenses</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69,622</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99,342</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128,584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198,604</w:t>
            </w:r>
          </w:p>
        </w:tc>
      </w:tr>
      <w:tr>
        <w:trPr>
          <w:trHeight w:val="20"/>
        </w:trPr>
        <w:tc>
          <w:tcPr>
            <w:tcW w:w="920" w:type="dxa"/>
            <w:vAlign w:val="bottom"/>
            <w:shd w:val="clear" w:color="auto" w:fill="CCEEFF"/>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3"/>
          </w:tcPr>
          <w:p>
            <w:pPr>
              <w:ind w:left="20"/>
              <w:spacing w:after="0"/>
              <w:rPr>
                <w:sz w:val="20"/>
                <w:szCs w:val="20"/>
                <w:color w:val="auto"/>
              </w:rPr>
            </w:pPr>
            <w:r>
              <w:rPr>
                <w:rFonts w:ascii="Arial" w:cs="Arial" w:eastAsia="Arial" w:hAnsi="Arial"/>
                <w:sz w:val="12"/>
                <w:szCs w:val="12"/>
                <w:color w:val="auto"/>
              </w:rPr>
              <w:t>Net investment income</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625,972</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451,915</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1,200,628</w:t>
            </w: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830,703</w:t>
            </w:r>
          </w:p>
        </w:tc>
      </w:tr>
      <w:tr>
        <w:trPr>
          <w:trHeight w:val="20"/>
        </w:trPr>
        <w:tc>
          <w:tcPr>
            <w:tcW w:w="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Proceeds from the sale and maturity of fixed-maturity securities were $1,135,673 and $3,463,499 for the six months ended June 30, 2015 and 2014, respectively.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30" w:right="199" w:bottom="1440" w:gutter="0" w:footer="0" w:header="0"/>
        </w:sectPr>
      </w:pPr>
    </w:p>
    <w:bookmarkStart w:id="12" w:name="page13"/>
    <w:bookmarkEnd w:id="12"/>
    <w:p>
      <w:pPr>
        <w:spacing w:after="0"/>
        <w:rPr>
          <w:sz w:val="20"/>
          <w:szCs w:val="20"/>
          <w:color w:val="auto"/>
        </w:rPr>
      </w:pPr>
      <w:r>
        <w:rPr>
          <w:rFonts w:ascii="Arial" w:cs="Arial" w:eastAsia="Arial" w:hAnsi="Arial"/>
          <w:sz w:val="12"/>
          <w:szCs w:val="12"/>
          <w:color w:val="auto"/>
        </w:rPr>
        <w:t>Proceeds from the sale of equity securities were $839,408 and $3,417,605 for the six months ended June 30, 2015 and 2014,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Company’s net realized gains (losses) on investments are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4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0"/>
                <w:szCs w:val="10"/>
                <w:b w:val="1"/>
                <w:bCs w:val="1"/>
                <w:color w:val="auto"/>
              </w:rPr>
              <w:t>Three months ended</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3"/>
          </w:tcPr>
          <w:p>
            <w:pPr>
              <w:jc w:val="right"/>
              <w:ind w:right="70"/>
              <w:spacing w:after="0"/>
              <w:rPr>
                <w:sz w:val="20"/>
                <w:szCs w:val="20"/>
                <w:color w:val="auto"/>
              </w:rPr>
            </w:pPr>
            <w:r>
              <w:rPr>
                <w:rFonts w:ascii="Arial" w:cs="Arial" w:eastAsia="Arial" w:hAnsi="Arial"/>
                <w:sz w:val="10"/>
                <w:szCs w:val="10"/>
                <w:b w:val="1"/>
                <w:bCs w:val="1"/>
                <w:color w:val="auto"/>
              </w:rPr>
              <w:t>Six months ended</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94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4"/>
          </w:tcPr>
          <w:p>
            <w:pPr>
              <w:jc w:val="right"/>
              <w:ind w:right="320"/>
              <w:spacing w:after="0" w:line="114" w:lineRule="exact"/>
              <w:rPr>
                <w:sz w:val="20"/>
                <w:szCs w:val="20"/>
                <w:color w:val="auto"/>
              </w:rPr>
            </w:pPr>
            <w:r>
              <w:rPr>
                <w:rFonts w:ascii="Arial" w:cs="Arial" w:eastAsia="Arial" w:hAnsi="Arial"/>
                <w:sz w:val="10"/>
                <w:szCs w:val="10"/>
                <w:b w:val="1"/>
                <w:bCs w:val="1"/>
                <w:color w:val="auto"/>
              </w:rPr>
              <w:t>June 30,</w:t>
            </w: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3"/>
          </w:tcPr>
          <w:p>
            <w:pPr>
              <w:jc w:val="right"/>
              <w:ind w:right="270"/>
              <w:spacing w:after="0" w:line="114" w:lineRule="exact"/>
              <w:rPr>
                <w:sz w:val="20"/>
                <w:szCs w:val="20"/>
                <w:color w:val="auto"/>
              </w:rPr>
            </w:pPr>
            <w:r>
              <w:rPr>
                <w:rFonts w:ascii="Arial" w:cs="Arial" w:eastAsia="Arial" w:hAnsi="Arial"/>
                <w:sz w:val="10"/>
                <w:szCs w:val="10"/>
                <w:b w:val="1"/>
                <w:bCs w:val="1"/>
                <w:color w:val="auto"/>
              </w:rPr>
              <w:t>June 30,</w:t>
            </w: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4"/>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6080" w:type="dxa"/>
            <w:vAlign w:val="bottom"/>
            <w:gridSpan w:val="2"/>
          </w:tcPr>
          <w:p>
            <w:pPr>
              <w:ind w:left="20"/>
              <w:spacing w:after="0"/>
              <w:rPr>
                <w:sz w:val="20"/>
                <w:szCs w:val="20"/>
                <w:color w:val="auto"/>
              </w:rPr>
            </w:pPr>
            <w:r>
              <w:rPr>
                <w:rFonts w:ascii="Arial" w:cs="Arial" w:eastAsia="Arial" w:hAnsi="Arial"/>
                <w:sz w:val="12"/>
                <w:szCs w:val="12"/>
                <w:b w:val="1"/>
                <w:bCs w:val="1"/>
                <w:color w:val="auto"/>
              </w:rPr>
              <w:t>Fixed-maturity securities: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Gross realized gains</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68,223</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157,479</w:t>
            </w:r>
          </w:p>
        </w:tc>
        <w:tc>
          <w:tcPr>
            <w:tcW w:w="0" w:type="dxa"/>
            <w:vAlign w:val="bottom"/>
          </w:tcPr>
          <w:p>
            <w:pPr>
              <w:spacing w:after="0"/>
              <w:rPr>
                <w:sz w:val="1"/>
                <w:szCs w:val="1"/>
                <w:color w:val="auto"/>
              </w:rPr>
            </w:pPr>
          </w:p>
        </w:tc>
      </w:tr>
      <w:tr>
        <w:trPr>
          <w:trHeight w:val="144"/>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Gross realized losses</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(18,717)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(1,894)</w:t>
            </w:r>
          </w:p>
        </w:tc>
        <w:tc>
          <w:tcPr>
            <w:tcW w:w="28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(86,211)</w:t>
            </w: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(28,293)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shd w:val="clear" w:color="auto" w:fill="CCEEFF"/>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(18,717)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66,329</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(86,211)</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129,186</w:t>
            </w:r>
          </w:p>
        </w:tc>
        <w:tc>
          <w:tcPr>
            <w:tcW w:w="0" w:type="dxa"/>
            <w:vAlign w:val="bottom"/>
          </w:tcPr>
          <w:p>
            <w:pPr>
              <w:spacing w:after="0"/>
              <w:rPr>
                <w:sz w:val="1"/>
                <w:szCs w:val="1"/>
                <w:color w:val="auto"/>
              </w:rPr>
            </w:pPr>
          </w:p>
        </w:tc>
      </w:tr>
      <w:tr>
        <w:trPr>
          <w:trHeight w:val="142"/>
        </w:trPr>
        <w:tc>
          <w:tcPr>
            <w:tcW w:w="940" w:type="dxa"/>
            <w:vAlign w:val="bottom"/>
            <w:tcBorders>
              <w:top w:val="single" w:sz="8" w:color="CCEEFF"/>
            </w:tcBorders>
          </w:tcPr>
          <w:p>
            <w:pPr>
              <w:spacing w:after="0"/>
              <w:rPr>
                <w:sz w:val="12"/>
                <w:szCs w:val="12"/>
                <w:color w:val="auto"/>
              </w:rPr>
            </w:pPr>
          </w:p>
        </w:tc>
        <w:tc>
          <w:tcPr>
            <w:tcW w:w="51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Equity securities: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Gross realized gains</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36,421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81,192</w:t>
            </w:r>
          </w:p>
        </w:tc>
        <w:tc>
          <w:tcPr>
            <w:tcW w:w="28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36,421</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217,251</w:t>
            </w:r>
          </w:p>
        </w:tc>
        <w:tc>
          <w:tcPr>
            <w:tcW w:w="0" w:type="dxa"/>
            <w:vAlign w:val="bottom"/>
          </w:tcPr>
          <w:p>
            <w:pPr>
              <w:spacing w:after="0"/>
              <w:rPr>
                <w:sz w:val="1"/>
                <w:szCs w:val="1"/>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Gross realized losses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(15,441)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(12,919)</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(15,441)</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(23,487)</w:t>
            </w:r>
          </w:p>
        </w:tc>
        <w:tc>
          <w:tcPr>
            <w:tcW w:w="0" w:type="dxa"/>
            <w:vAlign w:val="bottom"/>
          </w:tcPr>
          <w:p>
            <w:pPr>
              <w:spacing w:after="0"/>
              <w:rPr>
                <w:sz w:val="1"/>
                <w:szCs w:val="1"/>
                <w:color w:val="auto"/>
              </w:rPr>
            </w:pPr>
          </w:p>
        </w:tc>
      </w:tr>
      <w:tr>
        <w:trPr>
          <w:trHeight w:val="20"/>
        </w:trPr>
        <w:tc>
          <w:tcPr>
            <w:tcW w:w="940" w:type="dxa"/>
            <w:vAlign w:val="bottom"/>
            <w:shd w:val="clear" w:color="auto" w:fill="CCEEFF"/>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20,980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68,273</w:t>
            </w:r>
          </w:p>
        </w:tc>
        <w:tc>
          <w:tcPr>
            <w:tcW w:w="28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20,980</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193,764</w:t>
            </w:r>
          </w:p>
        </w:tc>
        <w:tc>
          <w:tcPr>
            <w:tcW w:w="0" w:type="dxa"/>
            <w:vAlign w:val="bottom"/>
          </w:tcPr>
          <w:p>
            <w:pPr>
              <w:spacing w:after="0"/>
              <w:rPr>
                <w:sz w:val="1"/>
                <w:szCs w:val="1"/>
                <w:color w:val="auto"/>
              </w:rPr>
            </w:pPr>
          </w:p>
        </w:tc>
      </w:tr>
      <w:tr>
        <w:trPr>
          <w:trHeight w:val="142"/>
        </w:trPr>
        <w:tc>
          <w:tcPr>
            <w:tcW w:w="940" w:type="dxa"/>
            <w:vAlign w:val="bottom"/>
            <w:shd w:val="clear" w:color="auto" w:fill="CCEEFF"/>
          </w:tcPr>
          <w:p>
            <w:pPr>
              <w:spacing w:after="0"/>
              <w:rPr>
                <w:sz w:val="12"/>
                <w:szCs w:val="12"/>
                <w:color w:val="auto"/>
              </w:rPr>
            </w:pPr>
          </w:p>
        </w:tc>
        <w:tc>
          <w:tcPr>
            <w:tcW w:w="51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Net realized gains (losses)</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2,263</w:t>
            </w:r>
          </w:p>
        </w:tc>
        <w:tc>
          <w:tcPr>
            <w:tcW w:w="4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134,602</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(65,231)</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322,950</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2"/>
                <w:szCs w:val="12"/>
                <w:color w:val="auto"/>
              </w:rPr>
              <w:t>Impairment Review</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Impairment of investment securities results in a charge to operations when a market decline to below cost is deemed to be other-than-temporary. The Company regularly reviews its fixed-maturity securities and equity securities portfolios to evaluate the necessity of recording impairment losses for other-than-temporary declines in the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other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other comprehensive income for the noncredit portion of a previous OTTI is amortized prospectively over the remaining life of the security on the basis of timing of future estimated cash flows of the security.</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OTTI losses are recorded in the condensed consolidated statements of income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June 30, 2015, there were 70 securities that accounted for the gross unrealized loss. The Company determined that none of the unrealized losses were deemed to be OTTI for its portfolio of fixed-maturity securities and equity securities for the six months ended June 30, 2015 and 2014.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3" w:name="page14"/>
    <w:bookmarkEnd w:id="13"/>
    <w:p>
      <w:pPr>
        <w:spacing w:after="0"/>
        <w:rPr>
          <w:sz w:val="20"/>
          <w:szCs w:val="20"/>
          <w:color w:val="auto"/>
        </w:rPr>
      </w:pPr>
      <w:r>
        <w:rPr>
          <w:rFonts w:ascii="Arial" w:cs="Arial" w:eastAsia="Arial" w:hAnsi="Arial"/>
          <w:sz w:val="12"/>
          <w:szCs w:val="12"/>
          <w:color w:val="auto"/>
        </w:rPr>
        <w:t>The Company held securities with unrealized losses representing declines that were considered temporary at June 30, 2015 and December 31, 2014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0"/>
                <w:szCs w:val="10"/>
                <w:b w:val="1"/>
                <w:bCs w:val="1"/>
                <w:color w:val="auto"/>
              </w:rPr>
              <w:t>June 30, 2015</w:t>
            </w: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3"/>
          </w:tcPr>
          <w:p>
            <w:pPr>
              <w:jc w:val="center"/>
              <w:ind w:right="240"/>
              <w:spacing w:after="0" w:line="97" w:lineRule="exact"/>
              <w:rPr>
                <w:sz w:val="20"/>
                <w:szCs w:val="20"/>
                <w:color w:val="auto"/>
              </w:rPr>
            </w:pPr>
            <w:r>
              <w:rPr>
                <w:rFonts w:ascii="Arial" w:cs="Arial" w:eastAsia="Arial" w:hAnsi="Arial"/>
                <w:sz w:val="10"/>
                <w:szCs w:val="10"/>
                <w:b w:val="1"/>
                <w:bCs w:val="1"/>
                <w:color w:val="auto"/>
                <w:w w:val="84"/>
              </w:rPr>
              <w:t>Less than 12 months</w:t>
            </w: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jc w:val="right"/>
              <w:ind w:right="300"/>
              <w:spacing w:after="0" w:line="97" w:lineRule="exact"/>
              <w:rPr>
                <w:sz w:val="20"/>
                <w:szCs w:val="20"/>
                <w:color w:val="auto"/>
              </w:rPr>
            </w:pPr>
            <w:r>
              <w:rPr>
                <w:rFonts w:ascii="Arial" w:cs="Arial" w:eastAsia="Arial" w:hAnsi="Arial"/>
                <w:sz w:val="10"/>
                <w:szCs w:val="10"/>
                <w:b w:val="1"/>
                <w:bCs w:val="1"/>
                <w:color w:val="auto"/>
                <w:w w:val="84"/>
              </w:rPr>
              <w:t>12 months or more</w:t>
            </w: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140"/>
              <w:spacing w:after="0" w:line="97" w:lineRule="exact"/>
              <w:rPr>
                <w:sz w:val="20"/>
                <w:szCs w:val="20"/>
                <w:color w:val="auto"/>
              </w:rPr>
            </w:pPr>
            <w:r>
              <w:rPr>
                <w:rFonts w:ascii="Arial" w:cs="Arial" w:eastAsia="Arial" w:hAnsi="Arial"/>
                <w:sz w:val="10"/>
                <w:szCs w:val="10"/>
                <w:b w:val="1"/>
                <w:bCs w:val="1"/>
                <w:color w:val="auto"/>
                <w:w w:val="83"/>
              </w:rPr>
              <w:t>Total</w:t>
            </w:r>
          </w:p>
        </w:tc>
        <w:tc>
          <w:tcPr>
            <w:tcW w:w="7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83"/>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No. of</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No. of</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center"/>
              <w:ind w:right="84"/>
              <w:spacing w:after="0" w:line="83" w:lineRule="exact"/>
              <w:rPr>
                <w:sz w:val="20"/>
                <w:szCs w:val="20"/>
                <w:color w:val="auto"/>
              </w:rPr>
            </w:pPr>
            <w:r>
              <w:rPr>
                <w:rFonts w:ascii="Arial" w:cs="Arial" w:eastAsia="Arial" w:hAnsi="Arial"/>
                <w:sz w:val="8"/>
                <w:szCs w:val="8"/>
                <w:b w:val="1"/>
                <w:bCs w:val="1"/>
                <w:color w:val="auto"/>
              </w:rPr>
              <w:t>Aggregate</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24"/>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Fair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6"/>
              </w:rPr>
              <w:t>Unrealized</w:t>
            </w:r>
          </w:p>
        </w:tc>
        <w:tc>
          <w:tcPr>
            <w:tcW w:w="94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79"/>
              </w:rPr>
              <w:t>Positions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7"/>
              </w:rPr>
              <w:t>Fair</w:t>
            </w:r>
          </w:p>
        </w:tc>
        <w:tc>
          <w:tcPr>
            <w:tcW w:w="60" w:type="dxa"/>
            <w:vAlign w:val="bottom"/>
          </w:tcPr>
          <w:p>
            <w:pPr>
              <w:spacing w:after="0"/>
              <w:rPr>
                <w:sz w:val="10"/>
                <w:szCs w:val="1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Unrealized</w:t>
            </w:r>
          </w:p>
        </w:tc>
        <w:tc>
          <w:tcPr>
            <w:tcW w:w="10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79"/>
              </w:rPr>
              <w:t>Positions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84"/>
              <w:spacing w:after="0"/>
              <w:rPr>
                <w:sz w:val="20"/>
                <w:szCs w:val="20"/>
                <w:color w:val="auto"/>
              </w:rPr>
            </w:pPr>
            <w:r>
              <w:rPr>
                <w:rFonts w:ascii="Arial" w:cs="Arial" w:eastAsia="Arial" w:hAnsi="Arial"/>
                <w:sz w:val="10"/>
                <w:szCs w:val="10"/>
                <w:b w:val="1"/>
                <w:bCs w:val="1"/>
                <w:color w:val="auto"/>
                <w:w w:val="97"/>
              </w:rPr>
              <w:t>Fair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6"/>
              </w:rPr>
              <w:t>Unrealized</w:t>
            </w:r>
          </w:p>
        </w:tc>
      </w:tr>
      <w:tr>
        <w:trPr>
          <w:trHeight w:val="134"/>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Value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81"/>
              </w:rPr>
              <w:t>Losses</w:t>
            </w:r>
          </w:p>
        </w:tc>
        <w:tc>
          <w:tcPr>
            <w:tcW w:w="24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Held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43"/>
              <w:spacing w:after="0"/>
              <w:rPr>
                <w:sz w:val="20"/>
                <w:szCs w:val="20"/>
                <w:color w:val="auto"/>
              </w:rPr>
            </w:pPr>
            <w:r>
              <w:rPr>
                <w:rFonts w:ascii="Arial" w:cs="Arial" w:eastAsia="Arial" w:hAnsi="Arial"/>
                <w:sz w:val="10"/>
                <w:szCs w:val="10"/>
                <w:b w:val="1"/>
                <w:bCs w:val="1"/>
                <w:color w:val="auto"/>
                <w:w w:val="89"/>
              </w:rPr>
              <w:t>Value</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Losses</w:t>
            </w:r>
          </w:p>
        </w:tc>
        <w:tc>
          <w:tcPr>
            <w:tcW w:w="20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Held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4"/>
              <w:spacing w:after="0"/>
              <w:rPr>
                <w:sz w:val="20"/>
                <w:szCs w:val="20"/>
                <w:color w:val="auto"/>
              </w:rPr>
            </w:pPr>
            <w:r>
              <w:rPr>
                <w:rFonts w:ascii="Arial" w:cs="Arial" w:eastAsia="Arial" w:hAnsi="Arial"/>
                <w:sz w:val="10"/>
                <w:szCs w:val="10"/>
                <w:b w:val="1"/>
                <w:bCs w:val="1"/>
                <w:color w:val="auto"/>
                <w:w w:val="82"/>
              </w:rPr>
              <w:t>Value</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75"/>
              </w:rPr>
              <w:t>Losses</w:t>
            </w:r>
          </w:p>
        </w:tc>
        <w:tc>
          <w:tcPr>
            <w:tcW w:w="120" w:type="dxa"/>
            <w:vAlign w:val="bottom"/>
          </w:tcPr>
          <w:p>
            <w:pPr>
              <w:spacing w:after="0"/>
              <w:rPr>
                <w:sz w:val="11"/>
                <w:szCs w:val="11"/>
                <w:color w:val="auto"/>
              </w:rPr>
            </w:pPr>
          </w:p>
        </w:tc>
      </w:tr>
      <w:tr>
        <w:trPr>
          <w:trHeight w:val="286"/>
        </w:trPr>
        <w:tc>
          <w:tcPr>
            <w:tcW w:w="2420" w:type="dxa"/>
            <w:vAlign w:val="bottom"/>
            <w:gridSpan w:val="2"/>
          </w:tcPr>
          <w:p>
            <w:pPr>
              <w:spacing w:after="0"/>
              <w:rPr>
                <w:sz w:val="20"/>
                <w:szCs w:val="20"/>
                <w:color w:val="auto"/>
              </w:rPr>
            </w:pPr>
            <w:r>
              <w:rPr>
                <w:rFonts w:ascii="Arial" w:cs="Arial" w:eastAsia="Arial" w:hAnsi="Arial"/>
                <w:sz w:val="12"/>
                <w:szCs w:val="12"/>
                <w:b w:val="1"/>
                <w:bCs w:val="1"/>
                <w:color w:val="auto"/>
              </w:rPr>
              <w:t>Fixed-Maturity Securities: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2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Political subdivisions of</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States, Territories and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Possessions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3,175,851</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(62,414)</w:t>
            </w:r>
          </w:p>
        </w:tc>
        <w:tc>
          <w:tcPr>
            <w:tcW w:w="920" w:type="dxa"/>
            <w:vAlign w:val="bottom"/>
            <w:shd w:val="clear" w:color="auto" w:fill="CCEEFF"/>
          </w:tcPr>
          <w:p>
            <w:pPr>
              <w:ind w:left="800"/>
              <w:spacing w:after="0"/>
              <w:rPr>
                <w:sz w:val="20"/>
                <w:szCs w:val="20"/>
                <w:color w:val="auto"/>
              </w:rPr>
            </w:pPr>
            <w:r>
              <w:rPr>
                <w:rFonts w:ascii="Arial" w:cs="Arial" w:eastAsia="Arial" w:hAnsi="Arial"/>
                <w:sz w:val="12"/>
                <w:szCs w:val="12"/>
                <w:color w:val="auto"/>
                <w:w w:val="74"/>
              </w:rPr>
              <w:t>10</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3,175,851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(62,414)</w:t>
            </w: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Corporate and other</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bonds industrial and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miscellaneous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13,574,476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(191,871)</w:t>
            </w:r>
          </w:p>
        </w:tc>
        <w:tc>
          <w:tcPr>
            <w:tcW w:w="920" w:type="dxa"/>
            <w:vAlign w:val="bottom"/>
            <w:shd w:val="clear" w:color="auto" w:fill="CCEEFF"/>
          </w:tcPr>
          <w:p>
            <w:pPr>
              <w:ind w:left="800"/>
              <w:spacing w:after="0"/>
              <w:rPr>
                <w:sz w:val="20"/>
                <w:szCs w:val="20"/>
                <w:color w:val="auto"/>
              </w:rPr>
            </w:pPr>
            <w:r>
              <w:rPr>
                <w:rFonts w:ascii="Arial" w:cs="Arial" w:eastAsia="Arial" w:hAnsi="Arial"/>
                <w:sz w:val="12"/>
                <w:szCs w:val="12"/>
                <w:color w:val="auto"/>
                <w:w w:val="74"/>
              </w:rPr>
              <w:t>27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479,415</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(10,736)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14,053,891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(202,607)</w:t>
            </w: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Residential mortgage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backed securities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2,609,538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(42,038)</w:t>
            </w:r>
          </w:p>
        </w:tc>
        <w:tc>
          <w:tcPr>
            <w:tcW w:w="940" w:type="dxa"/>
            <w:vAlign w:val="bottom"/>
            <w:gridSpan w:val="2"/>
          </w:tcPr>
          <w:p>
            <w:pPr>
              <w:ind w:left="820"/>
              <w:spacing w:after="0"/>
              <w:rPr>
                <w:sz w:val="20"/>
                <w:szCs w:val="20"/>
                <w:color w:val="auto"/>
              </w:rPr>
            </w:pPr>
            <w:r>
              <w:rPr>
                <w:rFonts w:ascii="Arial" w:cs="Arial" w:eastAsia="Arial" w:hAnsi="Arial"/>
                <w:sz w:val="12"/>
                <w:szCs w:val="12"/>
                <w:color w:val="auto"/>
                <w:w w:val="74"/>
              </w:rPr>
              <w:t>11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2,609,538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(42,038)</w:t>
            </w:r>
          </w:p>
        </w:tc>
      </w:tr>
      <w:tr>
        <w:trPr>
          <w:trHeight w:val="142"/>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Total fixed-maturity</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securities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19,359,865</w:t>
            </w: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(296,323)</w:t>
            </w:r>
          </w:p>
        </w:tc>
        <w:tc>
          <w:tcPr>
            <w:tcW w:w="920" w:type="dxa"/>
            <w:vAlign w:val="bottom"/>
            <w:shd w:val="clear" w:color="auto" w:fill="CCEEFF"/>
          </w:tcPr>
          <w:p>
            <w:pPr>
              <w:ind w:left="800"/>
              <w:spacing w:after="0"/>
              <w:rPr>
                <w:sz w:val="20"/>
                <w:szCs w:val="20"/>
                <w:color w:val="auto"/>
              </w:rPr>
            </w:pPr>
            <w:r>
              <w:rPr>
                <w:rFonts w:ascii="Arial" w:cs="Arial" w:eastAsia="Arial" w:hAnsi="Arial"/>
                <w:sz w:val="12"/>
                <w:szCs w:val="12"/>
                <w:color w:val="auto"/>
                <w:w w:val="74"/>
              </w:rPr>
              <w:t>48</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479,415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(10,736)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19,839,280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(307,059)</w:t>
            </w:r>
          </w:p>
        </w:tc>
      </w:tr>
      <w:tr>
        <w:trPr>
          <w:trHeight w:val="142"/>
        </w:trPr>
        <w:tc>
          <w:tcPr>
            <w:tcW w:w="23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Equity Securities: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Preferred stocks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844,035</w:t>
            </w:r>
          </w:p>
        </w:tc>
        <w:tc>
          <w:tcPr>
            <w:tcW w:w="120" w:type="dxa"/>
            <w:vAlign w:val="bottom"/>
          </w:tcPr>
          <w:p>
            <w:pPr>
              <w:spacing w:after="0"/>
              <w:rPr>
                <w:sz w:val="12"/>
                <w:szCs w:val="12"/>
                <w:color w:val="auto"/>
              </w:rPr>
            </w:pPr>
          </w:p>
        </w:tc>
        <w:tc>
          <w:tcPr>
            <w:tcW w:w="26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(27,967)</w:t>
            </w:r>
          </w:p>
        </w:tc>
        <w:tc>
          <w:tcPr>
            <w:tcW w:w="940" w:type="dxa"/>
            <w:vAlign w:val="bottom"/>
            <w:gridSpan w:val="2"/>
          </w:tcPr>
          <w:p>
            <w:pPr>
              <w:ind w:left="860"/>
              <w:spacing w:after="0"/>
              <w:rPr>
                <w:sz w:val="20"/>
                <w:szCs w:val="20"/>
                <w:color w:val="auto"/>
              </w:rPr>
            </w:pPr>
            <w:r>
              <w:rPr>
                <w:rFonts w:ascii="Arial" w:cs="Arial" w:eastAsia="Arial" w:hAnsi="Arial"/>
                <w:sz w:val="12"/>
                <w:szCs w:val="12"/>
                <w:color w:val="auto"/>
                <w:w w:val="89"/>
              </w:rPr>
              <w:t>3</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673,075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(29,016)</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1,517,110</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(56,983)</w:t>
            </w: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Common stocks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2,159,808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(131,551)</w:t>
            </w:r>
          </w:p>
        </w:tc>
        <w:tc>
          <w:tcPr>
            <w:tcW w:w="920" w:type="dxa"/>
            <w:vAlign w:val="bottom"/>
            <w:shd w:val="clear" w:color="auto" w:fill="CCEEFF"/>
          </w:tcPr>
          <w:p>
            <w:pPr>
              <w:ind w:left="800"/>
              <w:spacing w:after="0"/>
              <w:rPr>
                <w:sz w:val="20"/>
                <w:szCs w:val="20"/>
                <w:color w:val="auto"/>
              </w:rPr>
            </w:pPr>
            <w:r>
              <w:rPr>
                <w:rFonts w:ascii="Arial" w:cs="Arial" w:eastAsia="Arial" w:hAnsi="Arial"/>
                <w:sz w:val="12"/>
                <w:szCs w:val="12"/>
                <w:color w:val="auto"/>
                <w:w w:val="74"/>
              </w:rPr>
              <w:t>13</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254,100</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(15,077)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2,413,908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(146,628)</w:t>
            </w:r>
          </w:p>
        </w:tc>
      </w:tr>
      <w:tr>
        <w:trPr>
          <w:trHeight w:val="142"/>
        </w:trPr>
        <w:tc>
          <w:tcPr>
            <w:tcW w:w="23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equity securities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3,003,843</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(159,518)</w:t>
            </w:r>
          </w:p>
        </w:tc>
        <w:tc>
          <w:tcPr>
            <w:tcW w:w="920" w:type="dxa"/>
            <w:vAlign w:val="bottom"/>
            <w:shd w:val="clear" w:color="auto" w:fill="CCEEFF"/>
          </w:tcPr>
          <w:p>
            <w:pPr>
              <w:ind w:left="800"/>
              <w:spacing w:after="0"/>
              <w:rPr>
                <w:sz w:val="20"/>
                <w:szCs w:val="20"/>
                <w:color w:val="auto"/>
              </w:rPr>
            </w:pPr>
            <w:r>
              <w:rPr>
                <w:rFonts w:ascii="Arial" w:cs="Arial" w:eastAsia="Arial" w:hAnsi="Arial"/>
                <w:sz w:val="12"/>
                <w:szCs w:val="12"/>
                <w:color w:val="auto"/>
                <w:w w:val="74"/>
              </w:rPr>
              <w:t>16</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927,175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(44,093)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3,931,018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(203,611)</w:t>
            </w:r>
          </w:p>
        </w:tc>
      </w:tr>
      <w:tr>
        <w:trPr>
          <w:trHeight w:val="142"/>
        </w:trPr>
        <w:tc>
          <w:tcPr>
            <w:tcW w:w="23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22,363,708</w:t>
            </w: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(455,841)</w:t>
            </w:r>
          </w:p>
        </w:tc>
        <w:tc>
          <w:tcPr>
            <w:tcW w:w="920" w:type="dxa"/>
            <w:vAlign w:val="bottom"/>
            <w:shd w:val="clear" w:color="auto" w:fill="CCEEFF"/>
          </w:tcPr>
          <w:p>
            <w:pPr>
              <w:ind w:left="800"/>
              <w:spacing w:after="0"/>
              <w:rPr>
                <w:sz w:val="20"/>
                <w:szCs w:val="20"/>
                <w:color w:val="auto"/>
              </w:rPr>
            </w:pPr>
            <w:r>
              <w:rPr>
                <w:rFonts w:ascii="Arial" w:cs="Arial" w:eastAsia="Arial" w:hAnsi="Arial"/>
                <w:sz w:val="12"/>
                <w:szCs w:val="12"/>
                <w:color w:val="auto"/>
                <w:w w:val="74"/>
              </w:rPr>
              <w:t>64</w:t>
            </w:r>
          </w:p>
        </w:tc>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1,406,590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(54,829)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23,770,298</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(510,670)</w:t>
            </w:r>
          </w:p>
        </w:tc>
      </w:tr>
      <w:tr>
        <w:trPr>
          <w:trHeight w:val="381"/>
        </w:trPr>
        <w:tc>
          <w:tcPr>
            <w:tcW w:w="23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jc w:val="right"/>
              <w:ind w:right="40"/>
              <w:spacing w:after="0"/>
              <w:rPr>
                <w:sz w:val="20"/>
                <w:szCs w:val="20"/>
                <w:color w:val="auto"/>
              </w:rPr>
            </w:pPr>
            <w:r>
              <w:rPr>
                <w:rFonts w:ascii="Arial" w:cs="Arial" w:eastAsia="Arial" w:hAnsi="Arial"/>
                <w:sz w:val="12"/>
                <w:szCs w:val="12"/>
                <w:color w:val="auto"/>
                <w:w w:val="74"/>
              </w:rPr>
              <w:t>12</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23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15"/>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0"/>
                <w:szCs w:val="10"/>
                <w:b w:val="1"/>
                <w:bCs w:val="1"/>
                <w:color w:val="auto"/>
              </w:rPr>
              <w:t>December 31, 2014</w:t>
            </w: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3"/>
          </w:tcPr>
          <w:p>
            <w:pPr>
              <w:jc w:val="center"/>
              <w:ind w:right="240"/>
              <w:spacing w:after="0" w:line="97" w:lineRule="exact"/>
              <w:rPr>
                <w:sz w:val="20"/>
                <w:szCs w:val="20"/>
                <w:color w:val="auto"/>
              </w:rPr>
            </w:pPr>
            <w:r>
              <w:rPr>
                <w:rFonts w:ascii="Arial" w:cs="Arial" w:eastAsia="Arial" w:hAnsi="Arial"/>
                <w:sz w:val="10"/>
                <w:szCs w:val="10"/>
                <w:b w:val="1"/>
                <w:bCs w:val="1"/>
                <w:color w:val="auto"/>
                <w:w w:val="84"/>
              </w:rPr>
              <w:t>Less than 12 months</w:t>
            </w: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jc w:val="right"/>
              <w:ind w:right="300"/>
              <w:spacing w:after="0" w:line="97" w:lineRule="exact"/>
              <w:rPr>
                <w:sz w:val="20"/>
                <w:szCs w:val="20"/>
                <w:color w:val="auto"/>
              </w:rPr>
            </w:pPr>
            <w:r>
              <w:rPr>
                <w:rFonts w:ascii="Arial" w:cs="Arial" w:eastAsia="Arial" w:hAnsi="Arial"/>
                <w:sz w:val="10"/>
                <w:szCs w:val="10"/>
                <w:b w:val="1"/>
                <w:bCs w:val="1"/>
                <w:color w:val="auto"/>
                <w:w w:val="84"/>
              </w:rPr>
              <w:t>12 months or more</w:t>
            </w: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140"/>
              <w:spacing w:after="0" w:line="97" w:lineRule="exact"/>
              <w:rPr>
                <w:sz w:val="20"/>
                <w:szCs w:val="20"/>
                <w:color w:val="auto"/>
              </w:rPr>
            </w:pPr>
            <w:r>
              <w:rPr>
                <w:rFonts w:ascii="Arial" w:cs="Arial" w:eastAsia="Arial" w:hAnsi="Arial"/>
                <w:sz w:val="10"/>
                <w:szCs w:val="10"/>
                <w:b w:val="1"/>
                <w:bCs w:val="1"/>
                <w:color w:val="auto"/>
                <w:w w:val="83"/>
              </w:rPr>
              <w:t>Total</w:t>
            </w:r>
          </w:p>
        </w:tc>
        <w:tc>
          <w:tcPr>
            <w:tcW w:w="7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No. of</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No. of</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center"/>
              <w:ind w:right="84"/>
              <w:spacing w:after="0" w:line="83" w:lineRule="exact"/>
              <w:rPr>
                <w:sz w:val="20"/>
                <w:szCs w:val="20"/>
                <w:color w:val="auto"/>
              </w:rPr>
            </w:pPr>
            <w:r>
              <w:rPr>
                <w:rFonts w:ascii="Arial" w:cs="Arial" w:eastAsia="Arial" w:hAnsi="Arial"/>
                <w:sz w:val="8"/>
                <w:szCs w:val="8"/>
                <w:b w:val="1"/>
                <w:bCs w:val="1"/>
                <w:color w:val="auto"/>
              </w:rPr>
              <w:t>Aggregate</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323"/>
              <w:spacing w:after="0"/>
              <w:rPr>
                <w:sz w:val="20"/>
                <w:szCs w:val="20"/>
                <w:color w:val="auto"/>
              </w:rPr>
            </w:pPr>
            <w:r>
              <w:rPr>
                <w:rFonts w:ascii="Arial" w:cs="Arial" w:eastAsia="Arial" w:hAnsi="Arial"/>
                <w:sz w:val="10"/>
                <w:szCs w:val="10"/>
                <w:b w:val="1"/>
                <w:bCs w:val="1"/>
                <w:color w:val="auto"/>
              </w:rPr>
              <w:t>Fair</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6"/>
              </w:rPr>
              <w:t>Unrealized</w:t>
            </w:r>
          </w:p>
        </w:tc>
        <w:tc>
          <w:tcPr>
            <w:tcW w:w="94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79"/>
              </w:rPr>
              <w:t>Positions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7"/>
              </w:rPr>
              <w:t>Fair</w:t>
            </w:r>
          </w:p>
        </w:tc>
        <w:tc>
          <w:tcPr>
            <w:tcW w:w="60" w:type="dxa"/>
            <w:vAlign w:val="bottom"/>
          </w:tcPr>
          <w:p>
            <w:pPr>
              <w:spacing w:after="0"/>
              <w:rPr>
                <w:sz w:val="10"/>
                <w:szCs w:val="1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Unrealized</w:t>
            </w:r>
          </w:p>
        </w:tc>
        <w:tc>
          <w:tcPr>
            <w:tcW w:w="10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79"/>
              </w:rPr>
              <w:t>Positions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84"/>
              <w:spacing w:after="0"/>
              <w:rPr>
                <w:sz w:val="20"/>
                <w:szCs w:val="20"/>
                <w:color w:val="auto"/>
              </w:rPr>
            </w:pPr>
            <w:r>
              <w:rPr>
                <w:rFonts w:ascii="Arial" w:cs="Arial" w:eastAsia="Arial" w:hAnsi="Arial"/>
                <w:sz w:val="10"/>
                <w:szCs w:val="10"/>
                <w:b w:val="1"/>
                <w:bCs w:val="1"/>
                <w:color w:val="auto"/>
                <w:w w:val="97"/>
              </w:rPr>
              <w:t>Fair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6"/>
              </w:rPr>
              <w:t>Unrealized</w:t>
            </w:r>
          </w:p>
        </w:tc>
        <w:tc>
          <w:tcPr>
            <w:tcW w:w="0" w:type="dxa"/>
            <w:vAlign w:val="bottom"/>
          </w:tcPr>
          <w:p>
            <w:pPr>
              <w:spacing w:after="0"/>
              <w:rPr>
                <w:sz w:val="1"/>
                <w:szCs w:val="1"/>
                <w:color w:val="auto"/>
              </w:rPr>
            </w:pPr>
          </w:p>
        </w:tc>
      </w:tr>
      <w:tr>
        <w:trPr>
          <w:trHeight w:val="134"/>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Value</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81"/>
              </w:rPr>
              <w:t>Losses</w:t>
            </w:r>
          </w:p>
        </w:tc>
        <w:tc>
          <w:tcPr>
            <w:tcW w:w="24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Held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89"/>
              </w:rPr>
              <w:t>Value</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Losses</w:t>
            </w:r>
          </w:p>
        </w:tc>
        <w:tc>
          <w:tcPr>
            <w:tcW w:w="20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Held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4"/>
              <w:spacing w:after="0"/>
              <w:rPr>
                <w:sz w:val="20"/>
                <w:szCs w:val="20"/>
                <w:color w:val="auto"/>
              </w:rPr>
            </w:pPr>
            <w:r>
              <w:rPr>
                <w:rFonts w:ascii="Arial" w:cs="Arial" w:eastAsia="Arial" w:hAnsi="Arial"/>
                <w:sz w:val="10"/>
                <w:szCs w:val="10"/>
                <w:b w:val="1"/>
                <w:bCs w:val="1"/>
                <w:color w:val="auto"/>
                <w:w w:val="82"/>
              </w:rPr>
              <w:t>Value</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75"/>
              </w:rPr>
              <w:t>Losses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420" w:type="dxa"/>
            <w:vAlign w:val="bottom"/>
            <w:gridSpan w:val="2"/>
          </w:tcPr>
          <w:p>
            <w:pPr>
              <w:spacing w:after="0"/>
              <w:rPr>
                <w:sz w:val="20"/>
                <w:szCs w:val="20"/>
                <w:color w:val="auto"/>
              </w:rPr>
            </w:pPr>
            <w:r>
              <w:rPr>
                <w:rFonts w:ascii="Arial" w:cs="Arial" w:eastAsia="Arial" w:hAnsi="Arial"/>
                <w:sz w:val="12"/>
                <w:szCs w:val="12"/>
                <w:b w:val="1"/>
                <w:bCs w:val="1"/>
                <w:color w:val="auto"/>
              </w:rPr>
              <w:t>Fixed-Maturity Securities: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Political subdivisions of</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States, Territories and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Possessions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3,013,648</w:t>
            </w: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(23,813)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126,658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(6,379)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3,140,306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(30,192)</w:t>
            </w: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Corporate and other</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bonds industrial and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miscellaneous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6,325,579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(118,092)</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714,640</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(30,228)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7,040,219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(148,320)</w:t>
            </w: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fixed-maturity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securities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9,339,227</w:t>
            </w:r>
          </w:p>
        </w:tc>
        <w:tc>
          <w:tcPr>
            <w:tcW w:w="38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(141,905)</w:t>
            </w:r>
          </w:p>
        </w:tc>
        <w:tc>
          <w:tcPr>
            <w:tcW w:w="920" w:type="dxa"/>
            <w:vAlign w:val="bottom"/>
          </w:tcPr>
          <w:p>
            <w:pPr>
              <w:jc w:val="right"/>
              <w:spacing w:after="0"/>
              <w:rPr>
                <w:sz w:val="20"/>
                <w:szCs w:val="20"/>
                <w:color w:val="auto"/>
              </w:rPr>
            </w:pPr>
            <w:r>
              <w:rPr>
                <w:rFonts w:ascii="Arial" w:cs="Arial" w:eastAsia="Arial" w:hAnsi="Arial"/>
                <w:sz w:val="12"/>
                <w:szCs w:val="12"/>
                <w:color w:val="auto"/>
              </w:rPr>
              <w:t>24</w:t>
            </w:r>
          </w:p>
        </w:tc>
        <w:tc>
          <w:tcPr>
            <w:tcW w:w="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841,298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(36,607)</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10,180,525</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(178,512)</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b w:val="1"/>
                <w:bCs w:val="1"/>
                <w:color w:val="auto"/>
              </w:rPr>
              <w:t>Equity Securities: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Preferred stocks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656,325</w:t>
            </w: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(2,647)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1,448,376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(62,886)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2,104,701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(65,533)</w:t>
            </w: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Common stocks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267,000</w:t>
            </w:r>
          </w:p>
        </w:tc>
        <w:tc>
          <w:tcPr>
            <w:tcW w:w="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(2,177)</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267,000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(2,177)</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Total equity securities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656,325</w:t>
            </w:r>
          </w:p>
        </w:tc>
        <w:tc>
          <w:tcPr>
            <w:tcW w:w="38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(2,647)</w:t>
            </w: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1,715,376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(65,063)</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7</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2,371,701</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(67,710)</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9,995,552</w:t>
            </w:r>
          </w:p>
        </w:tc>
        <w:tc>
          <w:tcPr>
            <w:tcW w:w="38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(144,552)</w:t>
            </w:r>
          </w:p>
        </w:tc>
        <w:tc>
          <w:tcPr>
            <w:tcW w:w="920" w:type="dxa"/>
            <w:vAlign w:val="bottom"/>
          </w:tcPr>
          <w:p>
            <w:pPr>
              <w:jc w:val="right"/>
              <w:spacing w:after="0"/>
              <w:rPr>
                <w:sz w:val="20"/>
                <w:szCs w:val="20"/>
                <w:color w:val="auto"/>
              </w:rPr>
            </w:pPr>
            <w:r>
              <w:rPr>
                <w:rFonts w:ascii="Arial" w:cs="Arial" w:eastAsia="Arial" w:hAnsi="Arial"/>
                <w:sz w:val="12"/>
                <w:szCs w:val="12"/>
                <w:color w:val="auto"/>
              </w:rPr>
              <w:t>25</w:t>
            </w:r>
          </w:p>
        </w:tc>
        <w:tc>
          <w:tcPr>
            <w:tcW w:w="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2,556,674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(101,670)</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10</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12,552,226</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(246,222)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vMerge w:val="restart"/>
          </w:tcPr>
          <w:p>
            <w:pPr>
              <w:jc w:val="right"/>
              <w:ind w:right="40"/>
              <w:spacing w:after="0"/>
              <w:rPr>
                <w:sz w:val="20"/>
                <w:szCs w:val="20"/>
                <w:color w:val="auto"/>
              </w:rPr>
            </w:pPr>
            <w:r>
              <w:rPr>
                <w:rFonts w:ascii="Arial" w:cs="Arial" w:eastAsia="Arial" w:hAnsi="Arial"/>
                <w:sz w:val="12"/>
                <w:szCs w:val="12"/>
                <w:color w:val="auto"/>
                <w:w w:val="74"/>
              </w:rPr>
              <w:t>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3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30" w:right="1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Note 4 - Fair Value Measurements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follows GAAP guidance regarding fair value measurements. The valuation technique used to fair value the financial instruments is the market approach which uses prices and other relevant information generated by market transactions involving identical or comparable assets.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This guidance establishes a three-level hierarchy that prioritizes the inputs to valuation techniques used to measure fair value. 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Level 1</w:t>
      </w:r>
      <w:r>
        <w:rPr>
          <w:rFonts w:ascii="Arial" w:cs="Arial" w:eastAsia="Arial" w:hAnsi="Arial"/>
          <w:sz w:val="12"/>
          <w:szCs w:val="12"/>
          <w:color w:val="auto"/>
        </w:rPr>
        <w:t>—Inputs to the valuation methodology are quoted prices (unadjusted) for identical assets or liabilities traded in active markets. Included are those investments traded on an active exchange, such as the NASDAQ Global Select</w:t>
      </w:r>
      <w:r>
        <w:rPr>
          <w:rFonts w:ascii="Arial" w:cs="Arial" w:eastAsia="Arial" w:hAnsi="Arial"/>
          <w:sz w:val="12"/>
          <w:szCs w:val="12"/>
          <w:i w:val="1"/>
          <w:iCs w:val="1"/>
          <w:color w:val="auto"/>
        </w:rPr>
        <w:t xml:space="preserve"> </w:t>
      </w:r>
      <w:r>
        <w:rPr>
          <w:rFonts w:ascii="Arial" w:cs="Arial" w:eastAsia="Arial" w:hAnsi="Arial"/>
          <w:sz w:val="12"/>
          <w:szCs w:val="12"/>
          <w:color w:val="auto"/>
        </w:rPr>
        <w:t>Market, U.S. Treasury securities and obligations of U.S. government agencies, together with corporate debt securities that are generally investment grade.</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Level 2</w:t>
      </w:r>
      <w:r>
        <w:rPr>
          <w:rFonts w:ascii="Arial" w:cs="Arial" w:eastAsia="Arial" w:hAnsi="Arial"/>
          <w:sz w:val="12"/>
          <w:szCs w:val="12"/>
          <w:color w:val="auto"/>
        </w:rPr>
        <w:t>—Inputs to the valuation methodology include quoted prices for similar assets or liabilities in active markets, quoted prices for identical or similar assets or liabilities in markets that are not active, inputs other than quoted prices that</w:t>
      </w:r>
      <w:r>
        <w:rPr>
          <w:rFonts w:ascii="Arial" w:cs="Arial" w:eastAsia="Arial" w:hAnsi="Arial"/>
          <w:sz w:val="12"/>
          <w:szCs w:val="12"/>
          <w:i w:val="1"/>
          <w:iCs w:val="1"/>
          <w:color w:val="auto"/>
        </w:rPr>
        <w:t xml:space="preserve"> </w:t>
      </w:r>
      <w:r>
        <w:rPr>
          <w:rFonts w:ascii="Arial" w:cs="Arial" w:eastAsia="Arial" w:hAnsi="Arial"/>
          <w:sz w:val="12"/>
          <w:szCs w:val="12"/>
          <w:color w:val="auto"/>
        </w:rPr>
        <w:t>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i w:val="1"/>
          <w:iCs w:val="1"/>
          <w:color w:val="auto"/>
        </w:rPr>
        <w:t>Level 3</w:t>
      </w:r>
      <w:r>
        <w:rPr>
          <w:rFonts w:ascii="Arial" w:cs="Arial" w:eastAsia="Arial" w:hAnsi="Arial"/>
          <w:sz w:val="12"/>
          <w:szCs w:val="12"/>
          <w:color w:val="auto"/>
        </w:rPr>
        <w:t>—Inputs to the valuation methodology are unobservable for the asset or liability and are significant to the fair value measurement. Material assumptions and factors considered in pricing investment securities and other assets may</w:t>
      </w:r>
      <w:r>
        <w:rPr>
          <w:rFonts w:ascii="Arial" w:cs="Arial" w:eastAsia="Arial" w:hAnsi="Arial"/>
          <w:sz w:val="12"/>
          <w:szCs w:val="12"/>
          <w:i w:val="1"/>
          <w:iCs w:val="1"/>
          <w:color w:val="auto"/>
        </w:rPr>
        <w:t xml:space="preserve"> </w:t>
      </w:r>
      <w:r>
        <w:rPr>
          <w:rFonts w:ascii="Arial" w:cs="Arial" w:eastAsia="Arial" w:hAnsi="Arial"/>
          <w:sz w:val="12"/>
          <w:szCs w:val="12"/>
          <w:color w:val="auto"/>
        </w:rPr>
        <w:t>include appraisals, projected cash flows, market clearing activity or liquidity circumstances in the security or similar securities that may have occurred since the prior pricing period.</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16" w:name="page17"/>
    <w:bookmarkEnd w:id="16"/>
    <w:p>
      <w:pPr>
        <w:spacing w:after="0"/>
        <w:rPr>
          <w:sz w:val="20"/>
          <w:szCs w:val="20"/>
          <w:color w:val="auto"/>
        </w:rPr>
      </w:pPr>
      <w:r>
        <w:rPr>
          <w:rFonts w:ascii="Arial" w:cs="Arial" w:eastAsia="Arial" w:hAnsi="Arial"/>
          <w:sz w:val="12"/>
          <w:szCs w:val="12"/>
          <w:color w:val="auto"/>
        </w:rPr>
        <w:t>The Company’s investments are allocated among pricing input levels at June 30, 2015 and December 31, 2014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3"/>
          </w:tcPr>
          <w:p>
            <w:pPr>
              <w:jc w:val="right"/>
              <w:ind w:right="731"/>
              <w:spacing w:after="0"/>
              <w:rPr>
                <w:sz w:val="20"/>
                <w:szCs w:val="20"/>
                <w:color w:val="auto"/>
              </w:rPr>
            </w:pPr>
            <w:r>
              <w:rPr>
                <w:rFonts w:ascii="Arial" w:cs="Arial" w:eastAsia="Arial" w:hAnsi="Arial"/>
                <w:sz w:val="10"/>
                <w:szCs w:val="10"/>
                <w:b w:val="1"/>
                <w:bCs w:val="1"/>
                <w:color w:val="auto"/>
              </w:rPr>
              <w:t>June 30, 2015</w:t>
            </w: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4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 in thousands</w:t>
            </w: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Level 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Level 2</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2"/>
                <w:szCs w:val="12"/>
                <w:color w:val="auto"/>
              </w:rPr>
            </w:pPr>
          </w:p>
        </w:tc>
      </w:tr>
      <w:tr>
        <w:trPr>
          <w:trHeight w:val="286"/>
        </w:trPr>
        <w:tc>
          <w:tcPr>
            <w:tcW w:w="6080" w:type="dxa"/>
            <w:vAlign w:val="bottom"/>
            <w:gridSpan w:val="2"/>
          </w:tcPr>
          <w:p>
            <w:pPr>
              <w:ind w:left="20"/>
              <w:spacing w:after="0"/>
              <w:rPr>
                <w:sz w:val="20"/>
                <w:szCs w:val="20"/>
                <w:color w:val="auto"/>
              </w:rPr>
            </w:pPr>
            <w:r>
              <w:rPr>
                <w:rFonts w:ascii="Arial" w:cs="Arial" w:eastAsia="Arial" w:hAnsi="Arial"/>
                <w:sz w:val="12"/>
                <w:szCs w:val="12"/>
                <w:b w:val="1"/>
                <w:bCs w:val="1"/>
                <w:color w:val="auto"/>
              </w:rPr>
              <w:t>Fixed-maturity securities available-for-sale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Political subdivisions of</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States, Territories and</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Possessions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13,778,604</w:t>
            </w:r>
          </w:p>
        </w:tc>
        <w:tc>
          <w:tcPr>
            <w:tcW w:w="920" w:type="dxa"/>
            <w:vAlign w:val="bottom"/>
            <w:shd w:val="clear" w:color="auto" w:fill="CCEEFF"/>
          </w:tcPr>
          <w:p>
            <w:pPr>
              <w:jc w:val="right"/>
              <w:ind w:right="811"/>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13,778,604</w:t>
            </w:r>
          </w:p>
        </w:tc>
      </w:tr>
      <w:tr>
        <w:trPr>
          <w:trHeight w:val="144"/>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Corporate and other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bonds industrial and</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miscellaneous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31,334,151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7,558,746</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38,892,897</w:t>
            </w:r>
          </w:p>
        </w:tc>
      </w:tr>
      <w:tr>
        <w:trPr>
          <w:trHeight w:val="144"/>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Residential mortgage backed securities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4,180,593</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4,180,593</w:t>
            </w:r>
          </w:p>
        </w:tc>
        <w:tc>
          <w:tcPr>
            <w:tcW w:w="120" w:type="dxa"/>
            <w:vAlign w:val="bottom"/>
            <w:shd w:val="clear" w:color="auto" w:fill="CCEEFF"/>
          </w:tcPr>
          <w:p>
            <w:pPr>
              <w:spacing w:after="0"/>
              <w:rPr>
                <w:sz w:val="12"/>
                <w:szCs w:val="12"/>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Total fixed maturities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31,334,151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25,517,943</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56,852,094</w:t>
            </w: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Equity securities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9,275,452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9,275,452</w:t>
            </w:r>
          </w:p>
        </w:tc>
        <w:tc>
          <w:tcPr>
            <w:tcW w:w="120" w:type="dxa"/>
            <w:vAlign w:val="bottom"/>
            <w:shd w:val="clear" w:color="auto" w:fill="CCEEFF"/>
          </w:tcPr>
          <w:p>
            <w:pPr>
              <w:spacing w:after="0"/>
              <w:rPr>
                <w:sz w:val="12"/>
                <w:szCs w:val="12"/>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Total investments</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40,609,603</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25,517,943</w:t>
            </w:r>
          </w:p>
        </w:tc>
        <w:tc>
          <w:tcPr>
            <w:tcW w:w="920" w:type="dxa"/>
            <w:vAlign w:val="bottom"/>
          </w:tcPr>
          <w:p>
            <w:pPr>
              <w:jc w:val="right"/>
              <w:ind w:right="811"/>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66,127,546</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2"/>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0"/>
                <w:szCs w:val="10"/>
                <w:b w:val="1"/>
                <w:bCs w:val="1"/>
                <w:color w:val="auto"/>
              </w:rPr>
              <w:t>December 31, 2014</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 in thousands</w:t>
            </w: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Level 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Level 2</w:t>
            </w:r>
          </w:p>
        </w:tc>
        <w:tc>
          <w:tcPr>
            <w:tcW w:w="240" w:type="dxa"/>
            <w:vAlign w:val="bottom"/>
          </w:tcPr>
          <w:p>
            <w:pPr>
              <w:spacing w:after="0"/>
              <w:rPr>
                <w:sz w:val="12"/>
                <w:szCs w:val="12"/>
                <w:color w:val="auto"/>
              </w:rPr>
            </w:pPr>
          </w:p>
        </w:tc>
        <w:tc>
          <w:tcPr>
            <w:tcW w:w="92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Level 3</w:t>
            </w: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2"/>
                <w:szCs w:val="12"/>
                <w:color w:val="auto"/>
              </w:rPr>
            </w:pPr>
          </w:p>
        </w:tc>
      </w:tr>
      <w:tr>
        <w:trPr>
          <w:trHeight w:val="286"/>
        </w:trPr>
        <w:tc>
          <w:tcPr>
            <w:tcW w:w="6080" w:type="dxa"/>
            <w:vAlign w:val="bottom"/>
            <w:gridSpan w:val="2"/>
          </w:tcPr>
          <w:p>
            <w:pPr>
              <w:ind w:left="20"/>
              <w:spacing w:after="0"/>
              <w:rPr>
                <w:sz w:val="20"/>
                <w:szCs w:val="20"/>
                <w:color w:val="auto"/>
              </w:rPr>
            </w:pPr>
            <w:r>
              <w:rPr>
                <w:rFonts w:ascii="Arial" w:cs="Arial" w:eastAsia="Arial" w:hAnsi="Arial"/>
                <w:sz w:val="12"/>
                <w:szCs w:val="12"/>
                <w:b w:val="1"/>
                <w:bCs w:val="1"/>
                <w:color w:val="auto"/>
              </w:rPr>
              <w:t>Fixed-maturity investments available-for-sale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Political subdivisions of</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States, Territories and</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Possessions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14,244,439</w:t>
            </w:r>
          </w:p>
        </w:tc>
        <w:tc>
          <w:tcPr>
            <w:tcW w:w="920" w:type="dxa"/>
            <w:vAlign w:val="bottom"/>
            <w:shd w:val="clear" w:color="auto" w:fill="CCEEFF"/>
          </w:tcPr>
          <w:p>
            <w:pPr>
              <w:jc w:val="right"/>
              <w:ind w:right="811"/>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14,244,439</w:t>
            </w:r>
          </w:p>
        </w:tc>
      </w:tr>
      <w:tr>
        <w:trPr>
          <w:trHeight w:val="144"/>
        </w:trPr>
        <w:tc>
          <w:tcPr>
            <w:tcW w:w="608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Corporate and other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bonds industrial and</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miscellaneous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29,257,850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7,618,570</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36,876,420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Total fixed maturities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29,257,850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21,863,009</w:t>
            </w: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51,120,859</w:t>
            </w: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Equity investments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8,017,729</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8,017,729</w:t>
            </w:r>
          </w:p>
        </w:tc>
        <w:tc>
          <w:tcPr>
            <w:tcW w:w="120" w:type="dxa"/>
            <w:vAlign w:val="bottom"/>
            <w:shd w:val="clear" w:color="auto" w:fill="CCEEFF"/>
          </w:tcPr>
          <w:p>
            <w:pPr>
              <w:spacing w:after="0"/>
              <w:rPr>
                <w:sz w:val="12"/>
                <w:szCs w:val="12"/>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Total investments</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37,275,579</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21,863,009</w:t>
            </w:r>
          </w:p>
        </w:tc>
        <w:tc>
          <w:tcPr>
            <w:tcW w:w="920" w:type="dxa"/>
            <w:vAlign w:val="bottom"/>
          </w:tcPr>
          <w:p>
            <w:pPr>
              <w:jc w:val="right"/>
              <w:ind w:right="811"/>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59,138,588</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 Fair Value of Financial Instruments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GAAP requires all entities to disclose the fair value of financial instruments, both assets and liabilities recognized and not recognized in the balance sheet, for which it is practicable to estimate fair value. The Company uses the following methods and assumptions in estimating its fair value disclosures for financial instruments: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Equity securities and fixed income securities available-for-sale: </w:t>
      </w:r>
      <w:r>
        <w:rPr>
          <w:rFonts w:ascii="Arial" w:cs="Arial" w:eastAsia="Arial" w:hAnsi="Arial"/>
          <w:sz w:val="12"/>
          <w:szCs w:val="12"/>
          <w:color w:val="auto"/>
        </w:rPr>
        <w:t>Fair value disclosures for these investments are included in “Note 3 - Investments.”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Cash and cash equivalents: </w:t>
      </w:r>
      <w:r>
        <w:rPr>
          <w:rFonts w:ascii="Arial" w:cs="Arial" w:eastAsia="Arial" w:hAnsi="Arial"/>
          <w:sz w:val="12"/>
          <w:szCs w:val="12"/>
          <w:color w:val="auto"/>
        </w:rPr>
        <w:t>The carrying values of cash and cash equivalents approximate their fair values because of the short-term nature of these instruments.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 xml:space="preserve">Premiums receivable and reinsurance receivables: </w:t>
      </w:r>
      <w:r>
        <w:rPr>
          <w:rFonts w:ascii="Arial" w:cs="Arial" w:eastAsia="Arial" w:hAnsi="Arial"/>
          <w:sz w:val="12"/>
          <w:szCs w:val="12"/>
          <w:color w:val="auto"/>
        </w:rPr>
        <w:t>The carrying values reported in the accompanying condensed consolidated balance sheets for these financial instruments approximate their fair values due to the short-term nature of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7" w:name="page18"/>
    <w:bookmarkEnd w:id="17"/>
    <w:p>
      <w:pPr>
        <w:spacing w:after="0" w:line="276" w:lineRule="auto"/>
        <w:rPr>
          <w:sz w:val="20"/>
          <w:szCs w:val="20"/>
          <w:color w:val="auto"/>
        </w:rPr>
      </w:pPr>
      <w:r>
        <w:rPr>
          <w:rFonts w:ascii="Arial" w:cs="Arial" w:eastAsia="Arial" w:hAnsi="Arial"/>
          <w:sz w:val="12"/>
          <w:szCs w:val="12"/>
          <w:b w:val="1"/>
          <w:bCs w:val="1"/>
          <w:i w:val="1"/>
          <w:iCs w:val="1"/>
          <w:color w:val="auto"/>
        </w:rPr>
        <w:t xml:space="preserve">Real estate: </w:t>
      </w:r>
      <w:r>
        <w:rPr>
          <w:rFonts w:ascii="Arial" w:cs="Arial" w:eastAsia="Arial" w:hAnsi="Arial"/>
          <w:sz w:val="12"/>
          <w:szCs w:val="12"/>
          <w:color w:val="auto"/>
        </w:rPr>
        <w:t>The fair value of the land and building included in property and equipment, which is used in the Company’s operations, approximates the carrying value. The fair value was based on an appraisal prepared using the sales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comparison approach, and accordingly the real estate is a Level 3 asset under the fair value hierarchy.</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Reinsurance balances payable: </w:t>
      </w:r>
      <w:r>
        <w:rPr>
          <w:rFonts w:ascii="Arial" w:cs="Arial" w:eastAsia="Arial" w:hAnsi="Arial"/>
          <w:sz w:val="12"/>
          <w:szCs w:val="12"/>
          <w:color w:val="auto"/>
        </w:rPr>
        <w:t>The carrying value reported in the condensed consolidated balance sheets for these financial instruments approximates fair value.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estimated fair values of the Company’s financial instruments as of June 30, 2015 and December 31, 2014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rPr>
              <w:t>June 30, 2015</w:t>
            </w:r>
          </w:p>
        </w:tc>
        <w:tc>
          <w:tcPr>
            <w:tcW w:w="8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2014</w:t>
            </w: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Carrying Value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Fair Value</w:t>
            </w:r>
          </w:p>
        </w:tc>
        <w:tc>
          <w:tcPr>
            <w:tcW w:w="160" w:type="dxa"/>
            <w:vAlign w:val="bottom"/>
          </w:tcPr>
          <w:p>
            <w:pPr>
              <w:spacing w:after="0"/>
              <w:rPr>
                <w:sz w:val="12"/>
                <w:szCs w:val="12"/>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Carrying Value</w:t>
            </w:r>
          </w:p>
        </w:tc>
        <w:tc>
          <w:tcPr>
            <w:tcW w:w="300" w:type="dxa"/>
            <w:vAlign w:val="bottom"/>
          </w:tcPr>
          <w:p>
            <w:pPr>
              <w:spacing w:after="0"/>
              <w:rPr>
                <w:sz w:val="12"/>
                <w:szCs w:val="12"/>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Fixed-maturity securities held-to-maturity</w:t>
            </w:r>
          </w:p>
        </w:tc>
        <w:tc>
          <w:tcPr>
            <w:tcW w:w="2100" w:type="dxa"/>
            <w:vAlign w:val="bottom"/>
            <w:gridSpan w:val="2"/>
            <w:shd w:val="clear" w:color="auto" w:fill="CCEEFF"/>
          </w:tcPr>
          <w:p>
            <w:pPr>
              <w:jc w:val="right"/>
              <w:ind w:right="5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5,135,552</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5,258,561</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5,128,735</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5,395,054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3,932,397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3,932,397</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9,906,878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9,906,878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Premiums receivable</w:t>
            </w: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10,498,787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10,498,787</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8,946,899</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8,946,899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tcPr>
          <w:p>
            <w:pPr>
              <w:spacing w:after="0"/>
              <w:rPr>
                <w:sz w:val="20"/>
                <w:szCs w:val="20"/>
                <w:color w:val="auto"/>
              </w:rPr>
            </w:pPr>
            <w:r>
              <w:rPr>
                <w:rFonts w:ascii="Arial" w:cs="Arial" w:eastAsia="Arial" w:hAnsi="Arial"/>
                <w:sz w:val="12"/>
                <w:szCs w:val="12"/>
                <w:color w:val="auto"/>
              </w:rPr>
              <w:t>Receivables - reinsurance contracts</w:t>
            </w: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2,126,803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2,126,803</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1,301,549</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1,301,549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Reinsurance receivables</w:t>
            </w: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38,741,165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38,741,165</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35,575,276</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35,575,276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tcPr>
          <w:p>
            <w:pPr>
              <w:spacing w:after="0"/>
              <w:rPr>
                <w:sz w:val="20"/>
                <w:szCs w:val="20"/>
                <w:color w:val="auto"/>
              </w:rPr>
            </w:pPr>
            <w:r>
              <w:rPr>
                <w:rFonts w:ascii="Arial" w:cs="Arial" w:eastAsia="Arial" w:hAnsi="Arial"/>
                <w:sz w:val="12"/>
                <w:szCs w:val="12"/>
                <w:color w:val="auto"/>
              </w:rPr>
              <w:t>Real estate, net of accumulated depreciation</w:t>
            </w: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1,736,621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1,816,122</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1,762,345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1,816,122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Reinsurance balances payable</w:t>
            </w: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2,749,770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2,749,770</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2,096,363</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2,096,363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4140" w:type="dxa"/>
            <w:vAlign w:val="bottom"/>
            <w:gridSpan w:val="3"/>
          </w:tcPr>
          <w:p>
            <w:pPr>
              <w:spacing w:after="0"/>
              <w:rPr>
                <w:sz w:val="20"/>
                <w:szCs w:val="20"/>
                <w:color w:val="auto"/>
              </w:rPr>
            </w:pPr>
            <w:r>
              <w:rPr>
                <w:rFonts w:ascii="Arial" w:cs="Arial" w:eastAsia="Arial" w:hAnsi="Arial"/>
                <w:sz w:val="12"/>
                <w:szCs w:val="12"/>
                <w:b w:val="1"/>
                <w:bCs w:val="1"/>
                <w:color w:val="auto"/>
              </w:rPr>
              <w:t>Note 6 – Property and Casualty Insurance Activity</w:t>
            </w: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140" w:type="dxa"/>
            <w:vAlign w:val="bottom"/>
            <w:gridSpan w:val="3"/>
          </w:tcPr>
          <w:p>
            <w:pPr>
              <w:spacing w:after="0"/>
              <w:rPr>
                <w:sz w:val="20"/>
                <w:szCs w:val="20"/>
                <w:color w:val="auto"/>
              </w:rPr>
            </w:pPr>
            <w:r>
              <w:rPr>
                <w:rFonts w:ascii="Arial" w:cs="Arial" w:eastAsia="Arial" w:hAnsi="Arial"/>
                <w:sz w:val="12"/>
                <w:szCs w:val="12"/>
                <w:color w:val="auto"/>
              </w:rPr>
              <w:t>Premiums Earned</w:t>
            </w: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140" w:type="dxa"/>
            <w:vAlign w:val="bottom"/>
            <w:gridSpan w:val="3"/>
          </w:tcPr>
          <w:p>
            <w:pPr>
              <w:spacing w:after="0"/>
              <w:rPr>
                <w:sz w:val="20"/>
                <w:szCs w:val="20"/>
                <w:color w:val="auto"/>
              </w:rPr>
            </w:pPr>
            <w:r>
              <w:rPr>
                <w:rFonts w:ascii="Arial" w:cs="Arial" w:eastAsia="Arial" w:hAnsi="Arial"/>
                <w:sz w:val="12"/>
                <w:szCs w:val="12"/>
                <w:color w:val="auto"/>
              </w:rPr>
              <w:t>Premiums written, ceded and earned are as follows:</w:t>
            </w: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Direct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Assumed</w:t>
            </w:r>
          </w:p>
        </w:tc>
        <w:tc>
          <w:tcPr>
            <w:tcW w:w="16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Ceded</w:t>
            </w:r>
          </w:p>
        </w:tc>
        <w:tc>
          <w:tcPr>
            <w:tcW w:w="300" w:type="dxa"/>
            <w:vAlign w:val="bottom"/>
          </w:tcPr>
          <w:p>
            <w:pPr>
              <w:spacing w:after="0"/>
              <w:rPr>
                <w:sz w:val="24"/>
                <w:szCs w:val="2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286"/>
        </w:trPr>
        <w:tc>
          <w:tcPr>
            <w:tcW w:w="4140" w:type="dxa"/>
            <w:vAlign w:val="bottom"/>
            <w:gridSpan w:val="3"/>
          </w:tcPr>
          <w:p>
            <w:pPr>
              <w:spacing w:after="0"/>
              <w:rPr>
                <w:sz w:val="20"/>
                <w:szCs w:val="20"/>
                <w:color w:val="auto"/>
              </w:rPr>
            </w:pPr>
            <w:r>
              <w:rPr>
                <w:rFonts w:ascii="Arial" w:cs="Arial" w:eastAsia="Arial" w:hAnsi="Arial"/>
                <w:sz w:val="12"/>
                <w:szCs w:val="12"/>
                <w:b w:val="1"/>
                <w:bCs w:val="1"/>
                <w:color w:val="auto"/>
              </w:rPr>
              <w:t>Six months ended June 30, 2015</w:t>
            </w:r>
          </w:p>
        </w:tc>
        <w:tc>
          <w:tcPr>
            <w:tcW w:w="19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Premiums written</w:t>
            </w:r>
          </w:p>
        </w:tc>
        <w:tc>
          <w:tcPr>
            <w:tcW w:w="2100" w:type="dxa"/>
            <w:vAlign w:val="bottom"/>
            <w:gridSpan w:val="2"/>
            <w:shd w:val="clear" w:color="auto" w:fill="CCEEFF"/>
          </w:tcPr>
          <w:p>
            <w:pPr>
              <w:jc w:val="right"/>
              <w:ind w:right="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42,655,494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21,870</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(18,667,737)</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24,009,627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tcPr>
          <w:p>
            <w:pPr>
              <w:spacing w:after="0"/>
              <w:rPr>
                <w:sz w:val="20"/>
                <w:szCs w:val="20"/>
                <w:color w:val="auto"/>
              </w:rPr>
            </w:pPr>
            <w:r>
              <w:rPr>
                <w:rFonts w:ascii="Arial" w:cs="Arial" w:eastAsia="Arial" w:hAnsi="Arial"/>
                <w:sz w:val="12"/>
                <w:szCs w:val="12"/>
                <w:color w:val="auto"/>
              </w:rPr>
              <w:t>Change in unearned premiums</w:t>
            </w: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(3,654,318)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2,377</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893,828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(2,758,113)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Premiums earned</w:t>
            </w: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39,001,176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24,247</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(17,773,909)</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21,251,514</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820" w:type="dxa"/>
            <w:vAlign w:val="bottom"/>
            <w:tcBorders>
              <w:top w:val="single" w:sz="8" w:color="CCEEFF"/>
            </w:tcBorders>
          </w:tcPr>
          <w:p>
            <w:pPr>
              <w:spacing w:after="0"/>
              <w:rPr>
                <w:sz w:val="10"/>
                <w:szCs w:val="10"/>
                <w:color w:val="auto"/>
              </w:rPr>
            </w:pPr>
          </w:p>
        </w:tc>
        <w:tc>
          <w:tcPr>
            <w:tcW w:w="3300" w:type="dxa"/>
            <w:vAlign w:val="bottom"/>
            <w:tcBorders>
              <w:top w:val="single" w:sz="8" w:color="CCEEFF"/>
            </w:tcBorders>
          </w:tcPr>
          <w:p>
            <w:pPr>
              <w:spacing w:after="0"/>
              <w:rPr>
                <w:sz w:val="10"/>
                <w:szCs w:val="10"/>
                <w:color w:val="auto"/>
              </w:rPr>
            </w:pPr>
          </w:p>
        </w:tc>
        <w:tc>
          <w:tcPr>
            <w:tcW w:w="19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Six months ended June 30, 2014</w:t>
            </w: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tcPr>
          <w:p>
            <w:pPr>
              <w:spacing w:after="0"/>
              <w:rPr>
                <w:sz w:val="20"/>
                <w:szCs w:val="20"/>
                <w:color w:val="auto"/>
              </w:rPr>
            </w:pPr>
            <w:r>
              <w:rPr>
                <w:rFonts w:ascii="Arial" w:cs="Arial" w:eastAsia="Arial" w:hAnsi="Arial"/>
                <w:sz w:val="12"/>
                <w:szCs w:val="12"/>
                <w:color w:val="auto"/>
              </w:rPr>
              <w:t>Premiums written</w:t>
            </w:r>
          </w:p>
        </w:tc>
        <w:tc>
          <w:tcPr>
            <w:tcW w:w="210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36,597,945</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16,302</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(21,527,803)</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15,086,444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 in unearned premiums</w:t>
            </w: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(4,872,810)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6,351</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2,135,699</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(2,730,760)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2"/>
          </w:tcPr>
          <w:p>
            <w:pPr>
              <w:spacing w:after="0"/>
              <w:rPr>
                <w:sz w:val="20"/>
                <w:szCs w:val="20"/>
                <w:color w:val="auto"/>
              </w:rPr>
            </w:pPr>
            <w:r>
              <w:rPr>
                <w:rFonts w:ascii="Arial" w:cs="Arial" w:eastAsia="Arial" w:hAnsi="Arial"/>
                <w:sz w:val="12"/>
                <w:szCs w:val="12"/>
                <w:color w:val="auto"/>
              </w:rPr>
              <w:t>Premiums earned</w:t>
            </w:r>
          </w:p>
        </w:tc>
        <w:tc>
          <w:tcPr>
            <w:tcW w:w="19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31,725,135</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22,653</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(19,392,104)</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12,355,684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120" w:type="dxa"/>
            <w:vAlign w:val="bottom"/>
            <w:gridSpan w:val="2"/>
          </w:tcPr>
          <w:p>
            <w:pPr>
              <w:spacing w:after="0"/>
              <w:rPr>
                <w:sz w:val="20"/>
                <w:szCs w:val="20"/>
                <w:color w:val="auto"/>
              </w:rPr>
            </w:pPr>
            <w:r>
              <w:rPr>
                <w:rFonts w:ascii="Arial" w:cs="Arial" w:eastAsia="Arial" w:hAnsi="Arial"/>
                <w:sz w:val="12"/>
                <w:szCs w:val="12"/>
                <w:b w:val="1"/>
                <w:bCs w:val="1"/>
                <w:color w:val="auto"/>
              </w:rPr>
              <w:t>Three months ended June 30, 2015</w:t>
            </w: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Premiums written</w:t>
            </w:r>
          </w:p>
        </w:tc>
        <w:tc>
          <w:tcPr>
            <w:tcW w:w="2100" w:type="dxa"/>
            <w:vAlign w:val="bottom"/>
            <w:gridSpan w:val="2"/>
            <w:shd w:val="clear" w:color="auto" w:fill="CCEEFF"/>
          </w:tcPr>
          <w:p>
            <w:pPr>
              <w:jc w:val="right"/>
              <w:ind w:right="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23,166,065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13,959</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(10,048,331)</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13,131,693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tcPr>
          <w:p>
            <w:pPr>
              <w:spacing w:after="0"/>
              <w:rPr>
                <w:sz w:val="20"/>
                <w:szCs w:val="20"/>
                <w:color w:val="auto"/>
              </w:rPr>
            </w:pPr>
            <w:r>
              <w:rPr>
                <w:rFonts w:ascii="Arial" w:cs="Arial" w:eastAsia="Arial" w:hAnsi="Arial"/>
                <w:sz w:val="12"/>
                <w:szCs w:val="12"/>
                <w:color w:val="auto"/>
              </w:rPr>
              <w:t>Change in unearned premiums</w:t>
            </w:r>
          </w:p>
        </w:tc>
        <w:tc>
          <w:tcPr>
            <w:tcW w:w="1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(3,181,987)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(1,535)</w:t>
            </w: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917,544</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(2,265,978)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Premiums earned</w:t>
            </w: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19,984,078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12,424</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(9,130,787)</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10,865,715</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820" w:type="dxa"/>
            <w:vAlign w:val="bottom"/>
            <w:tcBorders>
              <w:top w:val="single" w:sz="8" w:color="CCEEFF"/>
            </w:tcBorders>
          </w:tcPr>
          <w:p>
            <w:pPr>
              <w:spacing w:after="0"/>
              <w:rPr>
                <w:sz w:val="10"/>
                <w:szCs w:val="10"/>
                <w:color w:val="auto"/>
              </w:rPr>
            </w:pPr>
          </w:p>
        </w:tc>
        <w:tc>
          <w:tcPr>
            <w:tcW w:w="3300" w:type="dxa"/>
            <w:vAlign w:val="bottom"/>
            <w:tcBorders>
              <w:top w:val="single" w:sz="8" w:color="CCEEFF"/>
            </w:tcBorders>
          </w:tcPr>
          <w:p>
            <w:pPr>
              <w:spacing w:after="0"/>
              <w:rPr>
                <w:sz w:val="10"/>
                <w:szCs w:val="10"/>
                <w:color w:val="auto"/>
              </w:rPr>
            </w:pPr>
          </w:p>
        </w:tc>
        <w:tc>
          <w:tcPr>
            <w:tcW w:w="19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Three months ended June 30, 2014</w:t>
            </w: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tcPr>
          <w:p>
            <w:pPr>
              <w:spacing w:after="0"/>
              <w:rPr>
                <w:sz w:val="20"/>
                <w:szCs w:val="20"/>
                <w:color w:val="auto"/>
              </w:rPr>
            </w:pPr>
            <w:r>
              <w:rPr>
                <w:rFonts w:ascii="Arial" w:cs="Arial" w:eastAsia="Arial" w:hAnsi="Arial"/>
                <w:sz w:val="12"/>
                <w:szCs w:val="12"/>
                <w:color w:val="auto"/>
              </w:rPr>
              <w:t>Premiums written</w:t>
            </w:r>
          </w:p>
        </w:tc>
        <w:tc>
          <w:tcPr>
            <w:tcW w:w="210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20,250,500</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8,655</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(11,757,974)</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8,501,181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 in unearned premiums</w:t>
            </w:r>
          </w:p>
        </w:tc>
        <w:tc>
          <w:tcPr>
            <w:tcW w:w="1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(3,739,282)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3,697</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1,663,777</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(2,071,808)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gridSpan w:val="2"/>
          </w:tcPr>
          <w:p>
            <w:pPr>
              <w:spacing w:after="0"/>
              <w:rPr>
                <w:sz w:val="20"/>
                <w:szCs w:val="20"/>
                <w:color w:val="auto"/>
              </w:rPr>
            </w:pPr>
            <w:r>
              <w:rPr>
                <w:rFonts w:ascii="Arial" w:cs="Arial" w:eastAsia="Arial" w:hAnsi="Arial"/>
                <w:sz w:val="12"/>
                <w:szCs w:val="12"/>
                <w:color w:val="auto"/>
              </w:rPr>
              <w:t>Premiums earned</w:t>
            </w:r>
          </w:p>
        </w:tc>
        <w:tc>
          <w:tcPr>
            <w:tcW w:w="19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16,511,218</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12,352</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(10,094,197)</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6,429,373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940" w:type="dxa"/>
            <w:vAlign w:val="bottom"/>
            <w:vMerge w:val="restart"/>
          </w:tcPr>
          <w:p>
            <w:pPr>
              <w:jc w:val="right"/>
              <w:ind w:right="220"/>
              <w:spacing w:after="0"/>
              <w:rPr>
                <w:sz w:val="20"/>
                <w:szCs w:val="20"/>
                <w:color w:val="auto"/>
              </w:rPr>
            </w:pPr>
            <w:r>
              <w:rPr>
                <w:rFonts w:ascii="Arial" w:cs="Arial" w:eastAsia="Arial" w:hAnsi="Arial"/>
                <w:sz w:val="12"/>
                <w:szCs w:val="12"/>
                <w:color w:val="auto"/>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3300" w:type="dxa"/>
            <w:vAlign w:val="bottom"/>
            <w:tcBorders>
              <w:bottom w:val="single" w:sz="8" w:color="808080"/>
            </w:tcBorders>
          </w:tcPr>
          <w:p>
            <w:pPr>
              <w:spacing w:after="0"/>
              <w:rPr>
                <w:sz w:val="6"/>
                <w:szCs w:val="6"/>
                <w:color w:val="auto"/>
              </w:rPr>
            </w:pPr>
          </w:p>
        </w:tc>
        <w:tc>
          <w:tcPr>
            <w:tcW w:w="19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 w:name="page19"/>
    <w:bookmarkEnd w:id="18"/>
    <w:p>
      <w:pPr>
        <w:spacing w:after="0"/>
        <w:rPr>
          <w:sz w:val="20"/>
          <w:szCs w:val="20"/>
          <w:color w:val="auto"/>
        </w:rPr>
      </w:pPr>
      <w:r>
        <w:rPr>
          <w:rFonts w:ascii="Arial" w:cs="Arial" w:eastAsia="Arial" w:hAnsi="Arial"/>
          <w:sz w:val="11"/>
          <w:szCs w:val="11"/>
          <w:color w:val="auto"/>
        </w:rPr>
        <w:t>Premium receipts in advance of the policy effective date are recorded as advance premiums. The balance of advance premiums as of June 30, 2015 and December 31, 2014 was approximately $1,383,000 and $1,007,000,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Loss and Loss Adjustment Expense Reserves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the beginning and ending balances for unpaid losses and loss adjustment expense (“LAE”) reserves:</w:t>
      </w:r>
    </w:p>
    <w:p>
      <w:pPr>
        <w:spacing w:after="0" w:line="202" w:lineRule="exact"/>
        <w:rPr>
          <w:sz w:val="20"/>
          <w:szCs w:val="20"/>
          <w:color w:val="auto"/>
        </w:rPr>
      </w:pPr>
    </w:p>
    <w:p>
      <w:pPr>
        <w:jc w:val="center"/>
        <w:ind w:left="8760"/>
        <w:spacing w:after="0"/>
        <w:rPr>
          <w:sz w:val="20"/>
          <w:szCs w:val="20"/>
          <w:color w:val="auto"/>
        </w:rPr>
      </w:pPr>
      <w:r>
        <w:rPr>
          <w:rFonts w:ascii="Arial" w:cs="Arial" w:eastAsia="Arial" w:hAnsi="Arial"/>
          <w:sz w:val="10"/>
          <w:szCs w:val="10"/>
          <w:b w:val="1"/>
          <w:bCs w:val="1"/>
          <w:color w:val="auto"/>
        </w:rPr>
        <w:t>Six months ended</w:t>
      </w:r>
    </w:p>
    <w:p>
      <w:pPr>
        <w:jc w:val="center"/>
        <w:ind w:left="8760"/>
        <w:spacing w:after="0" w:line="236" w:lineRule="auto"/>
        <w:rPr>
          <w:sz w:val="20"/>
          <w:szCs w:val="20"/>
          <w:color w:val="auto"/>
        </w:rPr>
      </w:pPr>
      <w:r>
        <w:rPr>
          <w:rFonts w:ascii="Arial" w:cs="Arial" w:eastAsia="Arial" w:hAnsi="Arial"/>
          <w:sz w:val="10"/>
          <w:szCs w:val="10"/>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5617210</wp:posOffset>
            </wp:positionH>
            <wp:positionV relativeFrom="paragraph">
              <wp:posOffset>-5715</wp:posOffset>
            </wp:positionV>
            <wp:extent cx="160147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01470" cy="1143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8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2015</w:t>
            </w: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0"/>
                <w:szCs w:val="10"/>
                <w:color w:val="auto"/>
              </w:rPr>
            </w:pPr>
          </w:p>
        </w:tc>
      </w:tr>
      <w:tr>
        <w:trPr>
          <w:trHeight w:val="142"/>
        </w:trPr>
        <w:tc>
          <w:tcPr>
            <w:tcW w:w="8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beginning of period</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39,912,683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34,503,229</w:t>
            </w: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Less reinsurance recoverables</w:t>
            </w:r>
          </w:p>
        </w:tc>
        <w:tc>
          <w:tcPr>
            <w:tcW w:w="28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(18,249,526)</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(17,363,975)</w:t>
            </w:r>
          </w:p>
        </w:tc>
      </w:tr>
      <w:tr>
        <w:trPr>
          <w:trHeight w:val="20"/>
        </w:trPr>
        <w:tc>
          <w:tcPr>
            <w:tcW w:w="8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balance, beginning of period</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21,663,157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17,139,254</w:t>
            </w:r>
          </w:p>
        </w:tc>
      </w:tr>
      <w:tr>
        <w:trPr>
          <w:trHeight w:val="142"/>
        </w:trPr>
        <w:tc>
          <w:tcPr>
            <w:tcW w:w="88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Incurred related to:</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Current year</w:t>
            </w:r>
          </w:p>
        </w:tc>
        <w:tc>
          <w:tcPr>
            <w:tcW w:w="2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11,747,214</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6,975,731</w:t>
            </w: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Prior years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86,816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357,162</w:t>
            </w:r>
          </w:p>
        </w:tc>
      </w:tr>
      <w:tr>
        <w:trPr>
          <w:trHeight w:val="142"/>
        </w:trPr>
        <w:tc>
          <w:tcPr>
            <w:tcW w:w="8840" w:type="dxa"/>
            <w:vAlign w:val="bottom"/>
            <w:tcBorders>
              <w:top w:val="single" w:sz="8" w:color="CCEEFF"/>
            </w:tcBorders>
          </w:tcPr>
          <w:p>
            <w:pPr>
              <w:ind w:left="20"/>
              <w:spacing w:after="0"/>
              <w:rPr>
                <w:sz w:val="20"/>
                <w:szCs w:val="20"/>
                <w:color w:val="auto"/>
              </w:rPr>
            </w:pPr>
            <w:r>
              <w:rPr>
                <w:rFonts w:ascii="Arial" w:cs="Arial" w:eastAsia="Arial" w:hAnsi="Arial"/>
                <w:sz w:val="12"/>
                <w:szCs w:val="12"/>
                <w:color w:val="auto"/>
              </w:rPr>
              <w:t>Total incurred</w:t>
            </w:r>
          </w:p>
        </w:tc>
        <w:tc>
          <w:tcPr>
            <w:tcW w:w="2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11,834,030</w:t>
            </w: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7,332,893</w:t>
            </w:r>
          </w:p>
        </w:tc>
        <w:tc>
          <w:tcPr>
            <w:tcW w:w="120" w:type="dxa"/>
            <w:vAlign w:val="bottom"/>
            <w:tcBorders>
              <w:top w:val="single" w:sz="8" w:color="CCEEFF"/>
            </w:tcBorders>
          </w:tcPr>
          <w:p>
            <w:pPr>
              <w:spacing w:after="0"/>
              <w:rPr>
                <w:sz w:val="12"/>
                <w:szCs w:val="12"/>
                <w:color w:val="auto"/>
              </w:rPr>
            </w:pPr>
          </w:p>
        </w:tc>
      </w:tr>
      <w:tr>
        <w:trPr>
          <w:trHeight w:val="142"/>
        </w:trPr>
        <w:tc>
          <w:tcPr>
            <w:tcW w:w="8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Paid related to:</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year</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5,121,409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2,691,199</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Prior years</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5,597,256</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3,132,536</w:t>
            </w:r>
          </w:p>
        </w:tc>
        <w:tc>
          <w:tcPr>
            <w:tcW w:w="120" w:type="dxa"/>
            <w:vAlign w:val="bottom"/>
          </w:tcPr>
          <w:p>
            <w:pPr>
              <w:spacing w:after="0"/>
              <w:rPr>
                <w:sz w:val="12"/>
                <w:szCs w:val="12"/>
                <w:color w:val="auto"/>
              </w:rPr>
            </w:pPr>
          </w:p>
        </w:tc>
      </w:tr>
      <w:tr>
        <w:trPr>
          <w:trHeight w:val="142"/>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paid</w:t>
            </w: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10,718,665</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5,823,735</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balance at end of period</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22,778,522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18,648,412</w:t>
            </w: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Add reinsurance recoverables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18,470,298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21,055,876</w:t>
            </w:r>
          </w:p>
        </w:tc>
      </w:tr>
      <w:tr>
        <w:trPr>
          <w:trHeight w:val="20"/>
        </w:trPr>
        <w:tc>
          <w:tcPr>
            <w:tcW w:w="8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at end of period</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41,248,820</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39,704,288</w:t>
            </w: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Incurred losses and LAE are net of reinsurance recoveries under reinsurance contracts of $9,114,440 and $11,654,729 for the six months ended June 30, 2015 and 2014, respectively.</w:t>
      </w:r>
    </w:p>
    <w:p>
      <w:pPr>
        <w:spacing w:after="0" w:line="168" w:lineRule="exact"/>
        <w:rPr>
          <w:sz w:val="20"/>
          <w:szCs w:val="20"/>
          <w:color w:val="auto"/>
        </w:rPr>
      </w:pPr>
    </w:p>
    <w:p>
      <w:pPr>
        <w:jc w:val="both"/>
        <w:ind w:right="20"/>
        <w:spacing w:after="0" w:line="380" w:lineRule="auto"/>
        <w:rPr>
          <w:sz w:val="20"/>
          <w:szCs w:val="20"/>
          <w:color w:val="auto"/>
        </w:rPr>
      </w:pPr>
      <w:r>
        <w:rPr>
          <w:rFonts w:ascii="Arial" w:cs="Arial" w:eastAsia="Arial" w:hAnsi="Arial"/>
          <w:sz w:val="10"/>
          <w:szCs w:val="10"/>
          <w:color w:val="auto"/>
        </w:rPr>
        <w:t>Prior year incurred loss and LAE development is based upon estimates by line of business and accident year. Prior year loss and LAE development incurred during the six months ended June 30, 2015 and 2014 was $86,816 and $357,162, respectively. The Company’s management continually monitors claims activity to assess the appropriateness of carried case and incurred but not reported (“IBNR”) reserves, giving consideration to Company and industry trends.</w:t>
      </w:r>
    </w:p>
    <w:p>
      <w:pPr>
        <w:spacing w:after="0" w:line="86"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and including losses that have been incurred but not yet been reported. The process includes using actuarial methodologies to assist in establishing these estimates, judgments relative to estimates of future claims severity and frequency, the length of time before losses will develop to their ultimate level and the possible changes in the law and other external factors that are often beyond the Company’s control. Several actuarial reserving methodologies are used to estimate required loss reserves. The process produces carried reserves set by management based upon the actuaries’ best estimate and is the result of numerous best estimates made by line of business, accident year, and loss and LAE. The amount of loss and LAE reserves for reported claims (“case reserve”) is based primarily upon a case-by-case evaluation of coverage, liability, injury severity, and any other information considered pertinent to estimating the exposure presented by the claim. The amounts of loss and LAE reserves for unreported claims and development on known claims (IBNR reserves) are determined using historical information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2"/>
          <w:szCs w:val="12"/>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years. Several methods are used, varying by product line and accident year, in order to select the estimated year-end loss reserves. These methods include the following:</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Paid Loss Development </w:t>
      </w:r>
      <w:r>
        <w:rPr>
          <w:rFonts w:ascii="Arial" w:cs="Arial" w:eastAsia="Arial" w:hAnsi="Arial"/>
          <w:sz w:val="12"/>
          <w:szCs w:val="12"/>
          <w:color w:val="auto"/>
        </w:rPr>
        <w:t>– historical patterns of paid loss development are used to project future paid loss emergence in order to estimate required reserves.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1"/>
          <w:szCs w:val="11"/>
          <w:i w:val="1"/>
          <w:iCs w:val="1"/>
          <w:color w:val="auto"/>
        </w:rPr>
        <w:t xml:space="preserve">Incurred Loss Development </w:t>
      </w:r>
      <w:r>
        <w:rPr>
          <w:rFonts w:ascii="Arial" w:cs="Arial" w:eastAsia="Arial" w:hAnsi="Arial"/>
          <w:sz w:val="11"/>
          <w:szCs w:val="11"/>
          <w:color w:val="auto"/>
        </w:rPr>
        <w:t>– historical patterns of incurred loss development, reflecting both paid losses and changes in case reserves, are used to project future incurred loss emergence in order to estimate required reserves.</w:t>
      </w:r>
    </w:p>
    <w:p>
      <w:pPr>
        <w:spacing w:after="0" w:line="180" w:lineRule="exact"/>
        <w:rPr>
          <w:sz w:val="20"/>
          <w:szCs w:val="20"/>
          <w:color w:val="auto"/>
        </w:rPr>
      </w:pPr>
    </w:p>
    <w:p>
      <w:pPr>
        <w:jc w:val="both"/>
        <w:ind w:left="200"/>
        <w:spacing w:after="0" w:line="263" w:lineRule="auto"/>
        <w:rPr>
          <w:sz w:val="20"/>
          <w:szCs w:val="20"/>
          <w:color w:val="auto"/>
        </w:rPr>
      </w:pPr>
      <w:r>
        <w:rPr>
          <w:rFonts w:ascii="Arial" w:cs="Arial" w:eastAsia="Arial" w:hAnsi="Arial"/>
          <w:sz w:val="12"/>
          <w:szCs w:val="12"/>
          <w:i w:val="1"/>
          <w:iCs w:val="1"/>
          <w:color w:val="auto"/>
        </w:rPr>
        <w:t xml:space="preserve">Paid Bornhuetter-Ferguson (“BF”) </w:t>
      </w:r>
      <w:r>
        <w:rPr>
          <w:rFonts w:ascii="Arial" w:cs="Arial" w:eastAsia="Arial" w:hAnsi="Arial"/>
          <w:sz w:val="12"/>
          <w:szCs w:val="12"/>
          <w:color w:val="auto"/>
        </w:rPr>
        <w:t>– an estimated loss ratio for a particular accident year is determined, and is weighted against the portion of the accident year claims that have been paid, based on historical paid loss development</w:t>
      </w:r>
      <w:r>
        <w:rPr>
          <w:rFonts w:ascii="Arial" w:cs="Arial" w:eastAsia="Arial" w:hAnsi="Arial"/>
          <w:sz w:val="12"/>
          <w:szCs w:val="12"/>
          <w:i w:val="1"/>
          <w:iCs w:val="1"/>
          <w:color w:val="auto"/>
        </w:rPr>
        <w:t xml:space="preserve"> </w:t>
      </w:r>
      <w:r>
        <w:rPr>
          <w:rFonts w:ascii="Arial" w:cs="Arial" w:eastAsia="Arial" w:hAnsi="Arial"/>
          <w:sz w:val="12"/>
          <w:szCs w:val="12"/>
          <w:color w:val="auto"/>
        </w:rPr>
        <w:t>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41" w:lineRule="exact"/>
        <w:rPr>
          <w:sz w:val="20"/>
          <w:szCs w:val="20"/>
          <w:color w:val="auto"/>
        </w:rPr>
      </w:pPr>
    </w:p>
    <w:p>
      <w:pPr>
        <w:jc w:val="both"/>
        <w:ind w:left="200"/>
        <w:spacing w:after="0" w:line="263" w:lineRule="auto"/>
        <w:rPr>
          <w:sz w:val="20"/>
          <w:szCs w:val="20"/>
          <w:color w:val="auto"/>
        </w:rPr>
      </w:pPr>
      <w:r>
        <w:rPr>
          <w:rFonts w:ascii="Arial" w:cs="Arial" w:eastAsia="Arial" w:hAnsi="Arial"/>
          <w:sz w:val="12"/>
          <w:szCs w:val="12"/>
          <w:i w:val="1"/>
          <w:iCs w:val="1"/>
          <w:color w:val="auto"/>
        </w:rPr>
        <w:t xml:space="preserve">Incurred Bornhuetter-Ferguson (“BF”) </w:t>
      </w:r>
      <w:r>
        <w:rPr>
          <w:rFonts w:ascii="Arial" w:cs="Arial" w:eastAsia="Arial" w:hAnsi="Arial"/>
          <w:sz w:val="12"/>
          <w:szCs w:val="12"/>
          <w:color w:val="auto"/>
        </w:rPr>
        <w:t>- an estimated loss ratio for a particular accident year is determined, and is weighted against the portion of the accident year claims that have been reported, based on historical incurred loss</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4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33"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color w:val="auto"/>
        </w:rPr>
        <w:t>The Company is not aware of any claims trends that have emerged or that would cause future adverse development that have not already been considered in existing case reserves and in its current loss development factors.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0" w:name="page21"/>
    <w:bookmarkEnd w:id="20"/>
    <w:p>
      <w:pPr>
        <w:jc w:val="both"/>
        <w:ind w:right="20"/>
        <w:spacing w:after="0" w:line="276" w:lineRule="auto"/>
        <w:rPr>
          <w:sz w:val="20"/>
          <w:szCs w:val="20"/>
          <w:color w:val="auto"/>
        </w:rPr>
      </w:pPr>
      <w:r>
        <w:rPr>
          <w:rFonts w:ascii="Arial" w:cs="Arial" w:eastAsia="Arial" w:hAnsi="Arial"/>
          <w:sz w:val="12"/>
          <w:szCs w:val="12"/>
          <w:color w:val="auto"/>
        </w:rPr>
        <w:t>In New York State, lawsuits for negligence are subject to certain limitations and must be commenced within three years from the date of the accident or are otherwise barred. Accordingly, the Company’s exposure to unreported claims (‘pure’ IBNR) for accident years 2011 and prior is limited although there remains the possibility of adverse development on reported claims (‘case development’ IBNR).</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was previously a one-third participant in a pool arrangement. Effective November 1, 1997, the Company withdrew from its participation in the pool arrangement. Accordingly, the Company will only be participating in losses and allocated loss adjustment expenses that occurred prior to that date.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Commercial Auto Line of Business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Effective October 1, 2014 the Company decided that it would no longer accept applications for new commercial auto policies. The action was taken following a series of underwriting and pricing measures which were intended to improve the profitability of this line of business. The actions taken did not yield the hoped for results. In February 2015, the Company made the decision that it would no longer offer renewals on its existing commercial auto policies beginning with those that expire on or after May 1, 2015. The Company had 390 and 730 commercial auto policies in force as of June 30, 2015 and December 31, 2014,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Reinsurance</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Company’s quota share reinsurance treaty in effect for the six months ended June 30, 2015 for its personal lines business, which primarily consists of homeowners’ policies, were covered under the July 1, 2014/June 30, 2015 treaty year. The Company did not renew its expiring commercial lines quota share reinsurance treaty on July 1, 2014. The Company’s quota share reinsurance treaties in effect for the six months ended June 30, 2014 for both its personal lines business and commercial lines business were covered under the July 1, 2013/June 30, 2014 treaty year. The Company’s personal lines quota share treaty that covered the July 1, 2013/June 30, 2014 treaty year was a two year treaty that expired on June 30, 2015. Effective July 1, 2014, the Company had the option to increase the quota share percentage from 75% to a maximum of 85% or decrease the quota share percentage from 75% to a minimum of 55% by giving no less than 30 days advance notice. On May 12, 2014, the Company notified the personal lines reinsurers of its election to reduce the ceding percentage in the personal lines quota share treaty from 75% to 55% effective July 1, 2014.The Company entered into new annual treaties with different terms effective July 1, 2015. The Company’s treaties for the July 1, 2013/ June 30, 2014, July 1, 2014/June 30, 2015 and July 1, 2015/June 30, 2016 treaty years provide for the following material terms: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0"/>
                <w:szCs w:val="10"/>
                <w:b w:val="1"/>
                <w:bCs w:val="1"/>
                <w:color w:val="auto"/>
              </w:rPr>
              <w:t>Treaty Year</w:t>
            </w:r>
          </w:p>
        </w:tc>
        <w:tc>
          <w:tcPr>
            <w:tcW w:w="8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gridSpan w:val="3"/>
          </w:tcPr>
          <w:p>
            <w:pPr>
              <w:jc w:val="center"/>
              <w:ind w:right="140"/>
              <w:spacing w:after="0" w:line="85" w:lineRule="exact"/>
              <w:rPr>
                <w:sz w:val="20"/>
                <w:szCs w:val="20"/>
                <w:color w:val="auto"/>
              </w:rPr>
            </w:pPr>
            <w:r>
              <w:rPr>
                <w:rFonts w:ascii="Arial" w:cs="Arial" w:eastAsia="Arial" w:hAnsi="Arial"/>
                <w:sz w:val="8"/>
                <w:szCs w:val="8"/>
                <w:b w:val="1"/>
                <w:bCs w:val="1"/>
                <w:color w:val="auto"/>
              </w:rPr>
              <w:t>July 1, 2015</w:t>
            </w:r>
          </w:p>
        </w:tc>
        <w:tc>
          <w:tcPr>
            <w:tcW w:w="1680" w:type="dxa"/>
            <w:vAlign w:val="bottom"/>
            <w:gridSpan w:val="3"/>
          </w:tcPr>
          <w:p>
            <w:pPr>
              <w:jc w:val="center"/>
              <w:ind w:right="140"/>
              <w:spacing w:after="0" w:line="85" w:lineRule="exact"/>
              <w:rPr>
                <w:sz w:val="20"/>
                <w:szCs w:val="20"/>
                <w:color w:val="auto"/>
              </w:rPr>
            </w:pPr>
            <w:r>
              <w:rPr>
                <w:rFonts w:ascii="Arial" w:cs="Arial" w:eastAsia="Arial" w:hAnsi="Arial"/>
                <w:sz w:val="8"/>
                <w:szCs w:val="8"/>
                <w:b w:val="1"/>
                <w:bCs w:val="1"/>
                <w:color w:val="auto"/>
              </w:rPr>
              <w:t>July 1, 2014</w:t>
            </w:r>
          </w:p>
        </w:tc>
        <w:tc>
          <w:tcPr>
            <w:tcW w:w="1420" w:type="dxa"/>
            <w:vAlign w:val="bottom"/>
            <w:gridSpan w:val="2"/>
          </w:tcPr>
          <w:p>
            <w:pPr>
              <w:jc w:val="center"/>
              <w:spacing w:after="0" w:line="85" w:lineRule="exact"/>
              <w:rPr>
                <w:sz w:val="20"/>
                <w:szCs w:val="20"/>
                <w:color w:val="auto"/>
              </w:rPr>
            </w:pPr>
            <w:r>
              <w:rPr>
                <w:rFonts w:ascii="Arial" w:cs="Arial" w:eastAsia="Arial" w:hAnsi="Arial"/>
                <w:sz w:val="8"/>
                <w:szCs w:val="8"/>
                <w:b w:val="1"/>
                <w:bCs w:val="1"/>
                <w:color w:val="auto"/>
              </w:rPr>
              <w:t>July 1, 2013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jc w:val="center"/>
              <w:ind w:left="562"/>
              <w:spacing w:after="0" w:line="99" w:lineRule="exact"/>
              <w:rPr>
                <w:sz w:val="20"/>
                <w:szCs w:val="20"/>
                <w:color w:val="auto"/>
              </w:rPr>
            </w:pPr>
            <w:r>
              <w:rPr>
                <w:rFonts w:ascii="Arial" w:cs="Arial" w:eastAsia="Arial" w:hAnsi="Arial"/>
                <w:sz w:val="10"/>
                <w:szCs w:val="10"/>
                <w:b w:val="1"/>
                <w:bCs w:val="1"/>
                <w:color w:val="auto"/>
                <w:w w:val="84"/>
              </w:rPr>
              <w:t>to</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center"/>
              <w:ind w:left="582"/>
              <w:spacing w:after="0" w:line="99" w:lineRule="exact"/>
              <w:rPr>
                <w:sz w:val="20"/>
                <w:szCs w:val="20"/>
                <w:color w:val="auto"/>
              </w:rPr>
            </w:pPr>
            <w:r>
              <w:rPr>
                <w:rFonts w:ascii="Arial" w:cs="Arial" w:eastAsia="Arial" w:hAnsi="Arial"/>
                <w:sz w:val="10"/>
                <w:szCs w:val="10"/>
                <w:b w:val="1"/>
                <w:bCs w:val="1"/>
                <w:color w:val="auto"/>
                <w:w w:val="84"/>
              </w:rPr>
              <w:t>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jc w:val="center"/>
              <w:ind w:left="521"/>
              <w:spacing w:after="0" w:line="99" w:lineRule="exact"/>
              <w:rPr>
                <w:sz w:val="20"/>
                <w:szCs w:val="20"/>
                <w:color w:val="auto"/>
              </w:rPr>
            </w:pPr>
            <w:r>
              <w:rPr>
                <w:rFonts w:ascii="Arial" w:cs="Arial" w:eastAsia="Arial" w:hAnsi="Arial"/>
                <w:sz w:val="10"/>
                <w:szCs w:val="10"/>
                <w:b w:val="1"/>
                <w:bCs w:val="1"/>
                <w:color w:val="auto"/>
                <w:w w:val="84"/>
              </w:rPr>
              <w:t>to</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560" w:type="dxa"/>
            <w:vAlign w:val="bottom"/>
            <w:tcBorders>
              <w:bottom w:val="single" w:sz="8" w:color="auto"/>
            </w:tcBorders>
            <w:gridSpan w:val="5"/>
          </w:tcPr>
          <w:p>
            <w:pPr>
              <w:spacing w:after="0" w:line="114" w:lineRule="exact"/>
              <w:rPr>
                <w:sz w:val="20"/>
                <w:szCs w:val="20"/>
                <w:color w:val="auto"/>
              </w:rPr>
            </w:pPr>
            <w:r>
              <w:rPr>
                <w:rFonts w:ascii="Arial" w:cs="Arial" w:eastAsia="Arial" w:hAnsi="Arial"/>
                <w:sz w:val="10"/>
                <w:szCs w:val="10"/>
                <w:b w:val="1"/>
                <w:bCs w:val="1"/>
                <w:color w:val="auto"/>
              </w:rPr>
              <w:t>Line of Busines</w:t>
            </w:r>
          </w:p>
        </w:tc>
        <w:tc>
          <w:tcPr>
            <w:tcW w:w="140" w:type="dxa"/>
            <w:vAlign w:val="bottom"/>
          </w:tcPr>
          <w:p>
            <w:pPr>
              <w:spacing w:after="0"/>
              <w:rPr>
                <w:sz w:val="9"/>
                <w:szCs w:val="9"/>
                <w:color w:val="auto"/>
              </w:rPr>
            </w:pPr>
          </w:p>
        </w:tc>
        <w:tc>
          <w:tcPr>
            <w:tcW w:w="1540" w:type="dxa"/>
            <w:vAlign w:val="bottom"/>
            <w:tcBorders>
              <w:bottom w:val="single" w:sz="8" w:color="auto"/>
            </w:tcBorders>
            <w:gridSpan w:val="2"/>
          </w:tcPr>
          <w:p>
            <w:pPr>
              <w:jc w:val="center"/>
              <w:spacing w:after="0" w:line="114" w:lineRule="exact"/>
              <w:rPr>
                <w:sz w:val="20"/>
                <w:szCs w:val="20"/>
                <w:color w:val="auto"/>
              </w:rPr>
            </w:pPr>
            <w:r>
              <w:rPr>
                <w:rFonts w:ascii="Arial" w:cs="Arial" w:eastAsia="Arial" w:hAnsi="Arial"/>
                <w:sz w:val="10"/>
                <w:szCs w:val="10"/>
                <w:b w:val="1"/>
                <w:bCs w:val="1"/>
                <w:color w:val="auto"/>
                <w:w w:val="86"/>
              </w:rPr>
              <w:t>June 30, 2016</w:t>
            </w:r>
          </w:p>
        </w:tc>
        <w:tc>
          <w:tcPr>
            <w:tcW w:w="120" w:type="dxa"/>
            <w:vAlign w:val="bottom"/>
          </w:tcPr>
          <w:p>
            <w:pPr>
              <w:spacing w:after="0"/>
              <w:rPr>
                <w:sz w:val="9"/>
                <w:szCs w:val="9"/>
                <w:color w:val="auto"/>
              </w:rPr>
            </w:pPr>
          </w:p>
        </w:tc>
        <w:tc>
          <w:tcPr>
            <w:tcW w:w="1540" w:type="dxa"/>
            <w:vAlign w:val="bottom"/>
            <w:tcBorders>
              <w:bottom w:val="single" w:sz="8" w:color="auto"/>
            </w:tcBorders>
            <w:gridSpan w:val="2"/>
          </w:tcPr>
          <w:p>
            <w:pPr>
              <w:jc w:val="center"/>
              <w:spacing w:after="0" w:line="114" w:lineRule="exact"/>
              <w:rPr>
                <w:sz w:val="20"/>
                <w:szCs w:val="20"/>
                <w:color w:val="auto"/>
              </w:rPr>
            </w:pPr>
            <w:r>
              <w:rPr>
                <w:rFonts w:ascii="Arial" w:cs="Arial" w:eastAsia="Arial" w:hAnsi="Arial"/>
                <w:sz w:val="10"/>
                <w:szCs w:val="10"/>
                <w:b w:val="1"/>
                <w:bCs w:val="1"/>
                <w:color w:val="auto"/>
                <w:w w:val="86"/>
              </w:rPr>
              <w:t>June 30, 2015</w:t>
            </w:r>
          </w:p>
        </w:tc>
        <w:tc>
          <w:tcPr>
            <w:tcW w:w="140" w:type="dxa"/>
            <w:vAlign w:val="bottom"/>
          </w:tcPr>
          <w:p>
            <w:pPr>
              <w:spacing w:after="0"/>
              <w:rPr>
                <w:sz w:val="9"/>
                <w:szCs w:val="9"/>
                <w:color w:val="auto"/>
              </w:rPr>
            </w:pPr>
          </w:p>
        </w:tc>
        <w:tc>
          <w:tcPr>
            <w:tcW w:w="1420" w:type="dxa"/>
            <w:vAlign w:val="bottom"/>
            <w:tcBorders>
              <w:bottom w:val="single" w:sz="8" w:color="auto"/>
            </w:tcBorders>
            <w:gridSpan w:val="2"/>
          </w:tcPr>
          <w:p>
            <w:pPr>
              <w:jc w:val="center"/>
              <w:spacing w:after="0" w:line="114" w:lineRule="exact"/>
              <w:rPr>
                <w:sz w:val="20"/>
                <w:szCs w:val="20"/>
                <w:color w:val="auto"/>
              </w:rPr>
            </w:pPr>
            <w:r>
              <w:rPr>
                <w:rFonts w:ascii="Arial" w:cs="Arial" w:eastAsia="Arial" w:hAnsi="Arial"/>
                <w:sz w:val="10"/>
                <w:szCs w:val="10"/>
                <w:b w:val="1"/>
                <w:bCs w:val="1"/>
                <w:color w:val="auto"/>
                <w:w w:val="82"/>
              </w:rPr>
              <w:t>June 30, 2014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6720" w:type="dxa"/>
            <w:vAlign w:val="bottom"/>
            <w:gridSpan w:val="7"/>
          </w:tcPr>
          <w:p>
            <w:pPr>
              <w:spacing w:after="0"/>
              <w:rPr>
                <w:sz w:val="20"/>
                <w:szCs w:val="20"/>
                <w:color w:val="auto"/>
              </w:rPr>
            </w:pPr>
            <w:r>
              <w:rPr>
                <w:rFonts w:ascii="Arial" w:cs="Arial" w:eastAsia="Arial" w:hAnsi="Arial"/>
                <w:sz w:val="12"/>
                <w:szCs w:val="12"/>
                <w:color w:val="auto"/>
              </w:rPr>
              <w:t>Personal Lines:</w:t>
            </w:r>
          </w:p>
        </w:tc>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0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Homeowners, dwelling fire and canine legal liability</w:t>
            </w:r>
          </w:p>
        </w:tc>
        <w:tc>
          <w:tcPr>
            <w:tcW w:w="9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120"/>
              <w:spacing w:after="0"/>
              <w:rPr>
                <w:sz w:val="20"/>
                <w:szCs w:val="20"/>
                <w:color w:val="auto"/>
              </w:rPr>
            </w:pPr>
            <w:r>
              <w:rPr>
                <w:rFonts w:ascii="Arial" w:cs="Arial" w:eastAsia="Arial" w:hAnsi="Arial"/>
                <w:sz w:val="12"/>
                <w:szCs w:val="12"/>
                <w:color w:val="auto"/>
              </w:rPr>
              <w:t>Quota share treaty:</w:t>
            </w: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ind w:left="220"/>
              <w:spacing w:after="0"/>
              <w:rPr>
                <w:sz w:val="20"/>
                <w:szCs w:val="20"/>
                <w:color w:val="auto"/>
              </w:rPr>
            </w:pPr>
            <w:r>
              <w:rPr>
                <w:rFonts w:ascii="Arial" w:cs="Arial" w:eastAsia="Arial" w:hAnsi="Arial"/>
                <w:sz w:val="12"/>
                <w:szCs w:val="12"/>
                <w:color w:val="auto"/>
              </w:rPr>
              <w:t>Percent ceded</w:t>
            </w:r>
          </w:p>
        </w:tc>
        <w:tc>
          <w:tcPr>
            <w:tcW w:w="9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w:t>
            </w:r>
          </w:p>
        </w:tc>
        <w:tc>
          <w:tcPr>
            <w:tcW w:w="9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55%</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220"/>
              <w:spacing w:after="0"/>
              <w:rPr>
                <w:sz w:val="20"/>
                <w:szCs w:val="20"/>
                <w:color w:val="auto"/>
              </w:rPr>
            </w:pPr>
            <w:r>
              <w:rPr>
                <w:rFonts w:ascii="Arial" w:cs="Arial" w:eastAsia="Arial" w:hAnsi="Arial"/>
                <w:sz w:val="12"/>
                <w:szCs w:val="12"/>
                <w:color w:val="auto"/>
              </w:rPr>
              <w:t>Risk retained</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450,000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360,000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ind w:left="220"/>
              <w:spacing w:after="0"/>
              <w:rPr>
                <w:sz w:val="20"/>
                <w:szCs w:val="20"/>
                <w:color w:val="auto"/>
              </w:rPr>
            </w:pPr>
            <w:r>
              <w:rPr>
                <w:rFonts w:ascii="Arial" w:cs="Arial" w:eastAsia="Arial" w:hAnsi="Arial"/>
                <w:sz w:val="12"/>
                <w:szCs w:val="12"/>
                <w:color w:val="auto"/>
              </w:rPr>
              <w:t>Losses per occurrence subject to quota share reinsurance coverage</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800,000</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120"/>
              <w:spacing w:after="0"/>
              <w:rPr>
                <w:sz w:val="20"/>
                <w:szCs w:val="20"/>
                <w:color w:val="auto"/>
              </w:rPr>
            </w:pPr>
            <w:r>
              <w:rPr>
                <w:rFonts w:ascii="Arial" w:cs="Arial" w:eastAsia="Arial" w:hAnsi="Arial"/>
                <w:sz w:val="12"/>
                <w:szCs w:val="12"/>
                <w:color w:val="auto"/>
              </w:rPr>
              <w:t>Excess of loss coverage above quota share coverage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3,750,000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3,200,000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7"/>
              </w:rPr>
              <w:t>in excess of</w:t>
            </w:r>
          </w:p>
        </w:tc>
        <w:tc>
          <w:tcPr>
            <w:tcW w:w="9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4"/>
              </w:rPr>
              <w:t>in excess of</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1"/>
              </w:rPr>
              <w:t>in excess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750,000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800,000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1,200,000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ind w:left="100"/>
              <w:spacing w:after="0"/>
              <w:rPr>
                <w:sz w:val="20"/>
                <w:szCs w:val="20"/>
                <w:color w:val="auto"/>
              </w:rPr>
            </w:pPr>
            <w:r>
              <w:rPr>
                <w:rFonts w:ascii="Arial" w:cs="Arial" w:eastAsia="Arial" w:hAnsi="Arial"/>
                <w:sz w:val="12"/>
                <w:szCs w:val="12"/>
                <w:color w:val="auto"/>
              </w:rPr>
              <w:t>Total reinsurance coverage per occurrence</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4,050,000</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3,640,000</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120"/>
              <w:spacing w:after="0"/>
              <w:rPr>
                <w:sz w:val="20"/>
                <w:szCs w:val="20"/>
                <w:color w:val="auto"/>
              </w:rPr>
            </w:pPr>
            <w:r>
              <w:rPr>
                <w:rFonts w:ascii="Arial" w:cs="Arial" w:eastAsia="Arial" w:hAnsi="Arial"/>
                <w:sz w:val="12"/>
                <w:szCs w:val="12"/>
                <w:color w:val="auto"/>
              </w:rPr>
              <w:t>Losses per occurrence subject to reinsurance coverage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4,000,000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2,900,000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ind w:left="120"/>
              <w:spacing w:after="0"/>
              <w:rPr>
                <w:sz w:val="20"/>
                <w:szCs w:val="20"/>
                <w:color w:val="auto"/>
              </w:rPr>
            </w:pPr>
            <w:r>
              <w:rPr>
                <w:rFonts w:ascii="Arial" w:cs="Arial" w:eastAsia="Arial" w:hAnsi="Arial"/>
                <w:sz w:val="12"/>
                <w:szCs w:val="12"/>
                <w:color w:val="auto"/>
              </w:rPr>
              <w:t>Expiration date</w:t>
            </w:r>
          </w:p>
        </w:tc>
        <w:tc>
          <w:tcPr>
            <w:tcW w:w="16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June 30, 2016</w:t>
            </w:r>
          </w:p>
        </w:tc>
        <w:tc>
          <w:tcPr>
            <w:tcW w:w="16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June 30, 2015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June 30, 2015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Personal Umbrella</w:t>
            </w:r>
          </w:p>
        </w:tc>
        <w:tc>
          <w:tcPr>
            <w:tcW w:w="9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120"/>
              <w:spacing w:after="0"/>
              <w:rPr>
                <w:sz w:val="20"/>
                <w:szCs w:val="20"/>
                <w:color w:val="auto"/>
              </w:rPr>
            </w:pPr>
            <w:r>
              <w:rPr>
                <w:rFonts w:ascii="Arial" w:cs="Arial" w:eastAsia="Arial" w:hAnsi="Arial"/>
                <w:sz w:val="12"/>
                <w:szCs w:val="12"/>
                <w:color w:val="auto"/>
              </w:rPr>
              <w:t>Quota share treaty:</w:t>
            </w: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ind w:left="220"/>
              <w:spacing w:after="0"/>
              <w:rPr>
                <w:sz w:val="20"/>
                <w:szCs w:val="20"/>
                <w:color w:val="auto"/>
              </w:rPr>
            </w:pPr>
            <w:r>
              <w:rPr>
                <w:rFonts w:ascii="Arial" w:cs="Arial" w:eastAsia="Arial" w:hAnsi="Arial"/>
                <w:sz w:val="12"/>
                <w:szCs w:val="12"/>
                <w:color w:val="auto"/>
              </w:rPr>
              <w:t>Percent ceded - first million dollars of coverage</w:t>
            </w:r>
          </w:p>
        </w:tc>
        <w:tc>
          <w:tcPr>
            <w:tcW w:w="9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w:t>
            </w:r>
          </w:p>
        </w:tc>
        <w:tc>
          <w:tcPr>
            <w:tcW w:w="9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90%</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220"/>
              <w:spacing w:after="0"/>
              <w:rPr>
                <w:sz w:val="20"/>
                <w:szCs w:val="20"/>
                <w:color w:val="auto"/>
              </w:rPr>
            </w:pPr>
            <w:r>
              <w:rPr>
                <w:rFonts w:ascii="Arial" w:cs="Arial" w:eastAsia="Arial" w:hAnsi="Arial"/>
                <w:sz w:val="12"/>
                <w:szCs w:val="12"/>
                <w:color w:val="auto"/>
              </w:rPr>
              <w:t>Percent ceded - excess of one million dollars of coverage</w:t>
            </w: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100%</w:t>
            </w:r>
          </w:p>
        </w:tc>
        <w:tc>
          <w:tcPr>
            <w:tcW w:w="8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ind w:left="220"/>
              <w:spacing w:after="0"/>
              <w:rPr>
                <w:sz w:val="20"/>
                <w:szCs w:val="20"/>
                <w:color w:val="auto"/>
              </w:rPr>
            </w:pPr>
            <w:r>
              <w:rPr>
                <w:rFonts w:ascii="Arial" w:cs="Arial" w:eastAsia="Arial" w:hAnsi="Arial"/>
                <w:sz w:val="12"/>
                <w:szCs w:val="12"/>
                <w:color w:val="auto"/>
              </w:rPr>
              <w:t>Risk retained</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100,000</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220"/>
              <w:spacing w:after="0"/>
              <w:rPr>
                <w:sz w:val="20"/>
                <w:szCs w:val="20"/>
                <w:color w:val="auto"/>
              </w:rPr>
            </w:pPr>
            <w:r>
              <w:rPr>
                <w:rFonts w:ascii="Arial" w:cs="Arial" w:eastAsia="Arial" w:hAnsi="Arial"/>
                <w:sz w:val="12"/>
                <w:szCs w:val="12"/>
                <w:color w:val="auto"/>
              </w:rPr>
              <w:t>Total reinsurance coverage per occurrence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2,900,000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2,900,000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1,900,000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ind w:left="220"/>
              <w:spacing w:after="0"/>
              <w:rPr>
                <w:sz w:val="20"/>
                <w:szCs w:val="20"/>
                <w:color w:val="auto"/>
              </w:rPr>
            </w:pPr>
            <w:r>
              <w:rPr>
                <w:rFonts w:ascii="Arial" w:cs="Arial" w:eastAsia="Arial" w:hAnsi="Arial"/>
                <w:sz w:val="12"/>
                <w:szCs w:val="12"/>
                <w:color w:val="auto"/>
              </w:rPr>
              <w:t>Losses per occurrence subject to quota share reinsurance coverage</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3,000,000</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3,000,000</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120"/>
              <w:spacing w:after="0"/>
              <w:rPr>
                <w:sz w:val="20"/>
                <w:szCs w:val="20"/>
                <w:color w:val="auto"/>
              </w:rPr>
            </w:pPr>
            <w:r>
              <w:rPr>
                <w:rFonts w:ascii="Arial" w:cs="Arial" w:eastAsia="Arial" w:hAnsi="Arial"/>
                <w:sz w:val="12"/>
                <w:szCs w:val="12"/>
                <w:color w:val="auto"/>
              </w:rPr>
              <w:t>Expiration date</w:t>
            </w:r>
          </w:p>
        </w:tc>
        <w:tc>
          <w:tcPr>
            <w:tcW w:w="1660" w:type="dxa"/>
            <w:vAlign w:val="bottom"/>
            <w:gridSpan w:val="3"/>
          </w:tcPr>
          <w:p>
            <w:pPr>
              <w:jc w:val="right"/>
              <w:ind w:right="120"/>
              <w:spacing w:after="0"/>
              <w:rPr>
                <w:sz w:val="20"/>
                <w:szCs w:val="20"/>
                <w:color w:val="auto"/>
              </w:rPr>
            </w:pPr>
            <w:r>
              <w:rPr>
                <w:rFonts w:ascii="Arial" w:cs="Arial" w:eastAsia="Arial" w:hAnsi="Arial"/>
                <w:sz w:val="12"/>
                <w:szCs w:val="12"/>
                <w:color w:val="auto"/>
              </w:rPr>
              <w:t>June 30, 2016</w:t>
            </w:r>
          </w:p>
        </w:tc>
        <w:tc>
          <w:tcPr>
            <w:tcW w:w="1680" w:type="dxa"/>
            <w:vAlign w:val="bottom"/>
            <w:gridSpan w:val="3"/>
          </w:tcPr>
          <w:p>
            <w:pPr>
              <w:jc w:val="right"/>
              <w:ind w:right="140"/>
              <w:spacing w:after="0"/>
              <w:rPr>
                <w:sz w:val="20"/>
                <w:szCs w:val="20"/>
                <w:color w:val="auto"/>
              </w:rPr>
            </w:pPr>
            <w:r>
              <w:rPr>
                <w:rFonts w:ascii="Arial" w:cs="Arial" w:eastAsia="Arial" w:hAnsi="Arial"/>
                <w:sz w:val="12"/>
                <w:szCs w:val="12"/>
                <w:color w:val="auto"/>
              </w:rPr>
              <w:t>June 30, 2015</w:t>
            </w: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June 30, 2014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900" w:type="dxa"/>
            <w:vAlign w:val="bottom"/>
            <w:tcBorders>
              <w:bottom w:val="single" w:sz="8" w:color="auto"/>
            </w:tcBorders>
            <w:gridSpan w:val="3"/>
          </w:tcPr>
          <w:p>
            <w:pPr>
              <w:spacing w:after="0" w:line="117" w:lineRule="exact"/>
              <w:rPr>
                <w:sz w:val="20"/>
                <w:szCs w:val="20"/>
                <w:color w:val="auto"/>
              </w:rPr>
            </w:pPr>
            <w:r>
              <w:rPr>
                <w:rFonts w:ascii="Arial" w:cs="Arial" w:eastAsia="Arial" w:hAnsi="Arial"/>
                <w:sz w:val="12"/>
                <w:szCs w:val="12"/>
                <w:color w:val="auto"/>
                <w:w w:val="88"/>
              </w:rPr>
              <w:t>Commercial Lines:</w:t>
            </w:r>
          </w:p>
        </w:tc>
        <w:tc>
          <w:tcPr>
            <w:tcW w:w="5800" w:type="dxa"/>
            <w:vAlign w:val="bottom"/>
            <w:gridSpan w:val="3"/>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General liability commercial policies, except for commercial auto</w:t>
            </w:r>
          </w:p>
        </w:tc>
        <w:tc>
          <w:tcPr>
            <w:tcW w:w="9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120"/>
              <w:spacing w:after="0"/>
              <w:rPr>
                <w:sz w:val="20"/>
                <w:szCs w:val="20"/>
                <w:color w:val="auto"/>
              </w:rPr>
            </w:pPr>
            <w:r>
              <w:rPr>
                <w:rFonts w:ascii="Arial" w:cs="Arial" w:eastAsia="Arial" w:hAnsi="Arial"/>
                <w:sz w:val="12"/>
                <w:szCs w:val="12"/>
                <w:color w:val="auto"/>
              </w:rPr>
              <w:t>Quota share treaty:</w:t>
            </w: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ind w:left="220"/>
              <w:spacing w:after="0"/>
              <w:rPr>
                <w:sz w:val="20"/>
                <w:szCs w:val="20"/>
                <w:color w:val="auto"/>
              </w:rPr>
            </w:pPr>
            <w:r>
              <w:rPr>
                <w:rFonts w:ascii="Arial" w:cs="Arial" w:eastAsia="Arial" w:hAnsi="Arial"/>
                <w:sz w:val="12"/>
                <w:szCs w:val="12"/>
                <w:color w:val="auto"/>
              </w:rPr>
              <w:t>Percent ceded (terminated effective July 1, 2014)</w:t>
            </w:r>
          </w:p>
        </w:tc>
        <w:tc>
          <w:tcPr>
            <w:tcW w:w="9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None</w:t>
            </w:r>
          </w:p>
        </w:tc>
        <w:tc>
          <w:tcPr>
            <w:tcW w:w="9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None</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220"/>
              <w:spacing w:after="0"/>
              <w:rPr>
                <w:sz w:val="20"/>
                <w:szCs w:val="20"/>
                <w:color w:val="auto"/>
              </w:rPr>
            </w:pPr>
            <w:r>
              <w:rPr>
                <w:rFonts w:ascii="Arial" w:cs="Arial" w:eastAsia="Arial" w:hAnsi="Arial"/>
                <w:sz w:val="12"/>
                <w:szCs w:val="12"/>
                <w:color w:val="auto"/>
              </w:rPr>
              <w:t>Risk retained</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425,000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400,000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ind w:left="220"/>
              <w:spacing w:after="0"/>
              <w:rPr>
                <w:sz w:val="20"/>
                <w:szCs w:val="20"/>
                <w:color w:val="auto"/>
              </w:rPr>
            </w:pPr>
            <w:r>
              <w:rPr>
                <w:rFonts w:ascii="Arial" w:cs="Arial" w:eastAsia="Arial" w:hAnsi="Arial"/>
                <w:sz w:val="12"/>
                <w:szCs w:val="12"/>
                <w:color w:val="auto"/>
              </w:rPr>
              <w:t>Losses per occurrence subject to quota share reinsurance coverage</w:t>
            </w:r>
          </w:p>
        </w:tc>
        <w:tc>
          <w:tcPr>
            <w:tcW w:w="9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None</w:t>
            </w:r>
          </w:p>
        </w:tc>
        <w:tc>
          <w:tcPr>
            <w:tcW w:w="9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None</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120"/>
              <w:spacing w:after="0"/>
              <w:rPr>
                <w:sz w:val="20"/>
                <w:szCs w:val="20"/>
                <w:color w:val="auto"/>
              </w:rPr>
            </w:pPr>
            <w:r>
              <w:rPr>
                <w:rFonts w:ascii="Arial" w:cs="Arial" w:eastAsia="Arial" w:hAnsi="Arial"/>
                <w:sz w:val="12"/>
                <w:szCs w:val="12"/>
                <w:color w:val="auto"/>
              </w:rPr>
              <w:t>Excess of loss coverage above quota share coverage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4,075,000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3,600,000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7"/>
              </w:rPr>
              <w:t>in excess of</w:t>
            </w:r>
          </w:p>
        </w:tc>
        <w:tc>
          <w:tcPr>
            <w:tcW w:w="9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4"/>
              </w:rPr>
              <w:t>in excess of</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1"/>
              </w:rPr>
              <w:t>in excess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425,000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400,000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ind w:left="100"/>
              <w:spacing w:after="0"/>
              <w:rPr>
                <w:sz w:val="20"/>
                <w:szCs w:val="20"/>
                <w:color w:val="auto"/>
              </w:rPr>
            </w:pPr>
            <w:r>
              <w:rPr>
                <w:rFonts w:ascii="Arial" w:cs="Arial" w:eastAsia="Arial" w:hAnsi="Arial"/>
                <w:sz w:val="12"/>
                <w:szCs w:val="12"/>
                <w:color w:val="auto"/>
              </w:rPr>
              <w:t>Total reinsurance coverage per occurrence</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4,075,000</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3,600,000</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120"/>
              <w:spacing w:after="0"/>
              <w:rPr>
                <w:sz w:val="20"/>
                <w:szCs w:val="20"/>
                <w:color w:val="auto"/>
              </w:rPr>
            </w:pPr>
            <w:r>
              <w:rPr>
                <w:rFonts w:ascii="Arial" w:cs="Arial" w:eastAsia="Arial" w:hAnsi="Arial"/>
                <w:sz w:val="12"/>
                <w:szCs w:val="12"/>
                <w:color w:val="auto"/>
              </w:rPr>
              <w:t>Losses per occurrence subject to reinsurance coverage</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4,000,000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2,900,000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6700" w:type="dxa"/>
            <w:vAlign w:val="bottom"/>
            <w:gridSpan w:val="6"/>
          </w:tcPr>
          <w:p>
            <w:pPr>
              <w:spacing w:after="0" w:line="117" w:lineRule="exact"/>
              <w:rPr>
                <w:sz w:val="20"/>
                <w:szCs w:val="20"/>
                <w:color w:val="auto"/>
              </w:rPr>
            </w:pPr>
            <w:r>
              <w:rPr>
                <w:rFonts w:ascii="Arial" w:cs="Arial" w:eastAsia="Arial" w:hAnsi="Arial"/>
                <w:sz w:val="12"/>
                <w:szCs w:val="12"/>
                <w:color w:val="auto"/>
              </w:rPr>
              <w:t>Commercial Auto:</w:t>
            </w: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2"/>
                <w:szCs w:val="12"/>
                <w:color w:val="auto"/>
              </w:rPr>
              <w:t>Risk retained</w:t>
            </w:r>
          </w:p>
        </w:tc>
        <w:tc>
          <w:tcPr>
            <w:tcW w:w="5840" w:type="dxa"/>
            <w:vAlign w:val="bottom"/>
            <w:gridSpan w:val="4"/>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300,000</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300,000</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120"/>
              <w:spacing w:after="0"/>
              <w:rPr>
                <w:sz w:val="20"/>
                <w:szCs w:val="20"/>
                <w:color w:val="auto"/>
              </w:rPr>
            </w:pPr>
            <w:r>
              <w:rPr>
                <w:rFonts w:ascii="Arial" w:cs="Arial" w:eastAsia="Arial" w:hAnsi="Arial"/>
                <w:sz w:val="12"/>
                <w:szCs w:val="12"/>
                <w:color w:val="auto"/>
              </w:rPr>
              <w:t>Excess of loss coverage in excess of risk retained</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1,700,000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1,700,000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7"/>
              </w:rPr>
              <w:t>in excess of</w:t>
            </w:r>
          </w:p>
        </w:tc>
        <w:tc>
          <w:tcPr>
            <w:tcW w:w="9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4"/>
              </w:rPr>
              <w:t>in excess of</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1"/>
              </w:rPr>
              <w:t>in excess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300,000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300,000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700" w:type="dxa"/>
            <w:vAlign w:val="bottom"/>
            <w:gridSpan w:val="6"/>
            <w:shd w:val="clear" w:color="auto" w:fill="CCEEFF"/>
          </w:tcPr>
          <w:p>
            <w:pPr>
              <w:spacing w:after="0" w:line="117" w:lineRule="exact"/>
              <w:rPr>
                <w:sz w:val="20"/>
                <w:szCs w:val="20"/>
                <w:color w:val="auto"/>
              </w:rPr>
            </w:pPr>
            <w:r>
              <w:rPr>
                <w:rFonts w:ascii="Arial" w:cs="Arial" w:eastAsia="Arial" w:hAnsi="Arial"/>
                <w:sz w:val="12"/>
                <w:szCs w:val="12"/>
                <w:color w:val="auto"/>
              </w:rPr>
              <w:t>Catastrophe Reinsurance:</w:t>
            </w:r>
          </w:p>
        </w:tc>
        <w:tc>
          <w:tcPr>
            <w:tcW w:w="9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120"/>
              <w:spacing w:after="0"/>
              <w:rPr>
                <w:sz w:val="20"/>
                <w:szCs w:val="20"/>
                <w:color w:val="auto"/>
              </w:rPr>
            </w:pPr>
            <w:r>
              <w:rPr>
                <w:rFonts w:ascii="Arial" w:cs="Arial" w:eastAsia="Arial" w:hAnsi="Arial"/>
                <w:sz w:val="12"/>
                <w:szCs w:val="12"/>
                <w:color w:val="auto"/>
              </w:rPr>
              <w:t>Initial loss subject to personal lines quota share treaty</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4,000,000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4,000,000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4,000,000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ind w:left="120"/>
              <w:spacing w:after="0"/>
              <w:rPr>
                <w:sz w:val="20"/>
                <w:szCs w:val="20"/>
                <w:color w:val="auto"/>
              </w:rPr>
            </w:pPr>
            <w:r>
              <w:rPr>
                <w:rFonts w:ascii="Arial" w:cs="Arial" w:eastAsia="Arial" w:hAnsi="Arial"/>
                <w:sz w:val="12"/>
                <w:szCs w:val="12"/>
                <w:color w:val="auto"/>
              </w:rPr>
              <w:t>Risk retained per catastrophe occurrence (1)</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2,400,000</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1,800,000</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tcPr>
          <w:p>
            <w:pPr>
              <w:ind w:left="120"/>
              <w:spacing w:after="0"/>
              <w:rPr>
                <w:sz w:val="20"/>
                <w:szCs w:val="20"/>
                <w:color w:val="auto"/>
              </w:rPr>
            </w:pPr>
            <w:r>
              <w:rPr>
                <w:rFonts w:ascii="Arial" w:cs="Arial" w:eastAsia="Arial" w:hAnsi="Arial"/>
                <w:sz w:val="12"/>
                <w:szCs w:val="12"/>
                <w:color w:val="auto"/>
              </w:rPr>
              <w:t>Catastrophe loss coverage in excess of quota share coverage (2) (3)</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w w:val="92"/>
              </w:rPr>
              <w:t>176,000,000</w:t>
            </w: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w w:val="89"/>
              </w:rPr>
              <w:t>137,000,000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86,000,000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gridSpan w:val="6"/>
            <w:shd w:val="clear" w:color="auto" w:fill="CCEEFF"/>
          </w:tcPr>
          <w:p>
            <w:pPr>
              <w:ind w:left="120"/>
              <w:spacing w:after="0"/>
              <w:rPr>
                <w:sz w:val="20"/>
                <w:szCs w:val="20"/>
                <w:color w:val="auto"/>
              </w:rPr>
            </w:pPr>
            <w:r>
              <w:rPr>
                <w:rFonts w:ascii="Arial" w:cs="Arial" w:eastAsia="Arial" w:hAnsi="Arial"/>
                <w:sz w:val="12"/>
                <w:szCs w:val="12"/>
                <w:color w:val="auto"/>
              </w:rPr>
              <w:t>Severe winter weather aggregate (3)</w:t>
            </w:r>
          </w:p>
        </w:tc>
        <w:tc>
          <w:tcPr>
            <w:tcW w:w="900" w:type="dxa"/>
            <w:vAlign w:val="bottom"/>
            <w:shd w:val="clear" w:color="auto" w:fill="CCEEFF"/>
          </w:tcPr>
          <w:p>
            <w:pPr>
              <w:jc w:val="center"/>
              <w:ind w:left="582"/>
              <w:spacing w:after="0"/>
              <w:rPr>
                <w:sz w:val="20"/>
                <w:szCs w:val="20"/>
                <w:color w:val="auto"/>
              </w:rPr>
            </w:pPr>
            <w:r>
              <w:rPr>
                <w:rFonts w:ascii="Arial" w:cs="Arial" w:eastAsia="Arial" w:hAnsi="Arial"/>
                <w:sz w:val="12"/>
                <w:szCs w:val="12"/>
                <w:color w:val="auto"/>
                <w:w w:val="86"/>
              </w:rPr>
              <w:t>Yes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No</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No</w:t>
            </w: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00" w:type="dxa"/>
            <w:vAlign w:val="bottom"/>
            <w:gridSpan w:val="6"/>
          </w:tcPr>
          <w:p>
            <w:pPr>
              <w:ind w:left="120"/>
              <w:spacing w:after="0"/>
              <w:rPr>
                <w:sz w:val="20"/>
                <w:szCs w:val="20"/>
                <w:color w:val="auto"/>
              </w:rPr>
            </w:pPr>
            <w:r>
              <w:rPr>
                <w:rFonts w:ascii="Arial" w:cs="Arial" w:eastAsia="Arial" w:hAnsi="Arial"/>
                <w:sz w:val="12"/>
                <w:szCs w:val="12"/>
                <w:color w:val="auto"/>
              </w:rPr>
              <w:t>Reinstatement premium protection (4)</w:t>
            </w:r>
          </w:p>
        </w:tc>
        <w:tc>
          <w:tcPr>
            <w:tcW w:w="900" w:type="dxa"/>
            <w:vAlign w:val="bottom"/>
          </w:tcPr>
          <w:p>
            <w:pPr>
              <w:jc w:val="center"/>
              <w:ind w:left="582"/>
              <w:spacing w:after="0"/>
              <w:rPr>
                <w:sz w:val="20"/>
                <w:szCs w:val="20"/>
                <w:color w:val="auto"/>
              </w:rPr>
            </w:pPr>
            <w:r>
              <w:rPr>
                <w:rFonts w:ascii="Arial" w:cs="Arial" w:eastAsia="Arial" w:hAnsi="Arial"/>
                <w:sz w:val="12"/>
                <w:szCs w:val="12"/>
                <w:color w:val="auto"/>
                <w:w w:val="86"/>
              </w:rPr>
              <w:t>Yes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No</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No</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00" w:hanging="142"/>
        <w:spacing w:after="0"/>
        <w:tabs>
          <w:tab w:leader="none" w:pos="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Plus losses in excess of catastrophe coverage.</w:t>
      </w:r>
    </w:p>
    <w:p>
      <w:pPr>
        <w:spacing w:after="0" w:line="14" w:lineRule="exact"/>
        <w:rPr>
          <w:rFonts w:ascii="Arial" w:cs="Arial" w:eastAsia="Arial" w:hAnsi="Arial"/>
          <w:sz w:val="12"/>
          <w:szCs w:val="12"/>
          <w:color w:val="auto"/>
        </w:rPr>
      </w:pPr>
    </w:p>
    <w:p>
      <w:pPr>
        <w:ind w:left="200" w:hanging="142"/>
        <w:spacing w:after="0"/>
        <w:tabs>
          <w:tab w:leader="none" w:pos="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Effective July 1, 2014, our catastrophe treaty also covers losses caused by severe winter weather during any consecutive 28 day period.</w:t>
      </w:r>
    </w:p>
    <w:p>
      <w:pPr>
        <w:spacing w:after="0" w:line="6" w:lineRule="exact"/>
        <w:rPr>
          <w:rFonts w:ascii="Arial" w:cs="Arial" w:eastAsia="Arial" w:hAnsi="Arial"/>
          <w:sz w:val="12"/>
          <w:szCs w:val="12"/>
          <w:color w:val="auto"/>
        </w:rPr>
      </w:pPr>
    </w:p>
    <w:p>
      <w:pPr>
        <w:ind w:left="200" w:right="20" w:hanging="142"/>
        <w:spacing w:after="0" w:line="250" w:lineRule="auto"/>
        <w:tabs>
          <w:tab w:leader="none" w:pos="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Catastrophe coverage is limited on an annual basis to two times the per occurrence amounts. Effective July 1, 2015, the duration of a catastrophe occurrence from windstorm, hail, tornado, hurricane and cyclone was extended to 120 consecutive hours from 96 consecutive hours.</w:t>
      </w:r>
    </w:p>
    <w:p>
      <w:pPr>
        <w:ind w:left="200" w:hanging="142"/>
        <w:spacing w:after="0"/>
        <w:tabs>
          <w:tab w:leader="none" w:pos="200" w:val="left"/>
        </w:tabs>
        <w:numPr>
          <w:ilvl w:val="0"/>
          <w:numId w:val="3"/>
        </w:numPr>
        <w:rPr>
          <w:rFonts w:ascii="Arial" w:cs="Arial" w:eastAsia="Arial" w:hAnsi="Arial"/>
          <w:sz w:val="12"/>
          <w:szCs w:val="12"/>
          <w:color w:val="auto"/>
        </w:rPr>
      </w:pPr>
      <w:r>
        <w:rPr>
          <w:rFonts w:ascii="Arial" w:cs="Arial" w:eastAsia="Arial" w:hAnsi="Arial"/>
          <w:sz w:val="12"/>
          <w:szCs w:val="12"/>
          <w:color w:val="auto"/>
        </w:rPr>
        <w:t>Effective July 1, 2015, reinstatement premium protection for $16,000,000 of catastrophe coverage in excess of $4,000,000.</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737" w:right="199" w:bottom="1440" w:gutter="0" w:footer="0" w:header="0"/>
        </w:sectPr>
      </w:pPr>
    </w:p>
    <w:bookmarkStart w:id="22" w:name="page23"/>
    <w:bookmarkEnd w:id="22"/>
    <w:p>
      <w:pPr>
        <w:spacing w:after="0"/>
        <w:rPr>
          <w:sz w:val="20"/>
          <w:szCs w:val="20"/>
          <w:color w:val="auto"/>
        </w:rPr>
      </w:pPr>
      <w:r>
        <w:rPr>
          <w:rFonts w:ascii="Arial" w:cs="Arial" w:eastAsia="Arial" w:hAnsi="Arial"/>
          <w:sz w:val="12"/>
          <w:szCs w:val="12"/>
          <w:color w:val="auto"/>
        </w:rPr>
        <w:t>The single maximum risks per occurrence to which the Company is subject under the treaties that expired on June 30, 2015 and 2014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520" w:type="dxa"/>
            <w:vAlign w:val="bottom"/>
            <w:tcBorders>
              <w:bottom w:val="single" w:sz="8" w:color="auto"/>
            </w:tcBorders>
            <w:gridSpan w:val="3"/>
          </w:tcPr>
          <w:p>
            <w:pPr>
              <w:ind w:left="1240"/>
              <w:spacing w:after="0"/>
              <w:rPr>
                <w:sz w:val="20"/>
                <w:szCs w:val="20"/>
                <w:color w:val="auto"/>
              </w:rPr>
            </w:pPr>
            <w:r>
              <w:rPr>
                <w:rFonts w:ascii="Arial" w:cs="Arial" w:eastAsia="Arial" w:hAnsi="Arial"/>
                <w:sz w:val="10"/>
                <w:szCs w:val="10"/>
                <w:b w:val="1"/>
                <w:bCs w:val="1"/>
                <w:color w:val="auto"/>
                <w:w w:val="96"/>
              </w:rPr>
              <w:t>July 1, 2014 - June 30, 2015</w:t>
            </w:r>
          </w:p>
        </w:tc>
        <w:tc>
          <w:tcPr>
            <w:tcW w:w="110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b w:val="1"/>
                <w:bCs w:val="1"/>
                <w:color w:val="auto"/>
              </w:rPr>
              <w:t>July 1, 2013 - June 30, 2014</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Borders>
              <w:bottom w:val="single" w:sz="8" w:color="auto"/>
            </w:tcBorders>
          </w:tcPr>
          <w:p>
            <w:pPr>
              <w:ind w:left="1020"/>
              <w:spacing w:after="0"/>
              <w:rPr>
                <w:sz w:val="20"/>
                <w:szCs w:val="20"/>
                <w:color w:val="auto"/>
              </w:rPr>
            </w:pPr>
            <w:r>
              <w:rPr>
                <w:rFonts w:ascii="Arial" w:cs="Arial" w:eastAsia="Arial" w:hAnsi="Arial"/>
                <w:sz w:val="10"/>
                <w:szCs w:val="10"/>
                <w:b w:val="1"/>
                <w:bCs w:val="1"/>
                <w:color w:val="auto"/>
              </w:rPr>
              <w:t>Treaty</w:t>
            </w:r>
          </w:p>
        </w:tc>
        <w:tc>
          <w:tcPr>
            <w:tcW w:w="480" w:type="dxa"/>
            <w:vAlign w:val="bottom"/>
          </w:tcPr>
          <w:p>
            <w:pPr>
              <w:spacing w:after="0"/>
              <w:rPr>
                <w:sz w:val="12"/>
                <w:szCs w:val="12"/>
                <w:color w:val="auto"/>
              </w:rPr>
            </w:pPr>
          </w:p>
        </w:tc>
        <w:tc>
          <w:tcPr>
            <w:tcW w:w="138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Extent of Loss</w:t>
            </w:r>
          </w:p>
        </w:tc>
        <w:tc>
          <w:tcPr>
            <w:tcW w:w="9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Risk Retained</w:t>
            </w:r>
          </w:p>
        </w:tc>
        <w:tc>
          <w:tcPr>
            <w:tcW w:w="940" w:type="dxa"/>
            <w:vAlign w:val="bottom"/>
          </w:tcPr>
          <w:p>
            <w:pPr>
              <w:spacing w:after="0"/>
              <w:rPr>
                <w:sz w:val="12"/>
                <w:szCs w:val="12"/>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Extent of Loss</w:t>
            </w:r>
          </w:p>
        </w:tc>
        <w:tc>
          <w:tcPr>
            <w:tcW w:w="2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rPr>
              <w:t>Risk Retained</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Personal Lines</w:t>
            </w:r>
          </w:p>
        </w:tc>
        <w:tc>
          <w:tcPr>
            <w:tcW w:w="3000" w:type="dxa"/>
            <w:vAlign w:val="bottom"/>
            <w:gridSpan w:val="4"/>
            <w:shd w:val="clear" w:color="auto" w:fill="CCEEFF"/>
          </w:tcPr>
          <w:p>
            <w:pPr>
              <w:ind w:left="480"/>
              <w:spacing w:after="0"/>
              <w:rPr>
                <w:sz w:val="20"/>
                <w:szCs w:val="20"/>
                <w:color w:val="auto"/>
              </w:rPr>
            </w:pPr>
            <w:r>
              <w:rPr>
                <w:rFonts w:ascii="Arial" w:cs="Arial" w:eastAsia="Arial" w:hAnsi="Arial"/>
                <w:sz w:val="12"/>
                <w:szCs w:val="12"/>
                <w:color w:val="auto"/>
              </w:rPr>
              <w:t>Initial $800,000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$360,000</w:t>
            </w: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Initial $1,200,000</w:t>
            </w:r>
          </w:p>
        </w:tc>
        <w:tc>
          <w:tcPr>
            <w:tcW w:w="296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$300,000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8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$800,000 -</w:t>
            </w: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$1,200,000 -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2"/>
                <w:szCs w:val="12"/>
                <w:color w:val="auto"/>
              </w:rPr>
              <w:t>$4,000,000</w:t>
            </w: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None(1)</w:t>
            </w: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$2,900,000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Over $4,000,000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Over $2,900,000</w:t>
            </w:r>
          </w:p>
        </w:tc>
        <w:tc>
          <w:tcPr>
            <w:tcW w:w="296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Personal Umbrella</w:t>
            </w:r>
          </w:p>
        </w:tc>
        <w:tc>
          <w:tcPr>
            <w:tcW w:w="3000" w:type="dxa"/>
            <w:vAlign w:val="bottom"/>
            <w:gridSpan w:val="4"/>
            <w:shd w:val="clear" w:color="auto" w:fill="CCEEFF"/>
          </w:tcPr>
          <w:p>
            <w:pPr>
              <w:ind w:left="480"/>
              <w:spacing w:after="0"/>
              <w:rPr>
                <w:sz w:val="20"/>
                <w:szCs w:val="20"/>
                <w:color w:val="auto"/>
              </w:rPr>
            </w:pPr>
            <w:r>
              <w:rPr>
                <w:rFonts w:ascii="Arial" w:cs="Arial" w:eastAsia="Arial" w:hAnsi="Arial"/>
                <w:sz w:val="12"/>
                <w:szCs w:val="12"/>
                <w:color w:val="auto"/>
              </w:rPr>
              <w:t>Initial $1,000,000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Initial $1,000,000</w:t>
            </w:r>
          </w:p>
        </w:tc>
        <w:tc>
          <w:tcPr>
            <w:tcW w:w="296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8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$1,000,000 -</w:t>
            </w: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$1,000,000 -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2"/>
                <w:szCs w:val="12"/>
                <w:color w:val="auto"/>
              </w:rPr>
              <w:t>$3,000,000</w:t>
            </w: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None(1)</w:t>
            </w: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$2,000,000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Over $3,000,000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Over $2,000,000</w:t>
            </w:r>
          </w:p>
        </w:tc>
        <w:tc>
          <w:tcPr>
            <w:tcW w:w="296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Commercial Lines</w:t>
            </w:r>
          </w:p>
        </w:tc>
        <w:tc>
          <w:tcPr>
            <w:tcW w:w="3000" w:type="dxa"/>
            <w:vAlign w:val="bottom"/>
            <w:gridSpan w:val="4"/>
            <w:shd w:val="clear" w:color="auto" w:fill="CCEEFF"/>
          </w:tcPr>
          <w:p>
            <w:pPr>
              <w:ind w:left="480"/>
              <w:spacing w:after="0"/>
              <w:rPr>
                <w:sz w:val="20"/>
                <w:szCs w:val="20"/>
                <w:color w:val="auto"/>
              </w:rPr>
            </w:pPr>
            <w:r>
              <w:rPr>
                <w:rFonts w:ascii="Arial" w:cs="Arial" w:eastAsia="Arial" w:hAnsi="Arial"/>
                <w:sz w:val="12"/>
                <w:szCs w:val="12"/>
                <w:color w:val="auto"/>
              </w:rPr>
              <w:t>Initial $400,000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$400,000</w:t>
            </w: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Initial $400,000</w:t>
            </w:r>
          </w:p>
        </w:tc>
        <w:tc>
          <w:tcPr>
            <w:tcW w:w="296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$300,000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8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$400,000 -</w:t>
            </w: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$400,000 -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2"/>
                <w:szCs w:val="12"/>
                <w:color w:val="auto"/>
              </w:rPr>
              <w:t>$4,000,000</w:t>
            </w: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None(1)</w:t>
            </w: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$2,900,000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Over $4,000,000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Over $2,900,000</w:t>
            </w:r>
          </w:p>
        </w:tc>
        <w:tc>
          <w:tcPr>
            <w:tcW w:w="296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Commercial Auto</w:t>
            </w:r>
          </w:p>
        </w:tc>
        <w:tc>
          <w:tcPr>
            <w:tcW w:w="3000" w:type="dxa"/>
            <w:vAlign w:val="bottom"/>
            <w:gridSpan w:val="4"/>
            <w:shd w:val="clear" w:color="auto" w:fill="CCEEFF"/>
          </w:tcPr>
          <w:p>
            <w:pPr>
              <w:ind w:left="480"/>
              <w:spacing w:after="0"/>
              <w:rPr>
                <w:sz w:val="20"/>
                <w:szCs w:val="20"/>
                <w:color w:val="auto"/>
              </w:rPr>
            </w:pPr>
            <w:r>
              <w:rPr>
                <w:rFonts w:ascii="Arial" w:cs="Arial" w:eastAsia="Arial" w:hAnsi="Arial"/>
                <w:sz w:val="12"/>
                <w:szCs w:val="12"/>
                <w:color w:val="auto"/>
              </w:rPr>
              <w:t>Initial $300,000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$300,000</w:t>
            </w: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Initial $300,000</w:t>
            </w:r>
          </w:p>
        </w:tc>
        <w:tc>
          <w:tcPr>
            <w:tcW w:w="296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$300,000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8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$300,000 -</w:t>
            </w: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$300,000 -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2"/>
                <w:szCs w:val="12"/>
                <w:color w:val="auto"/>
              </w:rPr>
              <w:t>$2,000,000</w:t>
            </w: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None(1)</w:t>
            </w: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$2,000,000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Over $2,000,000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Over $2,000,000</w:t>
            </w:r>
          </w:p>
        </w:tc>
        <w:tc>
          <w:tcPr>
            <w:tcW w:w="296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Catastrophe (2)</w:t>
            </w:r>
          </w:p>
        </w:tc>
        <w:tc>
          <w:tcPr>
            <w:tcW w:w="3000" w:type="dxa"/>
            <w:vAlign w:val="bottom"/>
            <w:gridSpan w:val="4"/>
            <w:shd w:val="clear" w:color="auto" w:fill="CCEEFF"/>
          </w:tcPr>
          <w:p>
            <w:pPr>
              <w:ind w:left="480"/>
              <w:spacing w:after="0"/>
              <w:rPr>
                <w:sz w:val="20"/>
                <w:szCs w:val="20"/>
                <w:color w:val="auto"/>
              </w:rPr>
            </w:pPr>
            <w:r>
              <w:rPr>
                <w:rFonts w:ascii="Arial" w:cs="Arial" w:eastAsia="Arial" w:hAnsi="Arial"/>
                <w:sz w:val="12"/>
                <w:szCs w:val="12"/>
                <w:color w:val="auto"/>
              </w:rPr>
              <w:t>Initial $4,000,000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$1,800,000</w:t>
            </w: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Initial $4,000,000</w:t>
            </w:r>
          </w:p>
        </w:tc>
        <w:tc>
          <w:tcPr>
            <w:tcW w:w="296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$1,000,000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8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$4,000,000 -</w:t>
            </w: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4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$4,000,000 -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2"/>
                <w:szCs w:val="12"/>
                <w:color w:val="auto"/>
              </w:rPr>
              <w:t>$141,000,000</w:t>
            </w: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None</w:t>
            </w: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$90,000,000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None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Over $141,000,000</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2"/>
                <w:szCs w:val="12"/>
                <w:color w:val="auto"/>
              </w:rPr>
              <w:t>Over $90,000,000</w:t>
            </w:r>
          </w:p>
        </w:tc>
        <w:tc>
          <w:tcPr>
            <w:tcW w:w="296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single maximum risks per occurrence to which the Company is subject under the new treaties effective July 1, 2015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3"/>
          </w:tcPr>
          <w:p>
            <w:pPr>
              <w:ind w:left="160"/>
              <w:spacing w:after="0"/>
              <w:rPr>
                <w:sz w:val="20"/>
                <w:szCs w:val="20"/>
                <w:color w:val="auto"/>
              </w:rPr>
            </w:pPr>
            <w:r>
              <w:rPr>
                <w:rFonts w:ascii="Arial" w:cs="Arial" w:eastAsia="Arial" w:hAnsi="Arial"/>
                <w:sz w:val="10"/>
                <w:szCs w:val="10"/>
                <w:b w:val="1"/>
                <w:bCs w:val="1"/>
                <w:color w:val="auto"/>
              </w:rPr>
              <w:t>July 1, 2015 - June 30, 2016</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auto"/>
            </w:tcBorders>
          </w:tcPr>
          <w:p>
            <w:pPr>
              <w:ind w:left="3200"/>
              <w:spacing w:after="0"/>
              <w:rPr>
                <w:sz w:val="20"/>
                <w:szCs w:val="20"/>
                <w:color w:val="auto"/>
              </w:rPr>
            </w:pPr>
            <w:r>
              <w:rPr>
                <w:rFonts w:ascii="Arial" w:cs="Arial" w:eastAsia="Arial" w:hAnsi="Arial"/>
                <w:sz w:val="10"/>
                <w:szCs w:val="10"/>
                <w:b w:val="1"/>
                <w:bCs w:val="1"/>
                <w:color w:val="auto"/>
              </w:rPr>
              <w:t>Treaty</w:t>
            </w:r>
          </w:p>
        </w:tc>
        <w:tc>
          <w:tcPr>
            <w:tcW w:w="460" w:type="dxa"/>
            <w:vAlign w:val="bottom"/>
          </w:tcPr>
          <w:p>
            <w:pPr>
              <w:spacing w:after="0"/>
              <w:rPr>
                <w:sz w:val="12"/>
                <w:szCs w:val="12"/>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Extent of Loss</w:t>
            </w:r>
          </w:p>
        </w:tc>
        <w:tc>
          <w:tcPr>
            <w:tcW w:w="2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Risk Retained</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Personal Lines</w:t>
            </w: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Initial $750,000</w:t>
            </w:r>
          </w:p>
        </w:tc>
        <w:tc>
          <w:tcPr>
            <w:tcW w:w="310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$450,000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$750,000 -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$4,500,000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Over $4,500,000</w:t>
            </w:r>
          </w:p>
        </w:tc>
        <w:tc>
          <w:tcPr>
            <w:tcW w:w="310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700" w:type="dxa"/>
            <w:vAlign w:val="bottom"/>
          </w:tcPr>
          <w:p>
            <w:pPr>
              <w:spacing w:after="0"/>
              <w:rPr>
                <w:sz w:val="12"/>
                <w:szCs w:val="12"/>
                <w:color w:val="auto"/>
              </w:rPr>
            </w:pPr>
          </w:p>
        </w:tc>
        <w:tc>
          <w:tcPr>
            <w:tcW w:w="16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Personal Umbrella</w:t>
            </w: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Initial $1,000,000</w:t>
            </w:r>
          </w:p>
        </w:tc>
        <w:tc>
          <w:tcPr>
            <w:tcW w:w="310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$1,000,000 -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$3,000,000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Over $3,000,000</w:t>
            </w:r>
          </w:p>
        </w:tc>
        <w:tc>
          <w:tcPr>
            <w:tcW w:w="310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700" w:type="dxa"/>
            <w:vAlign w:val="bottom"/>
          </w:tcPr>
          <w:p>
            <w:pPr>
              <w:spacing w:after="0"/>
              <w:rPr>
                <w:sz w:val="12"/>
                <w:szCs w:val="12"/>
                <w:color w:val="auto"/>
              </w:rPr>
            </w:pPr>
          </w:p>
        </w:tc>
        <w:tc>
          <w:tcPr>
            <w:tcW w:w="16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Commercial Lines</w:t>
            </w: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Initial $425,000</w:t>
            </w:r>
          </w:p>
        </w:tc>
        <w:tc>
          <w:tcPr>
            <w:tcW w:w="310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$425,000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$425,000 -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$4,500,000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Over $4,500,000</w:t>
            </w:r>
          </w:p>
        </w:tc>
        <w:tc>
          <w:tcPr>
            <w:tcW w:w="310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700" w:type="dxa"/>
            <w:vAlign w:val="bottom"/>
          </w:tcPr>
          <w:p>
            <w:pPr>
              <w:spacing w:after="0"/>
              <w:rPr>
                <w:sz w:val="12"/>
                <w:szCs w:val="12"/>
                <w:color w:val="auto"/>
              </w:rPr>
            </w:pPr>
          </w:p>
        </w:tc>
        <w:tc>
          <w:tcPr>
            <w:tcW w:w="16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Commercial Auto</w:t>
            </w: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Initial $300,000</w:t>
            </w:r>
          </w:p>
        </w:tc>
        <w:tc>
          <w:tcPr>
            <w:tcW w:w="310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$300,000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$300,000 -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$2,000,000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None(1)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Over $2,000,000</w:t>
            </w:r>
          </w:p>
        </w:tc>
        <w:tc>
          <w:tcPr>
            <w:tcW w:w="310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700" w:type="dxa"/>
            <w:vAlign w:val="bottom"/>
          </w:tcPr>
          <w:p>
            <w:pPr>
              <w:spacing w:after="0"/>
              <w:rPr>
                <w:sz w:val="12"/>
                <w:szCs w:val="12"/>
                <w:color w:val="auto"/>
              </w:rPr>
            </w:pPr>
          </w:p>
        </w:tc>
        <w:tc>
          <w:tcPr>
            <w:tcW w:w="16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Catastrophe (2)</w:t>
            </w: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Initial $4,000,000</w:t>
            </w:r>
          </w:p>
        </w:tc>
        <w:tc>
          <w:tcPr>
            <w:tcW w:w="310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$2,400,000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7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$4,000,000 -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$180,000,000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None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Over $180,000,000</w:t>
            </w:r>
          </w:p>
        </w:tc>
        <w:tc>
          <w:tcPr>
            <w:tcW w:w="3100" w:type="dxa"/>
            <w:vAlign w:val="bottom"/>
            <w:gridSpan w:val="4"/>
            <w:shd w:val="clear" w:color="auto" w:fill="CCEEFF"/>
          </w:tcPr>
          <w:p>
            <w:pPr>
              <w:jc w:val="right"/>
              <w:ind w:right="48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00" w:type="dxa"/>
            <w:vAlign w:val="bottom"/>
          </w:tcPr>
          <w:p>
            <w:pPr>
              <w:spacing w:after="0"/>
              <w:rPr>
                <w:sz w:val="20"/>
                <w:szCs w:val="20"/>
                <w:color w:val="auto"/>
              </w:rPr>
            </w:pPr>
            <w:r>
              <w:rPr>
                <w:rFonts w:ascii="Arial" w:cs="Arial" w:eastAsia="Arial" w:hAnsi="Arial"/>
                <w:sz w:val="12"/>
                <w:szCs w:val="12"/>
                <w:color w:val="auto"/>
              </w:rPr>
              <w:t>________________</w:t>
            </w: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40" w:hanging="19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Covered by excess of loss treaties.</w:t>
      </w:r>
    </w:p>
    <w:p>
      <w:pPr>
        <w:spacing w:after="0" w:line="168" w:lineRule="exact"/>
        <w:rPr>
          <w:rFonts w:ascii="Arial" w:cs="Arial" w:eastAsia="Arial" w:hAnsi="Arial"/>
          <w:sz w:val="12"/>
          <w:szCs w:val="12"/>
          <w:color w:val="auto"/>
        </w:rPr>
      </w:pPr>
    </w:p>
    <w:p>
      <w:pPr>
        <w:ind w:left="640" w:hanging="19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Catastrophe coverage is limited on an annual basis to two times the per occurrence amounts.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3" w:name="page24"/>
    <w:bookmarkEnd w:id="23"/>
    <w:p>
      <w:pPr>
        <w:jc w:val="both"/>
        <w:ind w:right="20"/>
        <w:spacing w:after="0" w:line="263" w:lineRule="auto"/>
        <w:rPr>
          <w:sz w:val="20"/>
          <w:szCs w:val="20"/>
          <w:color w:val="auto"/>
        </w:rPr>
      </w:pPr>
      <w:r>
        <w:rPr>
          <w:rFonts w:ascii="Arial" w:cs="Arial" w:eastAsia="Arial" w:hAnsi="Arial"/>
          <w:sz w:val="12"/>
          <w:szCs w:val="12"/>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Ceding Commission Revenue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 Company’s estimated ultimate treaty year loss ratios for treaties in effect for the six months and three months ended June 30, 2015 are attributable to contracts for the July 1, 2014/June 30, 2015 treaty year (“2014/2015 Treaties”). The Company’s estimated ultimate treaty year loss ratios for treaties in effect for the six months and three months ended June 30, 2014 are attributable to contracts for the July 1, 2013/June 30, 2014 treaty year (“2013/2014 Treaties”).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Treaties in effect for the six months and three months ended June 30, 2015</w:t>
      </w:r>
    </w:p>
    <w:p>
      <w:pPr>
        <w:spacing w:after="0" w:line="168" w:lineRule="exact"/>
        <w:rPr>
          <w:sz w:val="20"/>
          <w:szCs w:val="20"/>
          <w:color w:val="auto"/>
        </w:rPr>
      </w:pPr>
    </w:p>
    <w:p>
      <w:pPr>
        <w:jc w:val="both"/>
        <w:ind w:left="200"/>
        <w:spacing w:after="0" w:line="298" w:lineRule="auto"/>
        <w:rPr>
          <w:sz w:val="20"/>
          <w:szCs w:val="20"/>
          <w:color w:val="auto"/>
        </w:rPr>
      </w:pPr>
      <w:r>
        <w:rPr>
          <w:rFonts w:ascii="Arial" w:cs="Arial" w:eastAsia="Arial" w:hAnsi="Arial"/>
          <w:sz w:val="11"/>
          <w:szCs w:val="11"/>
          <w:color w:val="auto"/>
        </w:rPr>
        <w:t>The Company’s estimated ultimate loss ratios (“Loss Ratios”) for the period July 1, 2014 through June 30, 2015, which are attributable to contracts for the 2014/2015 Treaties, were lower than the contractual Loss Ratios at which the provisional ceding commissions are earned. As a result of severe winter weather during February and March 2015, the Loss Ratios were greater than what would have been expected during an ordinary winter. Accordingly, for the six months ended June 30, 2015, the Company’s contingent ceding commission earned was reduced as a result of the increase in estimated Loss Ratios for the 2014/2015 Treaties.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Treaties in effect for the six months and three months ended June 30, 2014</w:t>
      </w:r>
    </w:p>
    <w:p>
      <w:pPr>
        <w:spacing w:after="0" w:line="168" w:lineRule="exact"/>
        <w:rPr>
          <w:sz w:val="20"/>
          <w:szCs w:val="20"/>
          <w:color w:val="auto"/>
        </w:rPr>
      </w:pPr>
    </w:p>
    <w:p>
      <w:pPr>
        <w:jc w:val="both"/>
        <w:ind w:left="200"/>
        <w:spacing w:after="0" w:line="298" w:lineRule="auto"/>
        <w:rPr>
          <w:sz w:val="20"/>
          <w:szCs w:val="20"/>
          <w:color w:val="auto"/>
        </w:rPr>
      </w:pPr>
      <w:r>
        <w:rPr>
          <w:rFonts w:ascii="Arial" w:cs="Arial" w:eastAsia="Arial" w:hAnsi="Arial"/>
          <w:sz w:val="11"/>
          <w:szCs w:val="11"/>
          <w:color w:val="auto"/>
        </w:rPr>
        <w:t>The Company’s Loss Ratios for the period July 1, 2013 through June 30, 2014, which are attributable to contracts for the 2013/2014 Treaties, were lower than the contractual Loss Ratios at which the provisional ceding commissions are earned. As a result of severe winter weather during January and February 2014, the Loss Ratios attributable to these treaties as of June 30, 2014 were greater than the Loss Ratios as of December 31, 2013. Accordingly, for the six months ended June 30, 2014, the Company’s contingent ceding commission earned was reduced as a result of the increase in estimated Loss Ratios for the 2013/2014 Treaties.</w:t>
      </w:r>
    </w:p>
    <w:p>
      <w:pPr>
        <w:spacing w:after="0" w:line="12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 addition to the treaties that were in effect for six months and three months ended June 30, 2015 and 2014, the estimated ultimate loss ratios from prior years’ treaties are subject to change as loss reserves from those periods increase or decrease, resulting in an increase or decrease in the commission rate and contingent ceding commissions earned.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4" w:name="page25"/>
    <w:bookmarkEnd w:id="24"/>
    <w:p>
      <w:pPr>
        <w:spacing w:after="0"/>
        <w:rPr>
          <w:sz w:val="20"/>
          <w:szCs w:val="20"/>
          <w:color w:val="auto"/>
        </w:rPr>
      </w:pPr>
      <w:r>
        <w:rPr>
          <w:rFonts w:ascii="Arial" w:cs="Arial" w:eastAsia="Arial" w:hAnsi="Arial"/>
          <w:sz w:val="12"/>
          <w:szCs w:val="12"/>
          <w:color w:val="auto"/>
        </w:rPr>
        <w:t>Ceding commissions earned consists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0"/>
                <w:szCs w:val="10"/>
                <w:b w:val="1"/>
                <w:bCs w:val="1"/>
                <w:color w:val="auto"/>
              </w:rPr>
              <w:t>Three months ended</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Six months ended</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4"/>
        </w:trPr>
        <w:tc>
          <w:tcPr>
            <w:tcW w:w="60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4"/>
          </w:tcPr>
          <w:p>
            <w:pPr>
              <w:jc w:val="right"/>
              <w:ind w:right="320"/>
              <w:spacing w:after="0" w:line="114" w:lineRule="exact"/>
              <w:rPr>
                <w:sz w:val="20"/>
                <w:szCs w:val="20"/>
                <w:color w:val="auto"/>
              </w:rPr>
            </w:pPr>
            <w:r>
              <w:rPr>
                <w:rFonts w:ascii="Arial" w:cs="Arial" w:eastAsia="Arial" w:hAnsi="Arial"/>
                <w:sz w:val="10"/>
                <w:szCs w:val="10"/>
                <w:b w:val="1"/>
                <w:bCs w:val="1"/>
                <w:color w:val="auto"/>
              </w:rPr>
              <w:t>June 30,</w:t>
            </w: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3"/>
          </w:tcPr>
          <w:p>
            <w:pPr>
              <w:jc w:val="right"/>
              <w:ind w:right="320"/>
              <w:spacing w:after="0" w:line="114" w:lineRule="exact"/>
              <w:rPr>
                <w:sz w:val="20"/>
                <w:szCs w:val="20"/>
                <w:color w:val="auto"/>
              </w:rPr>
            </w:pPr>
            <w:r>
              <w:rPr>
                <w:rFonts w:ascii="Arial" w:cs="Arial" w:eastAsia="Arial" w:hAnsi="Arial"/>
                <w:sz w:val="10"/>
                <w:szCs w:val="10"/>
                <w:b w:val="1"/>
                <w:bCs w:val="1"/>
                <w:color w:val="auto"/>
              </w:rPr>
              <w:t>June 30,</w:t>
            </w: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42"/>
        </w:trPr>
        <w:tc>
          <w:tcPr>
            <w:tcW w:w="6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2014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Provisional ceding commissions earned</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2,964,924</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3,629,871</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5,879,953</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7,006,747</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Contingent ceding commissions earned</w:t>
            </w: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690,598</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76,178</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864,973</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80,585</w:t>
            </w:r>
          </w:p>
        </w:tc>
      </w:tr>
      <w:tr>
        <w:trPr>
          <w:trHeight w:val="20"/>
        </w:trPr>
        <w:tc>
          <w:tcPr>
            <w:tcW w:w="6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60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3,655,522</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3,706,049</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6,744,926</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7,087,332</w:t>
            </w:r>
          </w:p>
        </w:tc>
        <w:tc>
          <w:tcPr>
            <w:tcW w:w="120" w:type="dxa"/>
            <w:vAlign w:val="bottom"/>
            <w:shd w:val="clear" w:color="auto" w:fill="CCEEFF"/>
          </w:tcPr>
          <w:p>
            <w:pPr>
              <w:spacing w:after="0"/>
              <w:rPr>
                <w:sz w:val="14"/>
                <w:szCs w:val="14"/>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Provisional ceding commissions are settled monthly. Balances due from reinsurers for contingent ceding commissions on quota share treaties are settled annually based on the loss ratio of each treaty year that ends on June 30.</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 Bank Line of Credit</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Kingstone maintains a Promissory Note pursuant to a line of credit (together, the “Trustco Agreement”) with Trustco Bank (“Lender”). Under the Trustco Agreement, Kingstone may receive advances from Lender not to exceed an unpaid principal balance of $600,000 (the “Credit Limit”). Advances extended under the Trustco Agreement will bear interest at a floating rate based on the Lender’s prime rate, which was 3.75% at June 30, 2015.</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Interest only payments are due monthly. The principal balance is payable on demand, and must be reduced to zero for a minimum of thirty consecutive days during each year of the term of the Trustco Agreement. The line of credit is subject to annual renewal at the discretion of the Lender. Lender may set off any depository accounts maintained by Kingstone that are held by Lender. Payment of amounts due pursuant to the Trustco Agreement is secured by all of Kingstone’s cash and deposit accounts, receivables, inventory and fixed assets, and is guaranteed by Kingstone’s subsidiary, Payments Inc.</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line of credit is used for general corporate purposes.</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There were no outstanding balances under the bank line of credit as of June 30, 2015 and December 31, 2014, or during the six months ended June 30, 2015 and 2014. There are no other fees in connection with this credit line.</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 Stockholders’ Equity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Dividend Declared</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Dividends declared and paid on Common Stock were $732,190 and $582,439 for the six months ended June 30, 2015 and 2014, respectively. Dividends declared and paid on Common Stock were $366,685 and $291,776 for the three months ended June 30, 2015 and 2014, respectively. The Company’s Board of Directors approved a quarterly dividend on August 11, 2015 of $.05 per share payable in cash on September 15, 2015 to stockholders of record as of August 31, 2015 (see Note 13).</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Stock Options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Effective August 12, 2014, the Company adopted the 2014 Equity Participation Plan (the “2014 Plan”) pursuant to which, subject to stockholder approval on or before August 12, 2015, a maximum of 700,000 shares of Common Stock of the Company are authorized to be issued pursuant to the grant of incentive stock options, non-statutory stock options, stock appreciation rights, restricted stock and stock bonuses. The stockholders approved the 2014 Plan on August 11, 2015. Incentive stock options granted under the 2014 Plan and 2005 Plan expire no later than ten years from the date of grant (except no later than five years for a grant to a 10% stockholder). The Board of Directors or the Stock Option Committee determines the expiration date with respect to non-statutory stock options and the vesting provisions for restricted stock granted under the 2014 Plan and 2005 Plan.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2"/>
          <w:szCs w:val="12"/>
          <w:color w:val="auto"/>
        </w:rPr>
        <w:t>The results of operations for the six months ended June 30, 2015 and 2014 include stock-based stock option compensation expense totaling approximately $78,000 and $27,000, respectively. The results of operations for the three months ended June 30, 2015 and 2014 include stock-based stock option compensation expense totaling approximately $39,000 and $13,000, respectively. Stock-based compensation expense related to stock options is net of estimated forfeitures of 17% for the six months and three months ended June 30, 2015 and 20% for the six months and three months ended June 30, 2014. Such amounts have been included in the condensed consolidated statements of income and comprehensive income within other operating expenses.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Stock-based compensation expense in 2015 and 2014 is the estimated fair value of options granted amortized on a straight-line basis over the requisite service period for the entire portion of the award. No stock options were granted during the six months ended June 30, 2015 and 2014.</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A summary of stock option activity under the Company’s 2005 Plan for the six months ended June 30, 2015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Weighted Average</w:t>
            </w: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w w:val="85"/>
              </w:rPr>
              <w:t>Weighted Average Exercise</w:t>
            </w:r>
          </w:p>
        </w:tc>
        <w:tc>
          <w:tcPr>
            <w:tcW w:w="138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7"/>
              </w:rPr>
              <w:t>Remaining Contractual</w:t>
            </w: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960" w:type="dxa"/>
            <w:vAlign w:val="bottom"/>
          </w:tcPr>
          <w:p>
            <w:pPr>
              <w:ind w:left="2680"/>
              <w:spacing w:after="0" w:line="114" w:lineRule="exact"/>
              <w:rPr>
                <w:sz w:val="20"/>
                <w:szCs w:val="20"/>
                <w:color w:val="auto"/>
              </w:rPr>
            </w:pPr>
            <w:r>
              <w:rPr>
                <w:rFonts w:ascii="Arial" w:cs="Arial" w:eastAsia="Arial" w:hAnsi="Arial"/>
                <w:sz w:val="10"/>
                <w:szCs w:val="10"/>
                <w:b w:val="1"/>
                <w:bCs w:val="1"/>
                <w:color w:val="auto"/>
              </w:rPr>
              <w:t>Stock Options</w:t>
            </w:r>
          </w:p>
        </w:tc>
        <w:tc>
          <w:tcPr>
            <w:tcW w:w="100" w:type="dxa"/>
            <w:vAlign w:val="bottom"/>
          </w:tcPr>
          <w:p>
            <w:pPr>
              <w:spacing w:after="0"/>
              <w:rPr>
                <w:sz w:val="9"/>
                <w:szCs w:val="9"/>
                <w:color w:val="auto"/>
              </w:rPr>
            </w:pPr>
          </w:p>
        </w:tc>
        <w:tc>
          <w:tcPr>
            <w:tcW w:w="1300" w:type="dxa"/>
            <w:vAlign w:val="bottom"/>
            <w:gridSpan w:val="2"/>
          </w:tcPr>
          <w:p>
            <w:pPr>
              <w:jc w:val="right"/>
              <w:ind w:right="340"/>
              <w:spacing w:after="0" w:line="114" w:lineRule="exact"/>
              <w:rPr>
                <w:sz w:val="20"/>
                <w:szCs w:val="20"/>
                <w:color w:val="auto"/>
              </w:rPr>
            </w:pPr>
            <w:r>
              <w:rPr>
                <w:rFonts w:ascii="Arial" w:cs="Arial" w:eastAsia="Arial" w:hAnsi="Arial"/>
                <w:sz w:val="10"/>
                <w:szCs w:val="10"/>
                <w:b w:val="1"/>
                <w:bCs w:val="1"/>
                <w:color w:val="auto"/>
              </w:rPr>
              <w:t>Number of Shares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tcPr>
          <w:p>
            <w:pPr>
              <w:jc w:val="right"/>
              <w:ind w:right="480"/>
              <w:spacing w:after="0" w:line="114" w:lineRule="exact"/>
              <w:rPr>
                <w:sz w:val="20"/>
                <w:szCs w:val="20"/>
                <w:color w:val="auto"/>
              </w:rPr>
            </w:pPr>
            <w:r>
              <w:rPr>
                <w:rFonts w:ascii="Arial" w:cs="Arial" w:eastAsia="Arial" w:hAnsi="Arial"/>
                <w:sz w:val="10"/>
                <w:szCs w:val="10"/>
                <w:b w:val="1"/>
                <w:bCs w:val="1"/>
                <w:color w:val="auto"/>
                <w:w w:val="98"/>
              </w:rPr>
              <w:t>Price per Share</w:t>
            </w:r>
          </w:p>
        </w:tc>
        <w:tc>
          <w:tcPr>
            <w:tcW w:w="138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9"/>
              </w:rPr>
              <w:t>Term</w:t>
            </w:r>
          </w:p>
        </w:tc>
        <w:tc>
          <w:tcPr>
            <w:tcW w:w="1240" w:type="dxa"/>
            <w:vAlign w:val="bottom"/>
            <w:gridSpan w:val="3"/>
          </w:tcPr>
          <w:p>
            <w:pPr>
              <w:jc w:val="right"/>
              <w:ind w:right="160"/>
              <w:spacing w:after="0" w:line="114" w:lineRule="exact"/>
              <w:rPr>
                <w:sz w:val="20"/>
                <w:szCs w:val="20"/>
                <w:color w:val="auto"/>
              </w:rPr>
            </w:pPr>
            <w:r>
              <w:rPr>
                <w:rFonts w:ascii="Arial" w:cs="Arial" w:eastAsia="Arial" w:hAnsi="Arial"/>
                <w:sz w:val="10"/>
                <w:szCs w:val="10"/>
                <w:b w:val="1"/>
                <w:bCs w:val="1"/>
                <w:color w:val="auto"/>
                <w:w w:val="87"/>
              </w:rPr>
              <w:t>Aggregate Intrinsic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January 1, 2015</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421,250</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5.16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3.13</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1,258,013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Granted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Exercised</w:t>
            </w:r>
          </w:p>
        </w:tc>
        <w:tc>
          <w:tcPr>
            <w:tcW w:w="1400" w:type="dxa"/>
            <w:vAlign w:val="bottom"/>
            <w:gridSpan w:val="3"/>
          </w:tcPr>
          <w:p>
            <w:pPr>
              <w:jc w:val="right"/>
              <w:ind w:right="100"/>
              <w:spacing w:after="0"/>
              <w:rPr>
                <w:sz w:val="20"/>
                <w:szCs w:val="20"/>
                <w:color w:val="auto"/>
              </w:rPr>
            </w:pPr>
            <w:r>
              <w:rPr>
                <w:rFonts w:ascii="Arial" w:cs="Arial" w:eastAsia="Arial" w:hAnsi="Arial"/>
                <w:sz w:val="12"/>
                <w:szCs w:val="12"/>
                <w:color w:val="auto"/>
              </w:rPr>
              <w:t>(120,000)</w:t>
            </w:r>
          </w:p>
        </w:tc>
        <w:tc>
          <w:tcPr>
            <w:tcW w:w="260" w:type="dxa"/>
            <w:vAlign w:val="bottom"/>
            <w:gridSpan w:val="2"/>
          </w:tcPr>
          <w:p>
            <w:pPr>
              <w:jc w:val="right"/>
              <w:ind w:right="52"/>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2.50</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650,400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June 30, 2015 (1)</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301,250</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6.22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3.79</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414,325</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59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Vested and Exercisable at June 30, 2015</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112,500</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3.75</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173,038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(1) On August 12, 2014, an additional 50,000 options were granted under the 2014 Plan, which were subject to stockholder approval. The stockholders approved the 2014 Plan on August 11, 2015.</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aggregate intrinsic value of options outstanding and options exercisable at June 30, 2015 is calculated as the difference between the exercise price of the underlying options and the market price of the Company’s Common Stock for the options that had exercise prices that were lower than the $7.60 closing price of the Company’s Common Stock on June 30, 2015. The total intrinsic value of options exercised in the six months ended June 30, 2015 was $650,400, determined as of the date of exercise.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2"/>
          <w:szCs w:val="12"/>
          <w:color w:val="auto"/>
        </w:rPr>
        <w:t>Participants in the 2014 Plan and 2005 Plan may exercise their outstanding vested options, in whole or in part, by having the Company reduce the number of shares otherwise issuable by a number of shares having a fair market value equal to the exercise price of the option being exercised (“Net Exercise”). All of the 120,000 options exercised during the six months ended June 30, 2015 were Net Exercises. A total of 58,865 options were exercised during the six months ended June 30, 2014.</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June 30, 2015, the fair value of unamortized compensation cost related to unvested stock option awards was approximately $84,000. Unamortized compensation cost as of June 30, 2015 is expected to be recognized over a remaining weighted-average vesting period of .94 years.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As of June 30, 2015, there were 1,135 shares reserved for grants under the 2005 Plan and 650,000 shares reserved for grants under the 2014 Plan.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 Income Taxes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Income taxes for the six months ended June 30, 2015 and 2014 were computed using the effective tax rate estimated to be applicable for the full year, which is subject to ongoing review and evaluation by management. The Company files a consolidated U.S. federal income tax return that includes all wholly owned subsidiaries. State tax returns are filed on a consolidated or separate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financial statements taken as a whole for the respective periods. The Company has evaluated this year’s amounts in relation to the current and prior reporting periods and determined that a restatement of those prior reporting periods is not appropriate. The Company’s effective tax rate from operations for the six months ended June 30, 2015 and 2014 was 33.6% and 31.7%, respectively.</w:t>
      </w:r>
    </w:p>
    <w:p>
      <w:pPr>
        <w:spacing w:after="0" w:line="12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 reflect temporary differences between the carrying amounts of the assets and liabilities for financial reporting purposes and income tax purposes, tax effected at a various rates depending on whether the temporary differences are subject to federal taxes, state taxes, or both. Significant components of the Company’s deferred tax assets and liabilities are as follows: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7" w:name="page28"/>
    <w:bookmarkEnd w:id="27"/>
    <w:tbl>
      <w:tblPr>
        <w:tblLayout w:type="fixed"/>
        <w:tblInd w:w="8"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4"/>
              </w:rPr>
              <w:t>June 30,</w:t>
            </w:r>
          </w:p>
        </w:tc>
        <w:tc>
          <w:tcPr>
            <w:tcW w:w="120" w:type="dxa"/>
            <w:vAlign w:val="bottom"/>
          </w:tcPr>
          <w:p>
            <w:pPr>
              <w:spacing w:after="0"/>
              <w:rPr>
                <w:sz w:val="10"/>
                <w:szCs w:val="10"/>
                <w:color w:val="auto"/>
              </w:rPr>
            </w:pPr>
          </w:p>
        </w:tc>
        <w:tc>
          <w:tcPr>
            <w:tcW w:w="1160" w:type="dxa"/>
            <w:vAlign w:val="bottom"/>
            <w:gridSpan w:val="3"/>
          </w:tcPr>
          <w:p>
            <w:pPr>
              <w:ind w:left="180"/>
              <w:spacing w:after="0"/>
              <w:rPr>
                <w:sz w:val="20"/>
                <w:szCs w:val="20"/>
                <w:color w:val="auto"/>
              </w:rPr>
            </w:pPr>
            <w:r>
              <w:rPr>
                <w:rFonts w:ascii="Arial" w:cs="Arial" w:eastAsia="Arial" w:hAnsi="Arial"/>
                <w:sz w:val="10"/>
                <w:szCs w:val="10"/>
                <w:b w:val="1"/>
                <w:bCs w:val="1"/>
                <w:color w:val="auto"/>
              </w:rPr>
              <w:t>December 31,</w:t>
            </w:r>
          </w:p>
        </w:tc>
      </w:tr>
      <w:tr>
        <w:trPr>
          <w:trHeight w:val="134"/>
        </w:trPr>
        <w:tc>
          <w:tcPr>
            <w:tcW w:w="20" w:type="dxa"/>
            <w:vAlign w:val="bottom"/>
          </w:tcPr>
          <w:p>
            <w:pPr>
              <w:spacing w:after="0"/>
              <w:rPr>
                <w:sz w:val="11"/>
                <w:szCs w:val="11"/>
                <w:color w:val="auto"/>
              </w:rPr>
            </w:pPr>
          </w:p>
        </w:tc>
        <w:tc>
          <w:tcPr>
            <w:tcW w:w="7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Deferred tax asset: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tcPr>
          <w:p>
            <w:pPr>
              <w:ind w:left="120"/>
              <w:spacing w:after="0"/>
              <w:rPr>
                <w:sz w:val="20"/>
                <w:szCs w:val="20"/>
                <w:color w:val="auto"/>
              </w:rPr>
            </w:pPr>
            <w:r>
              <w:rPr>
                <w:rFonts w:ascii="Arial" w:cs="Arial" w:eastAsia="Arial" w:hAnsi="Arial"/>
                <w:sz w:val="12"/>
                <w:szCs w:val="12"/>
                <w:color w:val="auto"/>
              </w:rPr>
              <w:t>Net operating loss carryovers (1)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174,237</w:t>
            </w:r>
          </w:p>
        </w:tc>
        <w:tc>
          <w:tcPr>
            <w:tcW w:w="2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211,550</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Claims reserve discount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591,925</w:t>
            </w:r>
          </w:p>
        </w:tc>
        <w:tc>
          <w:tcPr>
            <w:tcW w:w="22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562,941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tcPr>
          <w:p>
            <w:pPr>
              <w:ind w:left="120"/>
              <w:spacing w:after="0"/>
              <w:rPr>
                <w:sz w:val="20"/>
                <w:szCs w:val="20"/>
                <w:color w:val="auto"/>
              </w:rPr>
            </w:pPr>
            <w:r>
              <w:rPr>
                <w:rFonts w:ascii="Arial" w:cs="Arial" w:eastAsia="Arial" w:hAnsi="Arial"/>
                <w:sz w:val="12"/>
                <w:szCs w:val="12"/>
                <w:color w:val="auto"/>
              </w:rPr>
              <w:t>Unearned premium</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1,954,485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1,741,360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ceding commission revenue</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2,151,631</w:t>
            </w:r>
          </w:p>
        </w:tc>
        <w:tc>
          <w:tcPr>
            <w:tcW w:w="22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2,025,224</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tcPr>
          <w:p>
            <w:pPr>
              <w:ind w:left="120"/>
              <w:spacing w:after="0"/>
              <w:rPr>
                <w:sz w:val="20"/>
                <w:szCs w:val="20"/>
                <w:color w:val="auto"/>
              </w:rPr>
            </w:pPr>
            <w:r>
              <w:rPr>
                <w:rFonts w:ascii="Arial" w:cs="Arial" w:eastAsia="Arial" w:hAnsi="Arial"/>
                <w:sz w:val="12"/>
                <w:szCs w:val="12"/>
                <w:color w:val="auto"/>
              </w:rPr>
              <w:t>Other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61,332</w:t>
            </w:r>
          </w:p>
        </w:tc>
        <w:tc>
          <w:tcPr>
            <w:tcW w:w="1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88,148</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deferred tax assets</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4,933,610</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4,629,223</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liability:</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tcPr>
          <w:p>
            <w:pPr>
              <w:ind w:left="120"/>
              <w:spacing w:after="0"/>
              <w:rPr>
                <w:sz w:val="20"/>
                <w:szCs w:val="20"/>
                <w:color w:val="auto"/>
              </w:rPr>
            </w:pPr>
            <w:r>
              <w:rPr>
                <w:rFonts w:ascii="Arial" w:cs="Arial" w:eastAsia="Arial" w:hAnsi="Arial"/>
                <w:sz w:val="12"/>
                <w:szCs w:val="12"/>
                <w:color w:val="auto"/>
              </w:rPr>
              <w:t>Investment in KICO (2)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1,169,000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1,169,000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acquisition costs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3,318,087</w:t>
            </w:r>
          </w:p>
        </w:tc>
        <w:tc>
          <w:tcPr>
            <w:tcW w:w="22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3,055,234</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tcPr>
          <w:p>
            <w:pPr>
              <w:ind w:left="120"/>
              <w:spacing w:after="0"/>
              <w:rPr>
                <w:sz w:val="20"/>
                <w:szCs w:val="20"/>
                <w:color w:val="auto"/>
              </w:rPr>
            </w:pPr>
            <w:r>
              <w:rPr>
                <w:rFonts w:ascii="Arial" w:cs="Arial" w:eastAsia="Arial" w:hAnsi="Arial"/>
                <w:sz w:val="12"/>
                <w:szCs w:val="12"/>
                <w:color w:val="auto"/>
              </w:rPr>
              <w:t>Intangibles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678,529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759,400</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 and amortization</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346,382</w:t>
            </w:r>
          </w:p>
        </w:tc>
        <w:tc>
          <w:tcPr>
            <w:tcW w:w="22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291,689</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tcPr>
          <w:p>
            <w:pPr>
              <w:ind w:left="120"/>
              <w:spacing w:after="0"/>
              <w:rPr>
                <w:sz w:val="20"/>
                <w:szCs w:val="20"/>
                <w:color w:val="auto"/>
              </w:rPr>
            </w:pPr>
            <w:r>
              <w:rPr>
                <w:rFonts w:ascii="Arial" w:cs="Arial" w:eastAsia="Arial" w:hAnsi="Arial"/>
                <w:sz w:val="12"/>
                <w:szCs w:val="12"/>
                <w:color w:val="auto"/>
              </w:rPr>
              <w:t>Net unrealized appreciation of securities - available for sale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309,656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491,080</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deferred tax liabilities</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5,821,654</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5,766,403</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4"/>
        </w:trPr>
        <w:tc>
          <w:tcPr>
            <w:tcW w:w="20" w:type="dxa"/>
            <w:vAlign w:val="bottom"/>
          </w:tcPr>
          <w:p>
            <w:pPr>
              <w:spacing w:after="0"/>
              <w:rPr>
                <w:sz w:val="16"/>
                <w:szCs w:val="16"/>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Net deferred income tax liability</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(888,044)</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(1,137,180)</w:t>
            </w:r>
          </w:p>
        </w:tc>
        <w:tc>
          <w:tcPr>
            <w:tcW w:w="20" w:type="dxa"/>
            <w:vAlign w:val="bottom"/>
          </w:tcPr>
          <w:p>
            <w:pPr>
              <w:spacing w:after="0"/>
              <w:rPr>
                <w:sz w:val="16"/>
                <w:szCs w:val="16"/>
                <w:color w:val="auto"/>
              </w:rPr>
            </w:pPr>
          </w:p>
        </w:tc>
      </w:tr>
      <w:tr>
        <w:trPr>
          <w:trHeight w:val="133"/>
        </w:trPr>
        <w:tc>
          <w:tcPr>
            <w:tcW w:w="20" w:type="dxa"/>
            <w:vAlign w:val="bottom"/>
          </w:tcPr>
          <w:p>
            <w:pPr>
              <w:spacing w:after="0"/>
              <w:rPr>
                <w:sz w:val="11"/>
                <w:szCs w:val="11"/>
                <w:color w:val="auto"/>
              </w:rPr>
            </w:pPr>
          </w:p>
        </w:tc>
        <w:tc>
          <w:tcPr>
            <w:tcW w:w="7560" w:type="dxa"/>
            <w:vAlign w:val="bottom"/>
            <w:tcBorders>
              <w:top w:val="single" w:sz="8" w:color="CCEEFF"/>
            </w:tcBorders>
          </w:tcPr>
          <w:p>
            <w:pPr>
              <w:spacing w:after="0" w:line="133" w:lineRule="exact"/>
              <w:rPr>
                <w:sz w:val="20"/>
                <w:szCs w:val="20"/>
                <w:color w:val="auto"/>
              </w:rPr>
            </w:pPr>
            <w:r>
              <w:rPr>
                <w:rFonts w:ascii="Arial" w:cs="Arial" w:eastAsia="Arial" w:hAnsi="Arial"/>
                <w:sz w:val="12"/>
                <w:szCs w:val="12"/>
                <w:b w:val="1"/>
                <w:bCs w:val="1"/>
                <w:color w:val="auto"/>
              </w:rPr>
              <w:t>_____________________________</w:t>
            </w:r>
          </w:p>
        </w:tc>
        <w:tc>
          <w:tcPr>
            <w:tcW w:w="1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0" w:type="dxa"/>
            <w:vAlign w:val="bottom"/>
          </w:tcPr>
          <w:p>
            <w:pPr>
              <w:spacing w:after="0"/>
              <w:rPr>
                <w:sz w:val="11"/>
                <w:szCs w:val="11"/>
                <w:color w:val="auto"/>
              </w:rPr>
            </w:pPr>
          </w:p>
        </w:tc>
      </w:tr>
      <w:tr>
        <w:trPr>
          <w:trHeight w:val="293"/>
        </w:trPr>
        <w:tc>
          <w:tcPr>
            <w:tcW w:w="20" w:type="dxa"/>
            <w:vAlign w:val="bottom"/>
          </w:tcPr>
          <w:p>
            <w:pPr>
              <w:spacing w:after="0"/>
              <w:rPr>
                <w:sz w:val="24"/>
                <w:szCs w:val="24"/>
                <w:color w:val="auto"/>
              </w:rPr>
            </w:pPr>
          </w:p>
        </w:tc>
        <w:tc>
          <w:tcPr>
            <w:tcW w:w="7560" w:type="dxa"/>
            <w:vAlign w:val="bottom"/>
          </w:tcPr>
          <w:p>
            <w:pPr>
              <w:ind w:left="200"/>
              <w:spacing w:after="0"/>
              <w:rPr>
                <w:sz w:val="20"/>
                <w:szCs w:val="20"/>
                <w:color w:val="auto"/>
              </w:rPr>
            </w:pPr>
            <w:r>
              <w:rPr>
                <w:rFonts w:ascii="Arial" w:cs="Arial" w:eastAsia="Arial" w:hAnsi="Arial"/>
                <w:sz w:val="12"/>
                <w:szCs w:val="12"/>
                <w:color w:val="auto"/>
              </w:rPr>
              <w:t>(1) The deferred tax assets from net operating loss carryovers (“NOL”) are as follows: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2"/>
        </w:trPr>
        <w:tc>
          <w:tcPr>
            <w:tcW w:w="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84"/>
              </w:rPr>
              <w:t>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4"/>
        </w:trPr>
        <w:tc>
          <w:tcPr>
            <w:tcW w:w="20" w:type="dxa"/>
            <w:vAlign w:val="bottom"/>
          </w:tcPr>
          <w:p>
            <w:pPr>
              <w:spacing w:after="0"/>
              <w:rPr>
                <w:sz w:val="9"/>
                <w:szCs w:val="9"/>
                <w:color w:val="auto"/>
              </w:rPr>
            </w:pPr>
          </w:p>
        </w:tc>
        <w:tc>
          <w:tcPr>
            <w:tcW w:w="7560" w:type="dxa"/>
            <w:vAlign w:val="bottom"/>
            <w:tcBorders>
              <w:bottom w:val="single" w:sz="8" w:color="auto"/>
            </w:tcBorders>
          </w:tcPr>
          <w:p>
            <w:pPr>
              <w:ind w:left="3500"/>
              <w:spacing w:after="0" w:line="114" w:lineRule="exact"/>
              <w:rPr>
                <w:sz w:val="20"/>
                <w:szCs w:val="20"/>
                <w:color w:val="auto"/>
              </w:rPr>
            </w:pPr>
            <w:r>
              <w:rPr>
                <w:rFonts w:ascii="Arial" w:cs="Arial" w:eastAsia="Arial" w:hAnsi="Arial"/>
                <w:sz w:val="10"/>
                <w:szCs w:val="10"/>
                <w:b w:val="1"/>
                <w:bCs w:val="1"/>
                <w:color w:val="auto"/>
              </w:rPr>
              <w:t>Type of NOL</w:t>
            </w: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03"/>
              <w:spacing w:after="0" w:line="114" w:lineRule="exact"/>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rPr>
              <w:t>2014</w:t>
            </w:r>
          </w:p>
        </w:tc>
        <w:tc>
          <w:tcPr>
            <w:tcW w:w="2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bottom w:val="single" w:sz="8" w:color="auto"/>
            </w:tcBorders>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rPr>
              <w:t>Expiration</w:t>
            </w:r>
          </w:p>
        </w:tc>
        <w:tc>
          <w:tcPr>
            <w:tcW w:w="20" w:type="dxa"/>
            <w:vAlign w:val="bottom"/>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State only (A)</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491,673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567,188</w:t>
            </w:r>
          </w:p>
        </w:tc>
        <w:tc>
          <w:tcPr>
            <w:tcW w:w="120" w:type="dxa"/>
            <w:vAlign w:val="bottom"/>
            <w:tcBorders>
              <w:lef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December 31, 2035</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Valuation allowance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2"/>
                <w:szCs w:val="12"/>
                <w:color w:val="auto"/>
              </w:rPr>
              <w:t>(331,036)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2"/>
                <w:szCs w:val="12"/>
                <w:color w:val="auto"/>
              </w:rPr>
              <w:t>(372,638)</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State only, net of valuation allowance</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160,637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194,550</w:t>
            </w:r>
          </w:p>
        </w:tc>
        <w:tc>
          <w:tcPr>
            <w:tcW w:w="120" w:type="dxa"/>
            <w:vAlign w:val="bottom"/>
            <w:tcBorders>
              <w:left w:val="single" w:sz="8" w:color="CCEEFF"/>
            </w:tcBorders>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Amount subject to Annual Limitation, federal only (B)</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2"/>
                <w:szCs w:val="12"/>
                <w:color w:val="auto"/>
              </w:rPr>
              <w:t>13,600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color w:val="auto"/>
              </w:rPr>
              <w:t>17,000</w:t>
            </w:r>
          </w:p>
        </w:tc>
        <w:tc>
          <w:tcPr>
            <w:tcW w:w="120" w:type="dxa"/>
            <w:vAlign w:val="bottom"/>
          </w:tcPr>
          <w:p>
            <w:pPr>
              <w:spacing w:after="0"/>
              <w:rPr>
                <w:sz w:val="12"/>
                <w:szCs w:val="12"/>
                <w:color w:val="auto"/>
              </w:rPr>
            </w:pP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December 31, 2019</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Total deferred tax asset from net operating loss carryovers</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174,237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211,550</w:t>
            </w:r>
          </w:p>
        </w:tc>
        <w:tc>
          <w:tcPr>
            <w:tcW w:w="120" w:type="dxa"/>
            <w:vAlign w:val="bottom"/>
            <w:tcBorders>
              <w:left w:val="single" w:sz="8" w:color="CCEEFF"/>
            </w:tcBorders>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8" w:hanging="8"/>
        <w:spacing w:after="0" w:line="286" w:lineRule="auto"/>
        <w:tabs>
          <w:tab w:leader="none" w:pos="222" w:val="left"/>
        </w:tabs>
        <w:numPr>
          <w:ilvl w:val="0"/>
          <w:numId w:val="5"/>
        </w:numPr>
        <w:rPr>
          <w:rFonts w:ascii="Arial" w:cs="Arial" w:eastAsia="Arial" w:hAnsi="Arial"/>
          <w:sz w:val="11"/>
          <w:szCs w:val="11"/>
          <w:color w:val="auto"/>
        </w:rPr>
      </w:pPr>
      <w:r>
        <w:rPr>
          <w:rFonts w:ascii="Arial" w:cs="Arial" w:eastAsia="Arial" w:hAnsi="Arial"/>
          <w:sz w:val="11"/>
          <w:szCs w:val="11"/>
          <w:color w:val="auto"/>
        </w:rPr>
        <w:t>Kingstone generates operating losses for state purposes and has prior year NOLs available. The state NOL as of June 30, 2015 and December 31, 2014 was approximately $7,564,000 and $6,834,000, respectively. KICO, the Company’s insurance underwriting subsidiary, is not subject to state income taxes. KICO’s state tax obligations are paid through a gross premiums tax, which is included in the condensed consolidated statements of income and comprehensive income within other underwriting expenses. A valuation allowance has been recorded due to the uncertainty of generating enough state taxable income to utilize 100% of the available state NOLs over their remaining lives, which expire between 2027 and 2035. Effective January 1, 2015, the enacted state tax rate was reduced to 6.5% from 8.33%, resulting in a current period decrease in the available benefit of the state NOL, net of the corresponding valuation adjustment. The decrease in the available benefit of the state net NOL increased the tax provision in the current period by $49,881.</w:t>
      </w:r>
    </w:p>
    <w:p>
      <w:pPr>
        <w:spacing w:after="0" w:line="129" w:lineRule="exact"/>
        <w:rPr>
          <w:rFonts w:ascii="Arial" w:cs="Arial" w:eastAsia="Arial" w:hAnsi="Arial"/>
          <w:sz w:val="11"/>
          <w:szCs w:val="11"/>
          <w:color w:val="auto"/>
        </w:rPr>
      </w:pPr>
    </w:p>
    <w:p>
      <w:pPr>
        <w:ind w:left="8" w:hanging="8"/>
        <w:spacing w:after="0" w:line="276" w:lineRule="auto"/>
        <w:tabs>
          <w:tab w:leader="none" w:pos="201"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 has an NOL of $40,000 that is subject to Internal Revenue Code Section 382, which places a limitation on the utilization of the federal NOL loss to approximately $10,000 per year (“Annual Limitation”) as a result of a greater than 50% ownership change of the Company in 1999. The losses subject to the Annual Limitation will be available for future years, expiring through December 31, 2019.</w:t>
      </w:r>
    </w:p>
    <w:p>
      <w:pPr>
        <w:spacing w:after="0" w:line="132" w:lineRule="exact"/>
        <w:rPr>
          <w:rFonts w:ascii="Arial" w:cs="Arial" w:eastAsia="Arial" w:hAnsi="Arial"/>
          <w:sz w:val="12"/>
          <w:szCs w:val="12"/>
          <w:color w:val="auto"/>
        </w:rPr>
      </w:pPr>
    </w:p>
    <w:p>
      <w:pPr>
        <w:ind w:left="368" w:hanging="208"/>
        <w:spacing w:after="0"/>
        <w:tabs>
          <w:tab w:leader="none" w:pos="368" w:val="left"/>
        </w:tabs>
        <w:numPr>
          <w:ilvl w:val="1"/>
          <w:numId w:val="5"/>
        </w:numPr>
        <w:rPr>
          <w:rFonts w:ascii="Arial" w:cs="Arial" w:eastAsia="Arial" w:hAnsi="Arial"/>
          <w:sz w:val="12"/>
          <w:szCs w:val="12"/>
          <w:color w:val="auto"/>
        </w:rPr>
      </w:pPr>
      <w:r>
        <w:rPr>
          <w:rFonts w:ascii="Arial" w:cs="Arial" w:eastAsia="Arial" w:hAnsi="Arial"/>
          <w:sz w:val="12"/>
          <w:szCs w:val="12"/>
          <w:color w:val="auto"/>
        </w:rPr>
        <w:t>Deferred tax liability - investment in KICO</w:t>
      </w:r>
    </w:p>
    <w:p>
      <w:pPr>
        <w:spacing w:after="0" w:line="168"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Under GAAP guidance for business combinations, a temporary difference with an indefinite life exists when the parent has a lower carrying value of its subsidiary for income tax purposes. The Company is required to maintain its deferred tax liability of $1,169,000 related to this temporary difference until the stock of KICO is sold, or the assets of KICO are sold or KICO and the parent are merged.</w:t>
      </w:r>
    </w:p>
    <w:p>
      <w:pPr>
        <w:spacing w:after="0" w:line="23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6" w:right="19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2"/>
          <w:szCs w:val="12"/>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 had no material unrecognized tax benefit and no adjustments to liabilities or operations were required. There were no interest or penalties related to income taxes that have been accrued or recognized as of and for the six months ended June 30, 2015 and 2014. If any had been recognized these would be reported in income tax expense.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IRS Tax Audit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tax returns for years ended December 31, 2011 through 2014 are subject to examination, generally for three years after filing.</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March 2014, the Company received a notice that its federal income tax returns for the years ended December 31, 2011 and 2012 were selected for examination by the Internal Revenue Service. On March 31, 2014, the Company was notified that the examination was cancelled.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 Net Income Per Common Share</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Basic net earnings per common share is computed by dividing income available to common shareholders by the weighted-average number of common shares outstanding. Diluted earnings per common share reflect, in periods in which they have a dilutive effect, the impact of common shares issuable upon exercise of stock options. The computation of diluted earnings per common share excludes those options with an exercise price in excess of the average market price of the Company’s common shares during the periods presented.</w:t>
      </w:r>
    </w:p>
    <w:p>
      <w:pPr>
        <w:spacing w:after="0" w:line="141" w:lineRule="exact"/>
        <w:rPr>
          <w:sz w:val="20"/>
          <w:szCs w:val="20"/>
          <w:color w:val="auto"/>
        </w:rPr>
      </w:pPr>
    </w:p>
    <w:p>
      <w:pPr>
        <w:jc w:val="both"/>
        <w:ind w:right="20"/>
        <w:spacing w:after="0" w:line="327" w:lineRule="auto"/>
        <w:rPr>
          <w:sz w:val="20"/>
          <w:szCs w:val="20"/>
          <w:color w:val="auto"/>
        </w:rPr>
      </w:pPr>
      <w:r>
        <w:rPr>
          <w:rFonts w:ascii="Arial" w:cs="Arial" w:eastAsia="Arial" w:hAnsi="Arial"/>
          <w:sz w:val="10"/>
          <w:szCs w:val="10"/>
          <w:color w:val="auto"/>
        </w:rPr>
        <w:t>The computation of diluted earnings per common share excludes outstanding options in periods where the exercise of such options would be anti-dilutive. For the six months ended June 30, 2015 and 2014, the inclusion of 77,500 and 7,500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 For the three months ended June 30, 2015 and 2014, the inclusion of 77,500 and 18,750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9" w:name="page30"/>
    <w:bookmarkEnd w:id="29"/>
    <w:p>
      <w:pPr>
        <w:spacing w:after="0"/>
        <w:rPr>
          <w:sz w:val="20"/>
          <w:szCs w:val="20"/>
          <w:color w:val="auto"/>
        </w:rPr>
      </w:pPr>
      <w:r>
        <w:rPr>
          <w:rFonts w:ascii="Arial" w:cs="Arial" w:eastAsia="Arial" w:hAnsi="Arial"/>
          <w:sz w:val="12"/>
          <w:szCs w:val="12"/>
          <w:color w:val="auto"/>
        </w:rPr>
        <w:t>The reconciliation of the weighted average number of common shares used in the calculation of basic and diluted earnings per common share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3"/>
          </w:tcPr>
          <w:p>
            <w:pPr>
              <w:jc w:val="center"/>
              <w:ind w:left="45"/>
              <w:spacing w:after="0"/>
              <w:rPr>
                <w:sz w:val="20"/>
                <w:szCs w:val="20"/>
                <w:color w:val="auto"/>
              </w:rPr>
            </w:pPr>
            <w:r>
              <w:rPr>
                <w:rFonts w:ascii="Arial" w:cs="Arial" w:eastAsia="Arial" w:hAnsi="Arial"/>
                <w:sz w:val="10"/>
                <w:szCs w:val="10"/>
                <w:b w:val="1"/>
                <w:bCs w:val="1"/>
                <w:color w:val="auto"/>
                <w:w w:val="85"/>
              </w:rPr>
              <w:t>Three months ended</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3"/>
          </w:tcPr>
          <w:p>
            <w:pPr>
              <w:jc w:val="center"/>
              <w:ind w:left="726"/>
              <w:spacing w:after="0"/>
              <w:rPr>
                <w:sz w:val="20"/>
                <w:szCs w:val="20"/>
                <w:color w:val="auto"/>
              </w:rPr>
            </w:pPr>
            <w:r>
              <w:rPr>
                <w:rFonts w:ascii="Arial" w:cs="Arial" w:eastAsia="Arial" w:hAnsi="Arial"/>
                <w:sz w:val="10"/>
                <w:szCs w:val="10"/>
                <w:b w:val="1"/>
                <w:bCs w:val="1"/>
                <w:color w:val="auto"/>
                <w:w w:val="83"/>
              </w:rPr>
              <w:t>Six months ended</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4"/>
        </w:trPr>
        <w:tc>
          <w:tcPr>
            <w:tcW w:w="60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3"/>
          </w:tcPr>
          <w:p>
            <w:pPr>
              <w:jc w:val="center"/>
              <w:ind w:left="45"/>
              <w:spacing w:after="0" w:line="114" w:lineRule="exact"/>
              <w:rPr>
                <w:sz w:val="20"/>
                <w:szCs w:val="20"/>
                <w:color w:val="auto"/>
              </w:rPr>
            </w:pPr>
            <w:r>
              <w:rPr>
                <w:rFonts w:ascii="Arial" w:cs="Arial" w:eastAsia="Arial" w:hAnsi="Arial"/>
                <w:sz w:val="10"/>
                <w:szCs w:val="10"/>
                <w:b w:val="1"/>
                <w:bCs w:val="1"/>
                <w:color w:val="auto"/>
                <w:w w:val="89"/>
              </w:rPr>
              <w:t>June 30,</w:t>
            </w: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740" w:type="dxa"/>
            <w:vAlign w:val="bottom"/>
            <w:tcBorders>
              <w:bottom w:val="single" w:sz="8" w:color="auto"/>
            </w:tcBorders>
            <w:gridSpan w:val="3"/>
          </w:tcPr>
          <w:p>
            <w:pPr>
              <w:jc w:val="center"/>
              <w:ind w:left="706"/>
              <w:spacing w:after="0" w:line="114" w:lineRule="exact"/>
              <w:rPr>
                <w:sz w:val="20"/>
                <w:szCs w:val="20"/>
                <w:color w:val="auto"/>
              </w:rPr>
            </w:pPr>
            <w:r>
              <w:rPr>
                <w:rFonts w:ascii="Arial" w:cs="Arial" w:eastAsia="Arial" w:hAnsi="Arial"/>
                <w:sz w:val="10"/>
                <w:szCs w:val="10"/>
                <w:b w:val="1"/>
                <w:bCs w:val="1"/>
                <w:color w:val="auto"/>
                <w:w w:val="84"/>
              </w:rPr>
              <w:t>June 30,</w:t>
            </w: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42"/>
        </w:trPr>
        <w:tc>
          <w:tcPr>
            <w:tcW w:w="6760" w:type="dxa"/>
            <w:vAlign w:val="bottom"/>
            <w:gridSpan w:val="2"/>
          </w:tcPr>
          <w:p>
            <w:pPr>
              <w:ind w:left="6580"/>
              <w:spacing w:after="0"/>
              <w:rPr>
                <w:sz w:val="20"/>
                <w:szCs w:val="20"/>
                <w:color w:val="auto"/>
              </w:rPr>
            </w:pPr>
            <w:r>
              <w:rPr>
                <w:rFonts w:ascii="Arial" w:cs="Arial" w:eastAsia="Arial" w:hAnsi="Arial"/>
                <w:sz w:val="10"/>
                <w:szCs w:val="10"/>
                <w:b w:val="1"/>
                <w:bCs w:val="1"/>
                <w:color w:val="auto"/>
                <w:w w:val="71"/>
              </w:rPr>
              <w:t>2015</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jc w:val="right"/>
              <w:ind w:right="423"/>
              <w:spacing w:after="0"/>
              <w:rPr>
                <w:sz w:val="20"/>
                <w:szCs w:val="20"/>
                <w:color w:val="auto"/>
              </w:rPr>
            </w:pPr>
            <w:r>
              <w:rPr>
                <w:rFonts w:ascii="Arial" w:cs="Arial" w:eastAsia="Arial" w:hAnsi="Arial"/>
                <w:sz w:val="10"/>
                <w:szCs w:val="10"/>
                <w:b w:val="1"/>
                <w:bCs w:val="1"/>
                <w:color w:val="auto"/>
              </w:rPr>
              <w:t>2014</w:t>
            </w:r>
          </w:p>
        </w:tc>
        <w:tc>
          <w:tcPr>
            <w:tcW w:w="240" w:type="dxa"/>
            <w:vAlign w:val="bottom"/>
          </w:tcPr>
          <w:p>
            <w:pPr>
              <w:spacing w:after="0"/>
              <w:rPr>
                <w:sz w:val="12"/>
                <w:szCs w:val="12"/>
                <w:color w:val="auto"/>
              </w:rPr>
            </w:pPr>
          </w:p>
        </w:tc>
        <w:tc>
          <w:tcPr>
            <w:tcW w:w="1160" w:type="dxa"/>
            <w:vAlign w:val="bottom"/>
          </w:tcPr>
          <w:p>
            <w:pPr>
              <w:jc w:val="right"/>
              <w:ind w:right="426"/>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ind w:right="403"/>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Weighted average number of shares outstanding</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7,337,817</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7,287,935</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7,328,098</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7,277,313</w:t>
            </w:r>
          </w:p>
        </w:tc>
        <w:tc>
          <w:tcPr>
            <w:tcW w:w="120" w:type="dxa"/>
            <w:vAlign w:val="bottom"/>
            <w:shd w:val="clear" w:color="auto" w:fill="CCEEFF"/>
          </w:tcPr>
          <w:p>
            <w:pPr>
              <w:spacing w:after="0"/>
              <w:rPr>
                <w:sz w:val="12"/>
                <w:szCs w:val="12"/>
                <w:color w:val="auto"/>
              </w:rPr>
            </w:pPr>
          </w:p>
        </w:tc>
      </w:tr>
      <w:tr>
        <w:trPr>
          <w:trHeight w:val="144"/>
        </w:trPr>
        <w:tc>
          <w:tcPr>
            <w:tcW w:w="6760" w:type="dxa"/>
            <w:vAlign w:val="bottom"/>
            <w:gridSpan w:val="2"/>
          </w:tcPr>
          <w:p>
            <w:pPr>
              <w:ind w:left="20"/>
              <w:spacing w:after="0"/>
              <w:rPr>
                <w:sz w:val="20"/>
                <w:szCs w:val="20"/>
                <w:color w:val="auto"/>
              </w:rPr>
            </w:pPr>
            <w:r>
              <w:rPr>
                <w:rFonts w:ascii="Arial" w:cs="Arial" w:eastAsia="Arial" w:hAnsi="Arial"/>
                <w:sz w:val="12"/>
                <w:szCs w:val="12"/>
                <w:color w:val="auto"/>
              </w:rPr>
              <w:t>Effect of dilutive securities, common share equivalents</w:t>
            </w: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25,171</w:t>
            </w:r>
          </w:p>
        </w:tc>
        <w:tc>
          <w:tcPr>
            <w:tcW w:w="3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70,345</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27,810</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75,296</w:t>
            </w:r>
          </w:p>
        </w:tc>
      </w:tr>
      <w:tr>
        <w:trPr>
          <w:trHeight w:val="142"/>
        </w:trPr>
        <w:tc>
          <w:tcPr>
            <w:tcW w:w="60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760" w:type="dxa"/>
            <w:vAlign w:val="bottom"/>
            <w:gridSpan w:val="2"/>
          </w:tcPr>
          <w:p>
            <w:pPr>
              <w:ind w:left="20"/>
              <w:spacing w:after="0"/>
              <w:rPr>
                <w:sz w:val="20"/>
                <w:szCs w:val="20"/>
                <w:color w:val="auto"/>
              </w:rPr>
            </w:pPr>
            <w:r>
              <w:rPr>
                <w:rFonts w:ascii="Arial" w:cs="Arial" w:eastAsia="Arial" w:hAnsi="Arial"/>
                <w:sz w:val="12"/>
                <w:szCs w:val="12"/>
                <w:color w:val="auto"/>
              </w:rPr>
              <w:t>Weighted average number of shares outstanding,</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used for computing diluted earnings per share</w:t>
            </w:r>
          </w:p>
        </w:tc>
        <w:tc>
          <w:tcPr>
            <w:tcW w:w="6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7,362,988</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7,358,280</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7,355,908</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7,352,609</w:t>
            </w:r>
          </w:p>
        </w:tc>
        <w:tc>
          <w:tcPr>
            <w:tcW w:w="120" w:type="dxa"/>
            <w:vAlign w:val="bottom"/>
            <w:shd w:val="clear" w:color="auto" w:fill="CCEEFF"/>
          </w:tcPr>
          <w:p>
            <w:pPr>
              <w:spacing w:after="0"/>
              <w:rPr>
                <w:sz w:val="14"/>
                <w:szCs w:val="14"/>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 Commitments and 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Litigation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From time to time, the Company is involved in various legal proceedings in the ordinary course of business. For example, to the extent a claim asserted by a third party in a law 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State Insurance Regulation</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the aftermath of Superstorm Sandy, the New York State Department of Financial Services (the “DFS”) adopted various regulations that affect insurance companies that operate in the state of New York. Included among the regulations are accelerated claims investigation and settlement requirements and mandatory participation in non-binding mediation proceedings funded by the insurer. Further, in February 2013, the state of New York announced that the DFS commenced an investigation into the claims practices of three insurance companies, including KICO, in connection with Superstorm Sandy claims. The DFS stated that the three insurers had a much larger than average consumer complaint rate with regard to Superstorm Sandy claims and indicated that the three insurers were being investigated for (i) failure to send adjusters in a timely manner; (ii) failure to process claims in a timely manner; and (iii) inability of homeowners to contact insurance company representatives. KICO received a letter from the DFS seeking information and data with regard to the foregoing. KICO has cooperated with the DFS in connection with its investigation. On March 14, 2013, KICO supplied requested information and met with the DFS on May 23, 2013. KICO has not received a response from the DFS since its meeting on May 23, 2013 and believes that such matter will not have any effect on the Company’s financial position or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Office Lease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March 27, 2015, the Company entered into a lease agreement for an additional office facility for KICO located in Valley Stream, NY under a non-cancelable operating lease. In addition to the base rental costs, occupancy lease agreements generally provide for rent escalations resulting from increased assessments from real estate taxes and other charges.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30" w:name="page31"/>
    <w:bookmarkEnd w:id="30"/>
    <w:p>
      <w:pPr>
        <w:spacing w:after="0"/>
        <w:rPr>
          <w:sz w:val="20"/>
          <w:szCs w:val="20"/>
          <w:color w:val="auto"/>
        </w:rPr>
      </w:pPr>
      <w:r>
        <w:rPr>
          <w:rFonts w:ascii="Arial" w:cs="Arial" w:eastAsia="Arial" w:hAnsi="Arial"/>
          <w:sz w:val="12"/>
          <w:szCs w:val="12"/>
          <w:color w:val="auto"/>
        </w:rPr>
        <w:t>The lease commencement date was July 1, 2015 and rent commencement begins January 1, 2016. The lease has a term of seven years and six months.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Rent expense under the lease will be recognized on a straight-line basis over the lease term.</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As of June 30, 2015, aggregate future minimum rental commitments under this agreement are as follows:</w:t>
      </w:r>
    </w:p>
    <w:p>
      <w:pPr>
        <w:spacing w:after="0" w:line="190" w:lineRule="exact"/>
        <w:rPr>
          <w:sz w:val="20"/>
          <w:szCs w:val="20"/>
          <w:color w:val="auto"/>
        </w:rPr>
      </w:pPr>
    </w:p>
    <w:p>
      <w:pPr>
        <w:jc w:val="center"/>
        <w:ind w:right="740"/>
        <w:spacing w:after="0"/>
        <w:rPr>
          <w:sz w:val="20"/>
          <w:szCs w:val="20"/>
          <w:color w:val="auto"/>
        </w:rPr>
      </w:pPr>
      <w:r>
        <w:rPr>
          <w:rFonts w:ascii="Arial" w:cs="Arial" w:eastAsia="Arial" w:hAnsi="Arial"/>
          <w:sz w:val="10"/>
          <w:szCs w:val="10"/>
          <w:b w:val="1"/>
          <w:bCs w:val="1"/>
          <w:color w:val="auto"/>
        </w:rPr>
        <w:t>For the Year</w:t>
      </w:r>
    </w:p>
    <w:p>
      <w:pPr>
        <w:spacing w:after="0" w:line="9" w:lineRule="exact"/>
        <w:rPr>
          <w:sz w:val="20"/>
          <w:szCs w:val="20"/>
          <w:color w:val="auto"/>
        </w:rPr>
      </w:pPr>
    </w:p>
    <w:p>
      <w:pPr>
        <w:jc w:val="center"/>
        <w:ind w:right="760"/>
        <w:spacing w:after="0"/>
        <w:rPr>
          <w:sz w:val="20"/>
          <w:szCs w:val="20"/>
          <w:color w:val="auto"/>
        </w:rPr>
      </w:pPr>
      <w:r>
        <w:rPr>
          <w:rFonts w:ascii="Arial" w:cs="Arial" w:eastAsia="Arial" w:hAnsi="Arial"/>
          <w:sz w:val="10"/>
          <w:szCs w:val="10"/>
          <w:b w:val="1"/>
          <w:bCs w:val="1"/>
          <w:color w:val="auto"/>
        </w:rPr>
        <w:t>Ending</w:t>
      </w:r>
    </w:p>
    <w:p>
      <w:pPr>
        <w:spacing w:after="0" w:line="21" w:lineRule="exact"/>
        <w:rPr>
          <w:sz w:val="20"/>
          <w:szCs w:val="20"/>
          <w:color w:val="auto"/>
        </w:rPr>
      </w:pPr>
    </w:p>
    <w:tbl>
      <w:tblPr>
        <w:tblLayout w:type="fixed"/>
        <w:tblInd w:w="3840" w:type="dxa"/>
        <w:tblCellMar>
          <w:top w:w="0" w:type="dxa"/>
          <w:left w:w="0" w:type="dxa"/>
          <w:bottom w:w="0" w:type="dxa"/>
          <w:right w:w="0" w:type="dxa"/>
        </w:tblCellMar>
      </w:tblPr>
      <w:tr>
        <w:trPr>
          <w:trHeight w:val="115"/>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December 31,</w:t>
            </w: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Total</w:t>
            </w:r>
          </w:p>
        </w:tc>
      </w:tr>
      <w:tr>
        <w:trPr>
          <w:trHeight w:val="142"/>
        </w:trPr>
        <w:tc>
          <w:tcPr>
            <w:tcW w:w="3060" w:type="dxa"/>
            <w:vAlign w:val="bottom"/>
            <w:tcBorders>
              <w:right w:val="single" w:sz="8" w:color="CCEEFF"/>
            </w:tcBorders>
            <w:shd w:val="clear" w:color="auto" w:fill="CCEEFF"/>
          </w:tcPr>
          <w:p>
            <w:pPr>
              <w:jc w:val="center"/>
              <w:ind w:right="1"/>
              <w:spacing w:after="0"/>
              <w:rPr>
                <w:sz w:val="20"/>
                <w:szCs w:val="20"/>
                <w:color w:val="auto"/>
              </w:rPr>
            </w:pPr>
            <w:r>
              <w:rPr>
                <w:rFonts w:ascii="Arial" w:cs="Arial" w:eastAsia="Arial" w:hAnsi="Arial"/>
                <w:sz w:val="12"/>
                <w:szCs w:val="12"/>
                <w:color w:val="auto"/>
                <w:w w:val="89"/>
              </w:rPr>
              <w:t>2015</w:t>
            </w:r>
          </w:p>
        </w:tc>
        <w:tc>
          <w:tcPr>
            <w:tcW w:w="140" w:type="dxa"/>
            <w:vAlign w:val="bottom"/>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3060" w:type="dxa"/>
            <w:vAlign w:val="bottom"/>
          </w:tcPr>
          <w:p>
            <w:pPr>
              <w:jc w:val="center"/>
              <w:ind w:right="1"/>
              <w:spacing w:after="0"/>
              <w:rPr>
                <w:sz w:val="20"/>
                <w:szCs w:val="20"/>
                <w:color w:val="auto"/>
              </w:rPr>
            </w:pPr>
            <w:r>
              <w:rPr>
                <w:rFonts w:ascii="Arial" w:cs="Arial" w:eastAsia="Arial" w:hAnsi="Arial"/>
                <w:sz w:val="12"/>
                <w:szCs w:val="12"/>
                <w:color w:val="auto"/>
                <w:w w:val="89"/>
              </w:rPr>
              <w:t>2016</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100,750</w:t>
            </w:r>
          </w:p>
        </w:tc>
      </w:tr>
      <w:tr>
        <w:trPr>
          <w:trHeight w:val="144"/>
        </w:trPr>
        <w:tc>
          <w:tcPr>
            <w:tcW w:w="3060" w:type="dxa"/>
            <w:vAlign w:val="bottom"/>
            <w:tcBorders>
              <w:right w:val="single" w:sz="8" w:color="CCEEFF"/>
            </w:tcBorders>
            <w:shd w:val="clear" w:color="auto" w:fill="CCEEFF"/>
          </w:tcPr>
          <w:p>
            <w:pPr>
              <w:jc w:val="center"/>
              <w:ind w:right="1"/>
              <w:spacing w:after="0"/>
              <w:rPr>
                <w:sz w:val="20"/>
                <w:szCs w:val="20"/>
                <w:color w:val="auto"/>
              </w:rPr>
            </w:pPr>
            <w:r>
              <w:rPr>
                <w:rFonts w:ascii="Arial" w:cs="Arial" w:eastAsia="Arial" w:hAnsi="Arial"/>
                <w:sz w:val="12"/>
                <w:szCs w:val="12"/>
                <w:color w:val="auto"/>
                <w:w w:val="89"/>
              </w:rPr>
              <w:t>2017</w:t>
            </w: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104,276</w:t>
            </w:r>
          </w:p>
        </w:tc>
      </w:tr>
      <w:tr>
        <w:trPr>
          <w:trHeight w:val="144"/>
        </w:trPr>
        <w:tc>
          <w:tcPr>
            <w:tcW w:w="3060" w:type="dxa"/>
            <w:vAlign w:val="bottom"/>
          </w:tcPr>
          <w:p>
            <w:pPr>
              <w:jc w:val="center"/>
              <w:ind w:right="1"/>
              <w:spacing w:after="0"/>
              <w:rPr>
                <w:sz w:val="20"/>
                <w:szCs w:val="20"/>
                <w:color w:val="auto"/>
              </w:rPr>
            </w:pPr>
            <w:r>
              <w:rPr>
                <w:rFonts w:ascii="Arial" w:cs="Arial" w:eastAsia="Arial" w:hAnsi="Arial"/>
                <w:sz w:val="12"/>
                <w:szCs w:val="12"/>
                <w:color w:val="auto"/>
                <w:w w:val="89"/>
              </w:rPr>
              <w:t>2018</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107,926</w:t>
            </w:r>
          </w:p>
        </w:tc>
      </w:tr>
      <w:tr>
        <w:trPr>
          <w:trHeight w:val="144"/>
        </w:trPr>
        <w:tc>
          <w:tcPr>
            <w:tcW w:w="3060" w:type="dxa"/>
            <w:vAlign w:val="bottom"/>
            <w:tcBorders>
              <w:right w:val="single" w:sz="8" w:color="CCEEFF"/>
            </w:tcBorders>
            <w:shd w:val="clear" w:color="auto" w:fill="CCEEFF"/>
          </w:tcPr>
          <w:p>
            <w:pPr>
              <w:jc w:val="center"/>
              <w:ind w:right="1"/>
              <w:spacing w:after="0"/>
              <w:rPr>
                <w:sz w:val="20"/>
                <w:szCs w:val="20"/>
                <w:color w:val="auto"/>
              </w:rPr>
            </w:pPr>
            <w:r>
              <w:rPr>
                <w:rFonts w:ascii="Arial" w:cs="Arial" w:eastAsia="Arial" w:hAnsi="Arial"/>
                <w:sz w:val="12"/>
                <w:szCs w:val="12"/>
                <w:color w:val="auto"/>
                <w:w w:val="89"/>
              </w:rPr>
              <w:t>2019</w:t>
            </w: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111,703</w:t>
            </w:r>
          </w:p>
        </w:tc>
      </w:tr>
      <w:tr>
        <w:trPr>
          <w:trHeight w:val="144"/>
        </w:trPr>
        <w:tc>
          <w:tcPr>
            <w:tcW w:w="3060" w:type="dxa"/>
            <w:vAlign w:val="bottom"/>
          </w:tcPr>
          <w:p>
            <w:pPr>
              <w:jc w:val="center"/>
              <w:spacing w:after="0"/>
              <w:rPr>
                <w:sz w:val="20"/>
                <w:szCs w:val="20"/>
                <w:color w:val="auto"/>
              </w:rPr>
            </w:pPr>
            <w:r>
              <w:rPr>
                <w:rFonts w:ascii="Arial" w:cs="Arial" w:eastAsia="Arial" w:hAnsi="Arial"/>
                <w:sz w:val="12"/>
                <w:szCs w:val="12"/>
                <w:color w:val="auto"/>
                <w:w w:val="90"/>
              </w:rPr>
              <w:t>Thereafter</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359,119</w:t>
            </w:r>
          </w:p>
        </w:tc>
      </w:tr>
      <w:tr>
        <w:trPr>
          <w:trHeight w:val="162"/>
        </w:trPr>
        <w:tc>
          <w:tcPr>
            <w:tcW w:w="30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Total</w:t>
            </w:r>
          </w:p>
        </w:tc>
        <w:tc>
          <w:tcPr>
            <w:tcW w:w="140" w:type="dxa"/>
            <w:vAlign w:val="bottom"/>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783,774</w:t>
            </w:r>
          </w:p>
        </w:tc>
      </w:tr>
      <w:tr>
        <w:trPr>
          <w:trHeight w:val="20"/>
        </w:trPr>
        <w:tc>
          <w:tcPr>
            <w:tcW w:w="3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There was no rent expense for the six months and three months ended June 30, 2015 and 2014.</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 Premium Finance Placement Fees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Company’s wholly owned subsidiary, Payments Inc. (“Payments”), is licensed as a premium finance agency in the state of New York. Prior to February 1, 2008, Payments provided premium financing in connection with the obtaining of insurance policies. Effective February 1, 2008, Payments sold its outstanding premium finance loan portfolio. The purchaser of the portfolio (the “Purchaser”) agreed that, during the five year period ended February 1, 2013 (which period was extended to February 1, 2015), it would purchase, assume and service all eligible premium finance contracts originated by Payments in the state of New York (the “Agreement”). In connection with such purchases, Payments was entitled to receive a fee generally equal to a percentage of the amount financed.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July 17, 2014, the Purchaser terminated the Agreement effective February 1, 2015. Following any expiration or termination of the obligation of the Purchaser to purchase premium finance contracts, Payments was entitled to receive the fees for an additional two years (“Termination Period”) with regard to contracts for policies from the Company’s producers. On March 26, 2015, the Company and the Purchaser agreed to amend the Termination Period to end as of March 31, 2015. The Company received a one-time payment of $350,000 in exchange for the fees that the Company would have received during the Termination Period. The Company’s premium financing business consisted of the placement fees that Payments earned from placing contracts.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31" w:name="page32"/>
    <w:bookmarkEnd w:id="31"/>
    <w:p>
      <w:pPr>
        <w:spacing w:after="0"/>
        <w:rPr>
          <w:sz w:val="20"/>
          <w:szCs w:val="20"/>
          <w:color w:val="auto"/>
        </w:rPr>
      </w:pPr>
      <w:r>
        <w:rPr>
          <w:rFonts w:ascii="Arial" w:cs="Arial" w:eastAsia="Arial" w:hAnsi="Arial"/>
          <w:sz w:val="11"/>
          <w:szCs w:val="11"/>
          <w:color w:val="auto"/>
        </w:rPr>
        <w:t>Placement fee revenue included in other income and the related direct expenses included in other operating expenses in the condensed consolidated statements of net income and comprehensive income are as follows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3"/>
          </w:tcPr>
          <w:p>
            <w:pPr>
              <w:ind w:left="400"/>
              <w:spacing w:after="0"/>
              <w:rPr>
                <w:sz w:val="20"/>
                <w:szCs w:val="20"/>
                <w:color w:val="auto"/>
              </w:rPr>
            </w:pPr>
            <w:r>
              <w:rPr>
                <w:rFonts w:ascii="Arial" w:cs="Arial" w:eastAsia="Arial" w:hAnsi="Arial"/>
                <w:sz w:val="10"/>
                <w:szCs w:val="10"/>
                <w:b w:val="1"/>
                <w:bCs w:val="1"/>
                <w:color w:val="auto"/>
                <w:w w:val="87"/>
              </w:rPr>
              <w:t>For the Three Months Ended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gridSpan w:val="3"/>
          </w:tcPr>
          <w:p>
            <w:pPr>
              <w:jc w:val="right"/>
              <w:spacing w:after="0"/>
              <w:rPr>
                <w:sz w:val="20"/>
                <w:szCs w:val="20"/>
                <w:color w:val="auto"/>
              </w:rPr>
            </w:pPr>
            <w:r>
              <w:rPr>
                <w:rFonts w:ascii="Arial" w:cs="Arial" w:eastAsia="Arial" w:hAnsi="Arial"/>
                <w:sz w:val="10"/>
                <w:szCs w:val="10"/>
                <w:b w:val="1"/>
                <w:bCs w:val="1"/>
                <w:color w:val="auto"/>
              </w:rPr>
              <w:t>For the Six Months Ended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4"/>
        </w:trPr>
        <w:tc>
          <w:tcPr>
            <w:tcW w:w="60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3"/>
          </w:tcPr>
          <w:p>
            <w:pPr>
              <w:ind w:left="820"/>
              <w:spacing w:after="0" w:line="114" w:lineRule="exact"/>
              <w:rPr>
                <w:sz w:val="20"/>
                <w:szCs w:val="20"/>
                <w:color w:val="auto"/>
              </w:rPr>
            </w:pPr>
            <w:r>
              <w:rPr>
                <w:rFonts w:ascii="Arial" w:cs="Arial" w:eastAsia="Arial" w:hAnsi="Arial"/>
                <w:sz w:val="10"/>
                <w:szCs w:val="10"/>
                <w:b w:val="1"/>
                <w:bCs w:val="1"/>
                <w:color w:val="auto"/>
              </w:rPr>
              <w:t>June 30,</w:t>
            </w: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gridSpan w:val="3"/>
          </w:tcPr>
          <w:p>
            <w:pPr>
              <w:jc w:val="right"/>
              <w:ind w:right="350"/>
              <w:spacing w:after="0" w:line="114" w:lineRule="exact"/>
              <w:rPr>
                <w:sz w:val="20"/>
                <w:szCs w:val="20"/>
                <w:color w:val="auto"/>
              </w:rPr>
            </w:pPr>
            <w:r>
              <w:rPr>
                <w:rFonts w:ascii="Arial" w:cs="Arial" w:eastAsia="Arial" w:hAnsi="Arial"/>
                <w:sz w:val="10"/>
                <w:szCs w:val="10"/>
                <w:b w:val="1"/>
                <w:bCs w:val="1"/>
                <w:color w:val="auto"/>
              </w:rPr>
              <w:t>June 30,</w:t>
            </w: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42"/>
        </w:trPr>
        <w:tc>
          <w:tcPr>
            <w:tcW w:w="6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2015</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w w:val="71"/>
              </w:rPr>
              <w:t>2014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5"/>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w w:val="89"/>
              </w:rPr>
              <w:t>2014</w:t>
            </w:r>
          </w:p>
        </w:tc>
        <w:tc>
          <w:tcPr>
            <w:tcW w:w="12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Placement fee revenue</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ind w:left="840"/>
              <w:spacing w:after="0"/>
              <w:rPr>
                <w:sz w:val="20"/>
                <w:szCs w:val="20"/>
                <w:color w:val="auto"/>
              </w:rPr>
            </w:pPr>
            <w:r>
              <w:rPr>
                <w:rFonts w:ascii="Arial" w:cs="Arial" w:eastAsia="Arial" w:hAnsi="Arial"/>
                <w:sz w:val="8"/>
                <w:szCs w:val="8"/>
                <w:color w:val="auto"/>
                <w:w w:val="73"/>
              </w:rPr>
              <w:t>-</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59,717</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54,343</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129,160</w:t>
            </w: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Early termination fee</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350,000</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Direct expenses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ind w:left="840"/>
              <w:spacing w:after="0"/>
              <w:rPr>
                <w:sz w:val="20"/>
                <w:szCs w:val="20"/>
                <w:color w:val="auto"/>
              </w:rPr>
            </w:pPr>
            <w:r>
              <w:rPr>
                <w:rFonts w:ascii="Arial" w:cs="Arial" w:eastAsia="Arial" w:hAnsi="Arial"/>
                <w:sz w:val="8"/>
                <w:szCs w:val="8"/>
                <w:color w:val="auto"/>
                <w:w w:val="73"/>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(17,498)</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(12,989)</w:t>
            </w: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(29,036)</w:t>
            </w:r>
          </w:p>
        </w:tc>
      </w:tr>
      <w:tr>
        <w:trPr>
          <w:trHeight w:val="20"/>
        </w:trPr>
        <w:tc>
          <w:tcPr>
            <w:tcW w:w="60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tcPr>
          <w:p>
            <w:pPr>
              <w:ind w:left="20"/>
              <w:spacing w:after="0"/>
              <w:rPr>
                <w:sz w:val="20"/>
                <w:szCs w:val="20"/>
                <w:color w:val="auto"/>
              </w:rPr>
            </w:pPr>
            <w:r>
              <w:rPr>
                <w:rFonts w:ascii="Arial" w:cs="Arial" w:eastAsia="Arial" w:hAnsi="Arial"/>
                <w:sz w:val="12"/>
                <w:szCs w:val="12"/>
                <w:color w:val="auto"/>
              </w:rPr>
              <w:t>Net income before taxes from placement fees</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ind w:left="840"/>
              <w:spacing w:after="0"/>
              <w:rPr>
                <w:sz w:val="20"/>
                <w:szCs w:val="20"/>
                <w:color w:val="auto"/>
              </w:rPr>
            </w:pPr>
            <w:r>
              <w:rPr>
                <w:rFonts w:ascii="Arial" w:cs="Arial" w:eastAsia="Arial" w:hAnsi="Arial"/>
                <w:sz w:val="8"/>
                <w:szCs w:val="8"/>
                <w:color w:val="auto"/>
                <w:w w:val="73"/>
              </w:rPr>
              <w:t>-</w:t>
            </w:r>
          </w:p>
        </w:tc>
        <w:tc>
          <w:tcPr>
            <w:tcW w:w="72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42,219</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391,354</w:t>
            </w:r>
          </w:p>
        </w:tc>
        <w:tc>
          <w:tcPr>
            <w:tcW w:w="220" w:type="dxa"/>
            <w:vAlign w:val="bottom"/>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100,124</w:t>
            </w:r>
          </w:p>
        </w:tc>
      </w:tr>
      <w:tr>
        <w:trPr>
          <w:trHeight w:val="20"/>
        </w:trPr>
        <w:tc>
          <w:tcPr>
            <w:tcW w:w="6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 Subsequent Events</w:t>
      </w:r>
    </w:p>
    <w:p>
      <w:pPr>
        <w:spacing w:after="0" w:line="172" w:lineRule="exact"/>
        <w:rPr>
          <w:sz w:val="20"/>
          <w:szCs w:val="20"/>
          <w:color w:val="auto"/>
        </w:rPr>
      </w:pPr>
    </w:p>
    <w:p>
      <w:pPr>
        <w:jc w:val="both"/>
        <w:ind w:right="80"/>
        <w:spacing w:after="0" w:line="532" w:lineRule="auto"/>
        <w:rPr>
          <w:sz w:val="20"/>
          <w:szCs w:val="20"/>
          <w:color w:val="auto"/>
        </w:rPr>
      </w:pPr>
      <w:r>
        <w:rPr>
          <w:rFonts w:ascii="Arial" w:cs="Arial" w:eastAsia="Arial" w:hAnsi="Arial"/>
          <w:sz w:val="12"/>
          <w:szCs w:val="12"/>
          <w:color w:val="auto"/>
        </w:rPr>
        <w:t xml:space="preserve">The Company has evaluated events that occurred subsequent to June 30, 2015 through the date these financial statements were issued for matters that required disclosure or adjustment in these condensed consolidated financial statements. </w:t>
      </w:r>
      <w:r>
        <w:rPr>
          <w:rFonts w:ascii="Arial" w:cs="Arial" w:eastAsia="Arial" w:hAnsi="Arial"/>
          <w:sz w:val="12"/>
          <w:szCs w:val="12"/>
          <w:u w:val="single" w:color="auto"/>
          <w:color w:val="auto"/>
        </w:rPr>
        <w:t>Dividends Declared and Paid</w:t>
      </w:r>
    </w:p>
    <w:p>
      <w:pPr>
        <w:spacing w:after="0" w:line="1" w:lineRule="exact"/>
        <w:rPr>
          <w:sz w:val="20"/>
          <w:szCs w:val="20"/>
          <w:color w:val="auto"/>
        </w:rPr>
      </w:pPr>
    </w:p>
    <w:p>
      <w:pPr>
        <w:ind w:right="2240"/>
        <w:spacing w:after="0" w:line="532" w:lineRule="auto"/>
        <w:rPr>
          <w:sz w:val="20"/>
          <w:szCs w:val="20"/>
          <w:color w:val="auto"/>
        </w:rPr>
      </w:pPr>
      <w:r>
        <w:rPr>
          <w:rFonts w:ascii="Arial" w:cs="Arial" w:eastAsia="Arial" w:hAnsi="Arial"/>
          <w:sz w:val="12"/>
          <w:szCs w:val="12"/>
          <w:color w:val="auto"/>
        </w:rPr>
        <w:t xml:space="preserve">On August 11, 2015, the Company’s Board of Directors approved a quarterly dividend of $.05 per share payable in cash on September 15, 2015 to stockholders of record as of August 31, 2015. </w:t>
      </w:r>
      <w:r>
        <w:rPr>
          <w:rFonts w:ascii="Arial" w:cs="Arial" w:eastAsia="Arial" w:hAnsi="Arial"/>
          <w:sz w:val="12"/>
          <w:szCs w:val="12"/>
          <w:u w:val="single" w:color="auto"/>
          <w:color w:val="auto"/>
        </w:rPr>
        <w:t>Stock Options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On August 11, 2015, the Company received stockholder approval of the adoption of the 2014 Plan.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Reinsurance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Company entered into new annual reinsurance treaties with different terms effective July 1, 2015.</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32" w:name="page33"/>
    <w:bookmarkEnd w:id="32"/>
    <w:p>
      <w:pPr>
        <w:spacing w:after="0"/>
        <w:tabs>
          <w:tab w:leader="none" w:pos="1080" w:val="left"/>
        </w:tabs>
        <w:rPr>
          <w:sz w:val="20"/>
          <w:szCs w:val="20"/>
          <w:color w:val="auto"/>
        </w:rPr>
      </w:pPr>
      <w:r>
        <w:rPr>
          <w:rFonts w:ascii="Arial" w:cs="Arial" w:eastAsia="Arial" w:hAnsi="Arial"/>
          <w:sz w:val="12"/>
          <w:szCs w:val="12"/>
          <w:b w:val="1"/>
          <w:bCs w:val="1"/>
          <w:u w:val="single" w:color="auto"/>
          <w:color w:val="auto"/>
        </w:rPr>
        <w:t>ITEM 2</w:t>
      </w:r>
      <w:r>
        <w:rPr>
          <w:rFonts w:ascii="Arial" w:cs="Arial" w:eastAsia="Arial" w:hAnsi="Arial"/>
          <w:sz w:val="12"/>
          <w:szCs w:val="12"/>
          <w:b w:val="1"/>
          <w:bCs w:val="1"/>
          <w:color w:val="auto"/>
        </w:rPr>
        <w:t>.</w:t>
      </w:r>
      <w:r>
        <w:rPr>
          <w:sz w:val="20"/>
          <w:szCs w:val="20"/>
          <w:color w:val="auto"/>
        </w:rPr>
        <w:tab/>
      </w:r>
      <w:r>
        <w:rPr>
          <w:rFonts w:ascii="Arial" w:cs="Arial" w:eastAsia="Arial" w:hAnsi="Arial"/>
          <w:sz w:val="11"/>
          <w:szCs w:val="11"/>
          <w:b w:val="1"/>
          <w:bCs w:val="1"/>
          <w:u w:val="single" w:color="auto"/>
          <w:color w:val="auto"/>
        </w:rPr>
        <w:t>MANAGEMENT’S DISCUSSION AND ANALYSIS OF FINANCIAL CONDITION AND RESULTS OF OPERATIONS</w:t>
      </w:r>
      <w:r>
        <w:rPr>
          <w:rFonts w:ascii="Arial" w:cs="Arial" w:eastAsia="Arial" w:hAnsi="Arial"/>
          <w:sz w:val="11"/>
          <w:szCs w:val="11"/>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offer property and casualty insurance products to small businesses and individuals in New York State through our subsidiary, Kingstone Insurance Company (“KICO”). KICO’s insureds are located primarily in downstate New York, consisting of New York City, Long Island and Westchester County.</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for a one year period. Earned premiums represent premiums received from insureds, which are recognized as revenue over the period of time that insurance coverage is provided (i.e., ratably over the one year life of the policy). A significant period of time normally elapses between the receipt of insurance premiums and the payment of insurance claims. During this time, KICO invests the premiums, earns investment income and generates net realized and unrealized investment gains and losses on investments.</w:t>
      </w:r>
    </w:p>
    <w:p>
      <w:pPr>
        <w:spacing w:after="0" w:line="14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for losses, various loss adjustment expenses (“LAE”) are incurred such as insurance adjusters’ fees and litigation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Other operating expenses include our corporate expenses as a holding company. These expenses include legal and auditing fees, executive employment costs, and other costs directly associated with being a public company.</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Product Lines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product lines include the following:</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b w:val="1"/>
          <w:bCs w:val="1"/>
          <w:i w:val="1"/>
          <w:iCs w:val="1"/>
          <w:color w:val="auto"/>
        </w:rPr>
        <w:t xml:space="preserve">Personal lines: </w:t>
      </w:r>
      <w:r>
        <w:rPr>
          <w:rFonts w:ascii="Arial" w:cs="Arial" w:eastAsia="Arial" w:hAnsi="Arial"/>
          <w:sz w:val="12"/>
          <w:szCs w:val="12"/>
          <w:color w:val="auto"/>
        </w:rPr>
        <w:t>Our largest line of business is personal lines, consisting of homeowners, dwelling fire, 3-4 family dwelling package, cooperative and condominium, renters, equipment breakdown and service line endorsements,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personal umbrella policies.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 xml:space="preserve">Commercial liability: </w:t>
      </w:r>
      <w:r>
        <w:rPr>
          <w:rFonts w:ascii="Arial" w:cs="Arial" w:eastAsia="Arial" w:hAnsi="Arial"/>
          <w:sz w:val="11"/>
          <w:szCs w:val="11"/>
          <w:color w:val="auto"/>
        </w:rPr>
        <w:t>We offer business owners policies, which consist primarily of small business retail risks without a residential exposure. We also write artisan’s liability policies and special multi-peril property and liability</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policies.</w:t>
      </w:r>
    </w:p>
    <w:p>
      <w:pPr>
        <w:spacing w:after="0" w:line="159"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b w:val="1"/>
          <w:bCs w:val="1"/>
          <w:i w:val="1"/>
          <w:iCs w:val="1"/>
          <w:color w:val="auto"/>
        </w:rPr>
        <w:t xml:space="preserve">Commercial automobile: </w:t>
      </w:r>
      <w:r>
        <w:rPr>
          <w:rFonts w:ascii="Arial" w:cs="Arial" w:eastAsia="Arial" w:hAnsi="Arial"/>
          <w:sz w:val="11"/>
          <w:szCs w:val="11"/>
          <w:color w:val="auto"/>
        </w:rPr>
        <w:t>We provided physical damage and liability coverage for light vehicles owned by small contractors and artisans. Due to the poor performance of this line, effective October 1, 2014, we decided to no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longer accept new commercial auto policies. In February 2015, we decided to no longer offer renewals to our existing commercial auto policies beginning with those that expired on or after May 1, 2015.</w:t>
      </w:r>
    </w:p>
    <w:p>
      <w:pPr>
        <w:spacing w:after="0" w:line="11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b w:val="1"/>
          <w:bCs w:val="1"/>
          <w:i w:val="1"/>
          <w:iCs w:val="1"/>
          <w:color w:val="auto"/>
        </w:rPr>
        <w:t xml:space="preserve">Livery physical damage: </w:t>
      </w:r>
      <w:r>
        <w:rPr>
          <w:rFonts w:ascii="Arial" w:cs="Arial" w:eastAsia="Arial" w:hAnsi="Arial"/>
          <w:sz w:val="12"/>
          <w:szCs w:val="12"/>
          <w:color w:val="auto"/>
        </w:rPr>
        <w:t>We write for-hire vehicle physical damage only policies for livery and car service vehicles and taxicabs. These policies insure only the physical damage portion of insurance for such vehicles, with no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liability coverage included.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 xml:space="preserve">Other: </w:t>
      </w:r>
      <w:r>
        <w:rPr>
          <w:rFonts w:ascii="Arial" w:cs="Arial" w:eastAsia="Arial" w:hAnsi="Arial"/>
          <w:sz w:val="12"/>
          <w:szCs w:val="12"/>
          <w:color w:val="auto"/>
        </w:rPr>
        <w:t>We write canine legal liability policies and also have a small participation in mandatory state joint underwriting associations.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Key Measures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utilize the following key measures in analyzing the results of our insurance underwriting business: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b w:val="1"/>
          <w:bCs w:val="1"/>
          <w:i w:val="1"/>
          <w:iCs w:val="1"/>
          <w:color w:val="auto"/>
        </w:rPr>
        <w:t xml:space="preserve">Net loss ratio: </w:t>
      </w:r>
      <w:r>
        <w:rPr>
          <w:rFonts w:ascii="Arial" w:cs="Arial" w:eastAsia="Arial" w:hAnsi="Arial"/>
          <w:sz w:val="12"/>
          <w:szCs w:val="12"/>
          <w:color w:val="auto"/>
        </w:rPr>
        <w:t>The net loss ratio is a measure of the underwriting profitability of an insurance company’s business. Expressed as a percentage, this is the ratio of net losses and loss adjustment expenses (“LAE”) incurred to net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premiums earned.</w:t>
      </w:r>
    </w:p>
    <w:p>
      <w:pPr>
        <w:spacing w:after="0" w:line="1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b w:val="1"/>
          <w:bCs w:val="1"/>
          <w:i w:val="1"/>
          <w:iCs w:val="1"/>
          <w:color w:val="auto"/>
        </w:rPr>
        <w:t xml:space="preserve">Net underwriting expense ratio: </w:t>
      </w:r>
      <w:r>
        <w:rPr>
          <w:rFonts w:ascii="Arial" w:cs="Arial" w:eastAsia="Arial" w:hAnsi="Arial"/>
          <w:sz w:val="12"/>
          <w:szCs w:val="12"/>
          <w:color w:val="auto"/>
        </w:rPr>
        <w:t>The net underwriting expense ratio is a measure of an insurance company’s operational efficiency in administering its business. Expressed as a percentage, this is the ratio of the sum of acquisition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costs (the most significant being commissions paid to our producers) and other underwriting expenses less ceding commission revenue less other income to net premiums earned.</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b w:val="1"/>
          <w:bCs w:val="1"/>
          <w:i w:val="1"/>
          <w:iCs w:val="1"/>
          <w:color w:val="auto"/>
        </w:rPr>
        <w:t xml:space="preserve">Net combined ratio: </w:t>
      </w:r>
      <w:r>
        <w:rPr>
          <w:rFonts w:ascii="Arial" w:cs="Arial" w:eastAsia="Arial" w:hAnsi="Arial"/>
          <w:sz w:val="12"/>
          <w:szCs w:val="12"/>
          <w:color w:val="auto"/>
        </w:rPr>
        <w:t>The net combined ratio is a measure of an insurance company’s overall underwriting profit. This is the sum of the net loss and net underwriting expense ratios. If the net combined ratio is at or above 100</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percent, an insurance company cannot be profitable without investment income, and may not be profitable if investment income is insufficient.</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b w:val="1"/>
          <w:bCs w:val="1"/>
          <w:i w:val="1"/>
          <w:iCs w:val="1"/>
          <w:color w:val="auto"/>
        </w:rPr>
        <w:t xml:space="preserve">Underwriting income: </w:t>
      </w:r>
      <w:r>
        <w:rPr>
          <w:rFonts w:ascii="Arial" w:cs="Arial" w:eastAsia="Arial" w:hAnsi="Arial"/>
          <w:sz w:val="12"/>
          <w:szCs w:val="12"/>
          <w:color w:val="auto"/>
        </w:rPr>
        <w:t>Underwriting income is net pre-tax income attributable to our insurance underwriting business before investment activity. It excludes net investment income, net realized gains from investments,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7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Our condensed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consolidated financial statements and related notes. In preparing these financial statements, our management has utilized information available including our past history, industry standards and the current economic environment, among other factors, in forming its estimates and judgments of certain amounts included in the consolidated financial statements, giving due consideration to materiality. It is possible that the ultimate outcome as anticipated by our management in formulating its estimates inherent in these financial statements might not materialize. However,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companies in similar businesses.</w:t>
      </w:r>
    </w:p>
    <w:p>
      <w:pPr>
        <w:spacing w:after="0" w:line="13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34" w:name="page35"/>
    <w:bookmarkEnd w:id="34"/>
    <w:p>
      <w:pPr>
        <w:ind w:left="8"/>
        <w:spacing w:after="0"/>
        <w:rPr>
          <w:sz w:val="20"/>
          <w:szCs w:val="20"/>
          <w:color w:val="auto"/>
        </w:rPr>
      </w:pPr>
      <w:r>
        <w:rPr>
          <w:rFonts w:ascii="Arial" w:cs="Arial" w:eastAsia="Arial" w:hAnsi="Arial"/>
          <w:sz w:val="12"/>
          <w:szCs w:val="12"/>
          <w:b w:val="1"/>
          <w:bCs w:val="1"/>
          <w:color w:val="auto"/>
        </w:rPr>
        <w:t>Consolidated Results of Operations</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Six Months Ended June 30, 2015 Compared to Six Months Ended June 30, 2014</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the changes in the results of our operations (in thousands) for the periods indicated:</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0"/>
                <w:szCs w:val="10"/>
                <w:b w:val="1"/>
                <w:bCs w:val="1"/>
                <w:color w:val="auto"/>
              </w:rPr>
              <w:t>Six months ended June 30,</w:t>
            </w:r>
          </w:p>
        </w:tc>
        <w:tc>
          <w:tcPr>
            <w:tcW w:w="11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2"/>
        </w:trPr>
        <w:tc>
          <w:tcPr>
            <w:tcW w:w="59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 in thousands)</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2014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0"/>
                <w:szCs w:val="10"/>
                <w:b w:val="1"/>
                <w:bCs w:val="1"/>
                <w:color w:val="auto"/>
              </w:rPr>
              <w:t>Change</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Percent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Revenue</w:t>
            </w:r>
            <w:r>
              <w:rPr>
                <w:rFonts w:ascii="Arial" w:cs="Arial" w:eastAsia="Arial" w:hAnsi="Arial"/>
                <w:sz w:val="12"/>
                <w:szCs w:val="12"/>
                <w:color w:val="auto"/>
              </w:rPr>
              <w:t>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Direct written premiums</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42,656</w:t>
            </w:r>
          </w:p>
        </w:tc>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36,598</w:t>
            </w: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6,058</w:t>
            </w:r>
          </w:p>
        </w:tc>
        <w:tc>
          <w:tcPr>
            <w:tcW w:w="1320" w:type="dxa"/>
            <w:vAlign w:val="bottom"/>
            <w:gridSpan w:val="3"/>
          </w:tcPr>
          <w:p>
            <w:pPr>
              <w:jc w:val="right"/>
              <w:spacing w:after="0"/>
              <w:rPr>
                <w:sz w:val="20"/>
                <w:szCs w:val="20"/>
                <w:color w:val="auto"/>
              </w:rPr>
            </w:pPr>
            <w:r>
              <w:rPr>
                <w:rFonts w:ascii="Arial" w:cs="Arial" w:eastAsia="Arial" w:hAnsi="Arial"/>
                <w:sz w:val="12"/>
                <w:szCs w:val="12"/>
                <w:color w:val="auto"/>
              </w:rPr>
              <w:t>16.6 %</w:t>
            </w:r>
          </w:p>
        </w:tc>
      </w:tr>
      <w:tr>
        <w:trPr>
          <w:trHeight w:val="144"/>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Assumed written premiums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37.5</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2"/>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42,678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36,614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6,064</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16.6</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2"/>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Ceded written premiums</w:t>
            </w: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Ceded to quota share treaties</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16,012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19,997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(3,985)</w:t>
            </w:r>
          </w:p>
        </w:tc>
        <w:tc>
          <w:tcPr>
            <w:tcW w:w="1320" w:type="dxa"/>
            <w:vAlign w:val="bottom"/>
            <w:gridSpan w:val="3"/>
          </w:tcPr>
          <w:p>
            <w:pPr>
              <w:jc w:val="right"/>
              <w:spacing w:after="0"/>
              <w:rPr>
                <w:sz w:val="20"/>
                <w:szCs w:val="20"/>
                <w:color w:val="auto"/>
              </w:rPr>
            </w:pPr>
            <w:r>
              <w:rPr>
                <w:rFonts w:ascii="Arial" w:cs="Arial" w:eastAsia="Arial" w:hAnsi="Arial"/>
                <w:sz w:val="12"/>
                <w:szCs w:val="12"/>
                <w:color w:val="auto"/>
              </w:rPr>
              <w:t>(19.9) %</w:t>
            </w: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Ceded to excess of loss treaties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577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424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153</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36.1</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Ceded to catastrophe treaties</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2,079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1,107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972</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87.8</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Total ceded written premiums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18,668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21,528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(2,860)</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(13.3) %</w:t>
            </w:r>
          </w:p>
        </w:tc>
      </w:tr>
      <w:tr>
        <w:trPr>
          <w:trHeight w:val="142"/>
        </w:trPr>
        <w:tc>
          <w:tcPr>
            <w:tcW w:w="5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Net written premiums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24,010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15,086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8,924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59.2</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Change in net unearned premiums</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(2,758)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(2,730)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(28)</w:t>
            </w:r>
          </w:p>
        </w:tc>
        <w:tc>
          <w:tcPr>
            <w:tcW w:w="11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Net premiums earned</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21,252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12,356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8,896</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72.0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2"/>
        </w:trPr>
        <w:tc>
          <w:tcPr>
            <w:tcW w:w="5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Ceding commission revenue</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Excluding the effect of catastrophes</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8,026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7,604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422</w:t>
            </w:r>
          </w:p>
        </w:tc>
        <w:tc>
          <w:tcPr>
            <w:tcW w:w="1140" w:type="dxa"/>
            <w:vAlign w:val="bottom"/>
          </w:tcPr>
          <w:p>
            <w:pPr>
              <w:jc w:val="right"/>
              <w:spacing w:after="0"/>
              <w:rPr>
                <w:sz w:val="20"/>
                <w:szCs w:val="20"/>
                <w:color w:val="auto"/>
              </w:rPr>
            </w:pPr>
            <w:r>
              <w:rPr>
                <w:rFonts w:ascii="Arial" w:cs="Arial" w:eastAsia="Arial" w:hAnsi="Arial"/>
                <w:sz w:val="12"/>
                <w:szCs w:val="12"/>
                <w:color w:val="auto"/>
              </w:rPr>
              <w:t>5.5</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Effect of catastrophes (1)</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(1,281)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(764)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120"/>
              <w:spacing w:after="0"/>
              <w:rPr>
                <w:sz w:val="20"/>
                <w:szCs w:val="20"/>
                <w:color w:val="auto"/>
              </w:rPr>
            </w:pPr>
            <w:r>
              <w:rPr>
                <w:rFonts w:ascii="Arial" w:cs="Arial" w:eastAsia="Arial" w:hAnsi="Arial"/>
                <w:sz w:val="12"/>
                <w:szCs w:val="12"/>
                <w:color w:val="auto"/>
              </w:rPr>
              <w:t>Total ceding commission revenue</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6,745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7,087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(342)</w:t>
            </w:r>
          </w:p>
        </w:tc>
        <w:tc>
          <w:tcPr>
            <w:tcW w:w="1320" w:type="dxa"/>
            <w:vAlign w:val="bottom"/>
            <w:gridSpan w:val="3"/>
          </w:tcPr>
          <w:p>
            <w:pPr>
              <w:jc w:val="right"/>
              <w:spacing w:after="0"/>
              <w:rPr>
                <w:sz w:val="20"/>
                <w:szCs w:val="20"/>
                <w:color w:val="auto"/>
              </w:rPr>
            </w:pPr>
            <w:r>
              <w:rPr>
                <w:rFonts w:ascii="Arial" w:cs="Arial" w:eastAsia="Arial" w:hAnsi="Arial"/>
                <w:sz w:val="12"/>
                <w:szCs w:val="12"/>
                <w:color w:val="auto"/>
              </w:rPr>
              <w:t>(4.8) %</w:t>
            </w: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Net investment income</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1,200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831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369</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44.4</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Net realized gain on investments</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(65)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323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(388)</w:t>
            </w:r>
          </w:p>
        </w:tc>
        <w:tc>
          <w:tcPr>
            <w:tcW w:w="1320" w:type="dxa"/>
            <w:vAlign w:val="bottom"/>
            <w:gridSpan w:val="3"/>
          </w:tcPr>
          <w:p>
            <w:pPr>
              <w:jc w:val="right"/>
              <w:spacing w:after="0"/>
              <w:rPr>
                <w:sz w:val="20"/>
                <w:szCs w:val="20"/>
                <w:color w:val="auto"/>
              </w:rPr>
            </w:pPr>
            <w:r>
              <w:rPr>
                <w:rFonts w:ascii="Arial" w:cs="Arial" w:eastAsia="Arial" w:hAnsi="Arial"/>
                <w:sz w:val="12"/>
                <w:szCs w:val="12"/>
                <w:color w:val="auto"/>
              </w:rPr>
              <w:t>(120.1) %</w:t>
            </w: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Other income</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1,024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478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546</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114.2</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Total revenues</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30,156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21,075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9,081</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43.1</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2"/>
        </w:trPr>
        <w:tc>
          <w:tcPr>
            <w:tcW w:w="5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0"/>
              <w:spacing w:after="0"/>
              <w:rPr>
                <w:sz w:val="20"/>
                <w:szCs w:val="20"/>
                <w:color w:val="auto"/>
              </w:rPr>
            </w:pPr>
            <w:r>
              <w:rPr>
                <w:rFonts w:ascii="Arial" w:cs="Arial" w:eastAsia="Arial" w:hAnsi="Arial"/>
                <w:sz w:val="12"/>
                <w:szCs w:val="12"/>
                <w:b w:val="1"/>
                <w:bCs w:val="1"/>
                <w:color w:val="auto"/>
              </w:rPr>
              <w:t>Expense</w:t>
            </w:r>
            <w:r>
              <w:rPr>
                <w:rFonts w:ascii="Arial" w:cs="Arial" w:eastAsia="Arial" w:hAnsi="Arial"/>
                <w:sz w:val="12"/>
                <w:szCs w:val="12"/>
                <w:color w:val="auto"/>
              </w:rPr>
              <w:t>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Loss and loss adjustment expenses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Direct and assumed:</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Loss and loss adjustment expenses excluding the effect of catastrophes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16,477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15,223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1,254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Losses from catastrophes (1)</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4,472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3,764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708</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18.8</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direct and assumed loss and loss adjustment expenses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20,949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18,987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1,962</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10.3</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2"/>
        </w:trPr>
        <w:tc>
          <w:tcPr>
            <w:tcW w:w="5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Ceded loss and loss adjustment expenses: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Loss and loss adjustment expenses excluding the effect of catastrophes</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6,655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8,831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(2,176)</w:t>
            </w:r>
          </w:p>
        </w:tc>
        <w:tc>
          <w:tcPr>
            <w:tcW w:w="1320" w:type="dxa"/>
            <w:vAlign w:val="bottom"/>
            <w:gridSpan w:val="3"/>
          </w:tcPr>
          <w:p>
            <w:pPr>
              <w:jc w:val="right"/>
              <w:spacing w:after="0"/>
              <w:rPr>
                <w:sz w:val="20"/>
                <w:szCs w:val="20"/>
                <w:color w:val="auto"/>
              </w:rPr>
            </w:pPr>
            <w:r>
              <w:rPr>
                <w:rFonts w:ascii="Arial" w:cs="Arial" w:eastAsia="Arial" w:hAnsi="Arial"/>
                <w:sz w:val="12"/>
                <w:szCs w:val="12"/>
                <w:color w:val="auto"/>
              </w:rPr>
              <w:t>(24.6) %</w:t>
            </w: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Losses from catastrophes (1)</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2,460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2,823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(363)</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(12.9) %</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Total ceded loss and loss adjustment expenses</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9,115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11,654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(2,539)</w:t>
            </w:r>
          </w:p>
        </w:tc>
        <w:tc>
          <w:tcPr>
            <w:tcW w:w="1320" w:type="dxa"/>
            <w:vAlign w:val="bottom"/>
            <w:gridSpan w:val="3"/>
          </w:tcPr>
          <w:p>
            <w:pPr>
              <w:jc w:val="right"/>
              <w:spacing w:after="0"/>
              <w:rPr>
                <w:sz w:val="20"/>
                <w:szCs w:val="20"/>
                <w:color w:val="auto"/>
              </w:rPr>
            </w:pPr>
            <w:r>
              <w:rPr>
                <w:rFonts w:ascii="Arial" w:cs="Arial" w:eastAsia="Arial" w:hAnsi="Arial"/>
                <w:sz w:val="12"/>
                <w:szCs w:val="12"/>
                <w:color w:val="auto"/>
              </w:rPr>
              <w:t>(21.8) %</w:t>
            </w:r>
          </w:p>
        </w:tc>
      </w:tr>
      <w:tr>
        <w:trPr>
          <w:trHeight w:val="142"/>
        </w:trPr>
        <w:tc>
          <w:tcPr>
            <w:tcW w:w="5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Net loss and loss adjustment expenses: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Loss and loss adjustment expenses excluding the effect of catastrophes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9,822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6,392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3,430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53.7</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Losses from catastrophes (1)</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2,012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941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1,071</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113.8</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and loss adjustment expenses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7,333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4,501</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61.4</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2"/>
        </w:trPr>
        <w:tc>
          <w:tcPr>
            <w:tcW w:w="5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Commission expense</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7,012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5,486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1,526</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27.8</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Other underwriting expenses</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5,961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4,811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1,150</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23.9</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Other operating expenses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706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588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118</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20.1</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482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393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89</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22.6</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expenses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25,996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18,611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7,384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39.7</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2"/>
        </w:trPr>
        <w:tc>
          <w:tcPr>
            <w:tcW w:w="5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Income from operations before taxes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4,160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2,464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1,697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68.9</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Provision for income tax</w:t>
            </w:r>
          </w:p>
        </w:tc>
        <w:tc>
          <w:tcPr>
            <w:tcW w:w="28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2"/>
                <w:szCs w:val="12"/>
                <w:color w:val="auto"/>
              </w:rPr>
              <w:t>1,398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782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616</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78.8</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2"/>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Net income</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2,762</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1,682</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1,081</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64.3</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jc w:val="both"/>
        <w:ind w:left="8" w:hanging="8"/>
        <w:spacing w:after="0" w:line="298" w:lineRule="auto"/>
        <w:tabs>
          <w:tab w:leader="none" w:pos="187" w:val="left"/>
        </w:tabs>
        <w:numPr>
          <w:ilvl w:val="0"/>
          <w:numId w:val="6"/>
        </w:numPr>
        <w:rPr>
          <w:rFonts w:ascii="Arial" w:cs="Arial" w:eastAsia="Arial" w:hAnsi="Arial"/>
          <w:sz w:val="11"/>
          <w:szCs w:val="11"/>
          <w:color w:val="auto"/>
        </w:rPr>
      </w:pPr>
      <w:r>
        <w:rPr>
          <w:rFonts w:ascii="Arial" w:cs="Arial" w:eastAsia="Arial" w:hAnsi="Arial"/>
          <w:sz w:val="11"/>
          <w:szCs w:val="11"/>
          <w:color w:val="auto"/>
        </w:rPr>
        <w:t>For the six months ended June 30, 2015 and 2014, includes the effects of severe winter weather (which we define as a catastrophe).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4"/>
          </w:tcPr>
          <w:p>
            <w:pPr>
              <w:jc w:val="center"/>
              <w:ind w:right="940"/>
              <w:spacing w:after="0"/>
              <w:rPr>
                <w:sz w:val="20"/>
                <w:szCs w:val="20"/>
                <w:color w:val="auto"/>
              </w:rPr>
            </w:pPr>
            <w:r>
              <w:rPr>
                <w:rFonts w:ascii="Arial" w:cs="Arial" w:eastAsia="Arial" w:hAnsi="Arial"/>
                <w:sz w:val="10"/>
                <w:szCs w:val="10"/>
                <w:b w:val="1"/>
                <w:bCs w:val="1"/>
                <w:color w:val="auto"/>
                <w:w w:val="83"/>
              </w:rPr>
              <w:t>Six months ended June 30,</w:t>
            </w:r>
          </w:p>
        </w:tc>
        <w:tc>
          <w:tcPr>
            <w:tcW w:w="11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2"/>
        </w:trPr>
        <w:tc>
          <w:tcPr>
            <w:tcW w:w="6000" w:type="dxa"/>
            <w:vAlign w:val="bottom"/>
          </w:tcPr>
          <w:p>
            <w:pPr>
              <w:spacing w:after="0"/>
              <w:rPr>
                <w:sz w:val="12"/>
                <w:szCs w:val="12"/>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2015</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w w:val="87"/>
              </w:rPr>
              <w:t>Percentage Point Change</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b w:val="1"/>
                <w:bCs w:val="1"/>
                <w:color w:val="auto"/>
              </w:rPr>
              <w:t>Percent Change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86"/>
        </w:trPr>
        <w:tc>
          <w:tcPr>
            <w:tcW w:w="6800" w:type="dxa"/>
            <w:vAlign w:val="bottom"/>
            <w:gridSpan w:val="2"/>
          </w:tcPr>
          <w:p>
            <w:pPr>
              <w:ind w:left="20"/>
              <w:spacing w:after="0"/>
              <w:rPr>
                <w:sz w:val="20"/>
                <w:szCs w:val="20"/>
                <w:color w:val="auto"/>
              </w:rPr>
            </w:pPr>
            <w:r>
              <w:rPr>
                <w:rFonts w:ascii="Arial" w:cs="Arial" w:eastAsia="Arial" w:hAnsi="Arial"/>
                <w:sz w:val="12"/>
                <w:szCs w:val="12"/>
                <w:b w:val="1"/>
                <w:bCs w:val="1"/>
                <w:color w:val="auto"/>
              </w:rPr>
              <w:t>Key ratios: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4"/>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loss ratio</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w:t>
            </w:r>
          </w:p>
        </w:tc>
        <w:tc>
          <w:tcPr>
            <w:tcW w:w="28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w:t>
            </w:r>
          </w:p>
        </w:tc>
        <w:tc>
          <w:tcPr>
            <w:tcW w:w="28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3"/>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(3.6)</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(6.1) %</w:t>
            </w:r>
          </w:p>
        </w:tc>
      </w:tr>
      <w:tr>
        <w:trPr>
          <w:trHeight w:val="144"/>
        </w:trPr>
        <w:tc>
          <w:tcPr>
            <w:tcW w:w="6000" w:type="dxa"/>
            <w:vAlign w:val="bottom"/>
          </w:tcPr>
          <w:p>
            <w:pPr>
              <w:ind w:left="20"/>
              <w:spacing w:after="0"/>
              <w:rPr>
                <w:sz w:val="20"/>
                <w:szCs w:val="20"/>
                <w:color w:val="auto"/>
              </w:rPr>
            </w:pPr>
            <w:r>
              <w:rPr>
                <w:rFonts w:ascii="Arial" w:cs="Arial" w:eastAsia="Arial" w:hAnsi="Arial"/>
                <w:sz w:val="12"/>
                <w:szCs w:val="12"/>
                <w:color w:val="auto"/>
              </w:rPr>
              <w:t>Net underwriting expense ratio</w:t>
            </w:r>
          </w:p>
        </w:tc>
        <w:tc>
          <w:tcPr>
            <w:tcW w:w="8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27.2</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23.3</w:t>
            </w:r>
          </w:p>
        </w:tc>
        <w:tc>
          <w:tcPr>
            <w:tcW w:w="280" w:type="dxa"/>
            <w:vAlign w:val="bottom"/>
          </w:tcPr>
          <w:p>
            <w:pPr>
              <w:jc w:val="center"/>
              <w:spacing w:after="0"/>
              <w:rPr>
                <w:sz w:val="20"/>
                <w:szCs w:val="20"/>
                <w:color w:val="auto"/>
              </w:rPr>
            </w:pPr>
            <w:r>
              <w:rPr>
                <w:rFonts w:ascii="Arial" w:cs="Arial" w:eastAsia="Arial" w:hAnsi="Arial"/>
                <w:sz w:val="12"/>
                <w:szCs w:val="12"/>
                <w:color w:val="auto"/>
                <w:w w:val="93"/>
              </w:rPr>
              <w:t>%</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3.9</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16.7</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6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2"/>
        </w:trPr>
        <w:tc>
          <w:tcPr>
            <w:tcW w:w="6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combined ratio</w:t>
            </w: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w:t>
            </w:r>
          </w:p>
        </w:tc>
        <w:tc>
          <w:tcPr>
            <w:tcW w:w="280" w:type="dxa"/>
            <w:vAlign w:val="bottom"/>
            <w:tcBorders>
              <w:left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82.6</w:t>
            </w:r>
          </w:p>
        </w:tc>
        <w:tc>
          <w:tcPr>
            <w:tcW w:w="28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3"/>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0.3</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Direct Written Premiums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Direct written premiums during the six months ended June 30, 2015 (“2015”) were $42,656,000 compared to $36,598,000 during the six months ended June 30, 2014 (“2014”). The increase of $6,058,000, or 16.6%, was primarily due to an increase in policies in-force during 2015 as compared to 2014. We wrote more new policies as a result of continued demand for our products in the markets that we serve. Policies in-force increased by 18.3% as of June 30, 2015 compared to June 30, 2014.</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growth rate in direct premiums written was dampened somewhat due to the suspension, effective October 1, 2014, of the writing of new policies in our commercial auto line of business due to a history of poor underwriting results. Our direct written premiums in our other lines of business grew by 22.1% in 2015 compared to 2014.</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Net Written Premiums and Net Premiums Earned</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following table describes the quota share reinsurance rates in effect during 2015 and 2014. For purposes of the discussion herein, the change in quota share rates on July 1 of each year will be referred to as “the Cut-off”. This table should be referred to in conjunction with the discussions for net written premiums, net premiums earned, ceding commission revenue and net loss and loss adjustment expenses that follow.</w:t>
      </w:r>
    </w:p>
    <w:p>
      <w:pPr>
        <w:spacing w:after="0" w:line="166" w:lineRule="exact"/>
        <w:rPr>
          <w:sz w:val="20"/>
          <w:szCs w:val="20"/>
          <w:color w:val="auto"/>
        </w:rPr>
      </w:pPr>
    </w:p>
    <w:p>
      <w:pPr>
        <w:jc w:val="center"/>
        <w:ind w:left="8620"/>
        <w:spacing w:after="0"/>
        <w:rPr>
          <w:sz w:val="20"/>
          <w:szCs w:val="20"/>
          <w:color w:val="auto"/>
        </w:rPr>
      </w:pPr>
      <w:r>
        <w:rPr>
          <w:rFonts w:ascii="Arial" w:cs="Arial" w:eastAsia="Arial" w:hAnsi="Arial"/>
          <w:sz w:val="10"/>
          <w:szCs w:val="10"/>
          <w:b w:val="1"/>
          <w:bCs w:val="1"/>
          <w:color w:val="auto"/>
        </w:rPr>
        <w:t>Six months ended</w:t>
      </w:r>
    </w:p>
    <w:p>
      <w:pPr>
        <w:jc w:val="center"/>
        <w:ind w:left="8620"/>
        <w:spacing w:after="0" w:line="216" w:lineRule="auto"/>
        <w:rPr>
          <w:sz w:val="20"/>
          <w:szCs w:val="20"/>
          <w:color w:val="auto"/>
        </w:rPr>
      </w:pPr>
      <w:r>
        <w:rPr>
          <w:rFonts w:ascii="Arial" w:cs="Arial" w:eastAsia="Arial" w:hAnsi="Arial"/>
          <w:sz w:val="10"/>
          <w:szCs w:val="10"/>
          <w:b w:val="1"/>
          <w:bCs w:val="1"/>
          <w:color w:val="auto"/>
        </w:rPr>
        <w:t>June 30,</w:t>
      </w:r>
    </w:p>
    <w:tbl>
      <w:tblPr>
        <w:tblLayout w:type="fixed"/>
        <w:tblInd w:w="0" w:type="dxa"/>
        <w:tblCellMar>
          <w:top w:w="0" w:type="dxa"/>
          <w:left w:w="0" w:type="dxa"/>
          <w:bottom w:w="0" w:type="dxa"/>
          <w:right w:w="0" w:type="dxa"/>
        </w:tblCellMar>
      </w:tblPr>
      <w:tr>
        <w:trPr>
          <w:trHeight w:val="97"/>
        </w:trPr>
        <w:tc>
          <w:tcPr>
            <w:tcW w:w="8780" w:type="dxa"/>
            <w:vAlign w:val="bottom"/>
          </w:tcPr>
          <w:p>
            <w:pPr>
              <w:spacing w:after="0"/>
              <w:rPr>
                <w:sz w:val="8"/>
                <w:szCs w:val="8"/>
                <w:color w:val="auto"/>
              </w:rPr>
            </w:pPr>
          </w:p>
        </w:tc>
        <w:tc>
          <w:tcPr>
            <w:tcW w:w="1120" w:type="dxa"/>
            <w:vAlign w:val="bottom"/>
            <w:tcBorders>
              <w:top w:val="single" w:sz="8" w:color="auto"/>
              <w:bottom w:val="single" w:sz="8" w:color="auto"/>
            </w:tcBorders>
          </w:tcPr>
          <w:p>
            <w:pPr>
              <w:jc w:val="right"/>
              <w:ind w:right="406"/>
              <w:spacing w:after="0" w:line="97" w:lineRule="exact"/>
              <w:rPr>
                <w:sz w:val="20"/>
                <w:szCs w:val="20"/>
                <w:color w:val="auto"/>
              </w:rPr>
            </w:pPr>
            <w:r>
              <w:rPr>
                <w:rFonts w:ascii="Arial" w:cs="Arial" w:eastAsia="Arial" w:hAnsi="Arial"/>
                <w:sz w:val="10"/>
                <w:szCs w:val="10"/>
                <w:b w:val="1"/>
                <w:bCs w:val="1"/>
                <w:color w:val="auto"/>
              </w:rPr>
              <w:t>2015</w:t>
            </w:r>
          </w:p>
        </w:tc>
        <w:tc>
          <w:tcPr>
            <w:tcW w:w="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40" w:type="dxa"/>
            <w:vAlign w:val="bottom"/>
            <w:tcBorders>
              <w:top w:val="single" w:sz="8" w:color="auto"/>
              <w:bottom w:val="single" w:sz="8" w:color="auto"/>
            </w:tcBorders>
          </w:tcPr>
          <w:p>
            <w:pPr>
              <w:jc w:val="right"/>
              <w:ind w:right="426"/>
              <w:spacing w:after="0" w:line="97" w:lineRule="exact"/>
              <w:rPr>
                <w:sz w:val="20"/>
                <w:szCs w:val="20"/>
                <w:color w:val="auto"/>
              </w:rPr>
            </w:pPr>
            <w:r>
              <w:rPr>
                <w:rFonts w:ascii="Arial" w:cs="Arial" w:eastAsia="Arial" w:hAnsi="Arial"/>
                <w:sz w:val="10"/>
                <w:szCs w:val="10"/>
                <w:b w:val="1"/>
                <w:bCs w:val="1"/>
                <w:color w:val="auto"/>
              </w:rPr>
              <w:t>2014</w:t>
            </w:r>
          </w:p>
        </w:tc>
        <w:tc>
          <w:tcPr>
            <w:tcW w:w="160" w:type="dxa"/>
            <w:vAlign w:val="bottom"/>
          </w:tcPr>
          <w:p>
            <w:pPr>
              <w:spacing w:after="0"/>
              <w:rPr>
                <w:sz w:val="8"/>
                <w:szCs w:val="8"/>
                <w:color w:val="auto"/>
              </w:rPr>
            </w:pPr>
          </w:p>
        </w:tc>
      </w:tr>
      <w:tr>
        <w:trPr>
          <w:trHeight w:val="152"/>
        </w:trPr>
        <w:tc>
          <w:tcPr>
            <w:tcW w:w="8780" w:type="dxa"/>
            <w:vAlign w:val="bottom"/>
          </w:tcPr>
          <w:p>
            <w:pPr>
              <w:spacing w:after="0"/>
              <w:rPr>
                <w:sz w:val="13"/>
                <w:szCs w:val="13"/>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1"/>
              </w:rPr>
              <w:t>("2014/2015 Treaty")</w:t>
            </w:r>
          </w:p>
        </w:tc>
        <w:tc>
          <w:tcPr>
            <w:tcW w:w="240" w:type="dxa"/>
            <w:vAlign w:val="bottom"/>
          </w:tcPr>
          <w:p>
            <w:pPr>
              <w:spacing w:after="0"/>
              <w:rPr>
                <w:sz w:val="13"/>
                <w:szCs w:val="13"/>
                <w:color w:val="auto"/>
              </w:rPr>
            </w:pPr>
          </w:p>
        </w:tc>
        <w:tc>
          <w:tcPr>
            <w:tcW w:w="1140" w:type="dxa"/>
            <w:vAlign w:val="bottom"/>
          </w:tcPr>
          <w:p>
            <w:pPr>
              <w:jc w:val="right"/>
              <w:ind w:right="46"/>
              <w:spacing w:after="0"/>
              <w:rPr>
                <w:sz w:val="20"/>
                <w:szCs w:val="20"/>
                <w:color w:val="auto"/>
              </w:rPr>
            </w:pPr>
            <w:r>
              <w:rPr>
                <w:rFonts w:ascii="Arial" w:cs="Arial" w:eastAsia="Arial" w:hAnsi="Arial"/>
                <w:sz w:val="10"/>
                <w:szCs w:val="10"/>
                <w:b w:val="1"/>
                <w:bCs w:val="1"/>
                <w:color w:val="auto"/>
                <w:w w:val="97"/>
              </w:rPr>
              <w:t>("2013/2014 Treaties")</w:t>
            </w:r>
          </w:p>
        </w:tc>
        <w:tc>
          <w:tcPr>
            <w:tcW w:w="160" w:type="dxa"/>
            <w:vAlign w:val="bottom"/>
          </w:tcPr>
          <w:p>
            <w:pPr>
              <w:spacing w:after="0"/>
              <w:rPr>
                <w:sz w:val="13"/>
                <w:szCs w:val="13"/>
                <w:color w:val="auto"/>
              </w:rPr>
            </w:pPr>
          </w:p>
        </w:tc>
      </w:tr>
      <w:tr>
        <w:trPr>
          <w:trHeight w:val="278"/>
        </w:trPr>
        <w:tc>
          <w:tcPr>
            <w:tcW w:w="8780" w:type="dxa"/>
            <w:vAlign w:val="bottom"/>
          </w:tcPr>
          <w:p>
            <w:pPr>
              <w:ind w:left="20"/>
              <w:spacing w:after="0"/>
              <w:rPr>
                <w:sz w:val="20"/>
                <w:szCs w:val="20"/>
                <w:color w:val="auto"/>
              </w:rPr>
            </w:pPr>
            <w:r>
              <w:rPr>
                <w:rFonts w:ascii="Arial" w:cs="Arial" w:eastAsia="Arial" w:hAnsi="Arial"/>
                <w:sz w:val="12"/>
                <w:szCs w:val="12"/>
                <w:b w:val="1"/>
                <w:bCs w:val="1"/>
                <w:color w:val="auto"/>
              </w:rPr>
              <w:t>Quota share reinsurance rates</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4"/>
        </w:trPr>
        <w:tc>
          <w:tcPr>
            <w:tcW w:w="8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Personal lines</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55</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3"/>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780" w:type="dxa"/>
            <w:vAlign w:val="bottom"/>
          </w:tcPr>
          <w:p>
            <w:pPr>
              <w:ind w:left="20"/>
              <w:spacing w:after="0"/>
              <w:rPr>
                <w:sz w:val="20"/>
                <w:szCs w:val="20"/>
                <w:color w:val="auto"/>
              </w:rPr>
            </w:pPr>
            <w:r>
              <w:rPr>
                <w:rFonts w:ascii="Arial" w:cs="Arial" w:eastAsia="Arial" w:hAnsi="Arial"/>
                <w:sz w:val="12"/>
                <w:szCs w:val="12"/>
                <w:color w:val="auto"/>
              </w:rPr>
              <w:t>Commercial lines</w:t>
            </w: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none</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Net written premiums increased $8,924,000, or 59.2%, to $24,010,000 in 2015 from $15,086,000 in 2014. Net written premiums include direct and assumed premiums, less the amount of written premiums ceded under our reinsurance treaties (quota share, excess of loss and catastrophe). Our personal lines business is subject to a quota share treaty and our commercial lines business was subject to a quota share treaty through June 30, 2014. A reduction to the quota share percentage or elimination of a quota share treaty will reduce our ceded written premiums, which will result in a corresponding increase to our net written premiums. Effective July 1, 2014, we terminated our commercial lines quota share treaty. The previous commercial lines quota share treaty effective July 1, 2013 had a quota share percentage of 25%. Also, effective July 1, 2014, we decreased the quota share percentage in our personal lines quota share treaty from 75% to 55%. The Cut-off of these treaties on July 1, 2014 results in the return of unearned premiums from our reinsurers that were previously ceded under the expiring quota share treaties.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30" w:right="199" w:bottom="1440" w:gutter="0" w:footer="0" w:header="0"/>
        </w:sectPr>
      </w:pPr>
    </w:p>
    <w:bookmarkStart w:id="36" w:name="page37"/>
    <w:bookmarkEnd w:id="36"/>
    <w:p>
      <w:pPr>
        <w:jc w:val="both"/>
        <w:ind w:firstLine="432"/>
        <w:spacing w:after="0" w:line="259" w:lineRule="auto"/>
        <w:rPr>
          <w:sz w:val="20"/>
          <w:szCs w:val="20"/>
          <w:color w:val="auto"/>
        </w:rPr>
      </w:pPr>
      <w:r>
        <w:rPr>
          <w:rFonts w:ascii="Arial" w:cs="Arial" w:eastAsia="Arial" w:hAnsi="Arial"/>
          <w:sz w:val="12"/>
          <w:szCs w:val="12"/>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An increase in written premiums will also increase the premiums ceded under our excess of loss treaties, which will also reduce our net written premiums. In 2015, our catastrophe and excess of loss reinsurance premiums increased by $972,000 and $153,000, respectively, over the premiums in 2014.</w:t>
      </w:r>
    </w:p>
    <w:p>
      <w:pPr>
        <w:spacing w:after="0" w:line="1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Net premiums earned increased $8,896,000, or 72.0%, to $21,252,000 in 2015 from $12,356,000 in 2014. The increase was primarily due to us retaining more earned premiums as result of the reduction of the quota share percentage in our personal lines quota share treaty and the elimination of the commercial lines treaty on July 1, 2014. The decreases in our quota share percentages from the July 1, 2014 Cut-offs gave us a return of premiums previously ceded, which has the effect of increasing our net premiums earned during the twelve month period after the Cut-offs. In addition, as premiums written earn ratably over a twelve month period, net premiums earned in 2015 increased from the higher net written premiums for the twelve months ended June 30, 2015 compared to the twelve months ended June 30, 2014.</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Ceding Commission Revenue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table describes the quota share provisional ceding commission rates in effect during 2015 and 2014. This table should be referred to in conjunction with the discussion for ceding commission revenue that follows.</w:t>
      </w:r>
    </w:p>
    <w:p>
      <w:pPr>
        <w:spacing w:after="0" w:line="213" w:lineRule="exact"/>
        <w:rPr>
          <w:sz w:val="20"/>
          <w:szCs w:val="20"/>
          <w:color w:val="auto"/>
        </w:rPr>
      </w:pPr>
    </w:p>
    <w:p>
      <w:pPr>
        <w:jc w:val="center"/>
        <w:ind w:left="8620"/>
        <w:spacing w:after="0"/>
        <w:rPr>
          <w:sz w:val="20"/>
          <w:szCs w:val="20"/>
          <w:color w:val="auto"/>
        </w:rPr>
      </w:pPr>
      <w:r>
        <w:rPr>
          <w:rFonts w:ascii="Arial" w:cs="Arial" w:eastAsia="Arial" w:hAnsi="Arial"/>
          <w:sz w:val="10"/>
          <w:szCs w:val="10"/>
          <w:b w:val="1"/>
          <w:bCs w:val="1"/>
          <w:color w:val="auto"/>
        </w:rPr>
        <w:t>Six months ended</w:t>
      </w:r>
    </w:p>
    <w:p>
      <w:pPr>
        <w:jc w:val="center"/>
        <w:ind w:left="8620"/>
        <w:spacing w:after="0" w:line="216" w:lineRule="auto"/>
        <w:rPr>
          <w:sz w:val="20"/>
          <w:szCs w:val="20"/>
          <w:color w:val="auto"/>
        </w:rPr>
      </w:pPr>
      <w:r>
        <w:rPr>
          <w:rFonts w:ascii="Arial" w:cs="Arial" w:eastAsia="Arial" w:hAnsi="Arial"/>
          <w:sz w:val="10"/>
          <w:szCs w:val="10"/>
          <w:b w:val="1"/>
          <w:bCs w:val="1"/>
          <w:color w:val="auto"/>
        </w:rPr>
        <w:t>June 30,</w:t>
      </w:r>
    </w:p>
    <w:tbl>
      <w:tblPr>
        <w:tblLayout w:type="fixed"/>
        <w:tblInd w:w="0" w:type="dxa"/>
        <w:tblCellMar>
          <w:top w:w="0" w:type="dxa"/>
          <w:left w:w="0" w:type="dxa"/>
          <w:bottom w:w="0" w:type="dxa"/>
          <w:right w:w="0" w:type="dxa"/>
        </w:tblCellMar>
      </w:tblPr>
      <w:tr>
        <w:trPr>
          <w:trHeight w:val="97"/>
        </w:trPr>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060" w:type="dxa"/>
            <w:vAlign w:val="bottom"/>
            <w:tcBorders>
              <w:top w:val="single" w:sz="8" w:color="auto"/>
              <w:bottom w:val="single" w:sz="8" w:color="auto"/>
            </w:tcBorders>
          </w:tcPr>
          <w:p>
            <w:pPr>
              <w:jc w:val="right"/>
              <w:ind w:right="464"/>
              <w:spacing w:after="0" w:line="97" w:lineRule="exact"/>
              <w:rPr>
                <w:sz w:val="20"/>
                <w:szCs w:val="20"/>
                <w:color w:val="auto"/>
              </w:rPr>
            </w:pPr>
            <w:r>
              <w:rPr>
                <w:rFonts w:ascii="Arial" w:cs="Arial" w:eastAsia="Arial" w:hAnsi="Arial"/>
                <w:sz w:val="10"/>
                <w:szCs w:val="10"/>
                <w:b w:val="1"/>
                <w:bCs w:val="1"/>
                <w:color w:val="auto"/>
              </w:rPr>
              <w:t>2015</w:t>
            </w:r>
          </w:p>
        </w:tc>
        <w:tc>
          <w:tcPr>
            <w:tcW w:w="2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120" w:type="dxa"/>
            <w:vAlign w:val="bottom"/>
            <w:tcBorders>
              <w:top w:val="single" w:sz="8" w:color="auto"/>
              <w:bottom w:val="single" w:sz="8" w:color="auto"/>
            </w:tcBorders>
          </w:tcPr>
          <w:p>
            <w:pPr>
              <w:jc w:val="center"/>
              <w:spacing w:after="0" w:line="97" w:lineRule="exact"/>
              <w:rPr>
                <w:sz w:val="20"/>
                <w:szCs w:val="20"/>
                <w:color w:val="auto"/>
              </w:rPr>
            </w:pPr>
            <w:r>
              <w:rPr>
                <w:rFonts w:ascii="Arial" w:cs="Arial" w:eastAsia="Arial" w:hAnsi="Arial"/>
                <w:sz w:val="10"/>
                <w:szCs w:val="10"/>
                <w:b w:val="1"/>
                <w:bCs w:val="1"/>
                <w:color w:val="auto"/>
                <w:w w:val="80"/>
              </w:rPr>
              <w:t>2014</w:t>
            </w:r>
          </w:p>
        </w:tc>
        <w:tc>
          <w:tcPr>
            <w:tcW w:w="20" w:type="dxa"/>
            <w:vAlign w:val="bottom"/>
            <w:tcBorders>
              <w:top w:val="single" w:sz="8" w:color="auto"/>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52"/>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Arial" w:cs="Arial" w:eastAsia="Arial" w:hAnsi="Arial"/>
                <w:sz w:val="10"/>
                <w:szCs w:val="10"/>
                <w:b w:val="1"/>
                <w:bCs w:val="1"/>
                <w:color w:val="auto"/>
              </w:rPr>
              <w:t>("2014/2015 Treaty")</w:t>
            </w:r>
          </w:p>
        </w:tc>
        <w:tc>
          <w:tcPr>
            <w:tcW w:w="114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("2013/2014 Treaties")</w:t>
            </w:r>
          </w:p>
        </w:tc>
        <w:tc>
          <w:tcPr>
            <w:tcW w:w="160" w:type="dxa"/>
            <w:vAlign w:val="bottom"/>
          </w:tcPr>
          <w:p>
            <w:pPr>
              <w:spacing w:after="0"/>
              <w:rPr>
                <w:sz w:val="13"/>
                <w:szCs w:val="13"/>
                <w:color w:val="auto"/>
              </w:rPr>
            </w:pPr>
          </w:p>
        </w:tc>
      </w:tr>
      <w:tr>
        <w:trPr>
          <w:trHeight w:val="278"/>
        </w:trPr>
        <w:tc>
          <w:tcPr>
            <w:tcW w:w="6080" w:type="dxa"/>
            <w:vAlign w:val="bottom"/>
            <w:gridSpan w:val="2"/>
          </w:tcPr>
          <w:p>
            <w:pPr>
              <w:ind w:left="20"/>
              <w:spacing w:after="0"/>
              <w:rPr>
                <w:sz w:val="20"/>
                <w:szCs w:val="20"/>
                <w:color w:val="auto"/>
              </w:rPr>
            </w:pPr>
            <w:r>
              <w:rPr>
                <w:rFonts w:ascii="Arial" w:cs="Arial" w:eastAsia="Arial" w:hAnsi="Arial"/>
                <w:sz w:val="12"/>
                <w:szCs w:val="12"/>
                <w:b w:val="1"/>
                <w:bCs w:val="1"/>
                <w:color w:val="auto"/>
              </w:rPr>
              <w:t>Provisional ceding commission rate on quota share treaty</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Personal lines</w:t>
            </w: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40 %</w:t>
            </w:r>
          </w:p>
        </w:tc>
        <w:tc>
          <w:tcPr>
            <w:tcW w:w="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40 %</w:t>
            </w:r>
          </w:p>
        </w:tc>
      </w:tr>
      <w:tr>
        <w:trPr>
          <w:trHeight w:val="153"/>
        </w:trPr>
        <w:tc>
          <w:tcPr>
            <w:tcW w:w="6080" w:type="dxa"/>
            <w:vAlign w:val="bottom"/>
            <w:gridSpan w:val="2"/>
          </w:tcPr>
          <w:p>
            <w:pPr>
              <w:ind w:left="20"/>
              <w:spacing w:after="0"/>
              <w:rPr>
                <w:sz w:val="20"/>
                <w:szCs w:val="20"/>
                <w:color w:val="auto"/>
              </w:rPr>
            </w:pPr>
            <w:r>
              <w:rPr>
                <w:rFonts w:ascii="Arial" w:cs="Arial" w:eastAsia="Arial" w:hAnsi="Arial"/>
                <w:sz w:val="12"/>
                <w:szCs w:val="12"/>
                <w:color w:val="auto"/>
              </w:rPr>
              <w:t>Commercial lines</w:t>
            </w: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ind w:left="780"/>
              <w:spacing w:after="0"/>
              <w:rPr>
                <w:sz w:val="20"/>
                <w:szCs w:val="20"/>
                <w:color w:val="auto"/>
              </w:rPr>
            </w:pPr>
            <w:r>
              <w:rPr>
                <w:rFonts w:ascii="Arial" w:cs="Arial" w:eastAsia="Arial" w:hAnsi="Arial"/>
                <w:sz w:val="12"/>
                <w:szCs w:val="12"/>
                <w:color w:val="auto"/>
              </w:rPr>
              <w:t>none</w:t>
            </w:r>
          </w:p>
        </w:tc>
        <w:tc>
          <w:tcPr>
            <w:tcW w:w="1300" w:type="dxa"/>
            <w:vAlign w:val="bottom"/>
            <w:gridSpan w:val="3"/>
          </w:tcPr>
          <w:p>
            <w:pPr>
              <w:jc w:val="right"/>
              <w:spacing w:after="0"/>
              <w:rPr>
                <w:sz w:val="20"/>
                <w:szCs w:val="20"/>
                <w:color w:val="auto"/>
              </w:rPr>
            </w:pPr>
            <w:r>
              <w:rPr>
                <w:rFonts w:ascii="Arial" w:cs="Arial" w:eastAsia="Arial" w:hAnsi="Arial"/>
                <w:sz w:val="12"/>
                <w:szCs w:val="12"/>
                <w:color w:val="auto"/>
              </w:rPr>
              <w:t>36 %</w:t>
            </w:r>
          </w:p>
        </w:tc>
      </w:tr>
      <w:tr>
        <w:trPr>
          <w:trHeight w:val="297"/>
        </w:trPr>
        <w:tc>
          <w:tcPr>
            <w:tcW w:w="6920" w:type="dxa"/>
            <w:vAlign w:val="bottom"/>
            <w:gridSpan w:val="3"/>
          </w:tcPr>
          <w:p>
            <w:pPr>
              <w:ind w:left="420"/>
              <w:spacing w:after="0"/>
              <w:rPr>
                <w:sz w:val="20"/>
                <w:szCs w:val="20"/>
                <w:color w:val="auto"/>
              </w:rPr>
            </w:pPr>
            <w:r>
              <w:rPr>
                <w:rFonts w:ascii="Arial" w:cs="Arial" w:eastAsia="Arial" w:hAnsi="Arial"/>
                <w:sz w:val="12"/>
                <w:szCs w:val="12"/>
                <w:color w:val="auto"/>
                <w:w w:val="90"/>
              </w:rPr>
              <w:t>The following table summarizes the changes in the components of ceding commission revenue (in thousands) for the periods indicated:</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6"/>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0"/>
                <w:szCs w:val="10"/>
                <w:b w:val="1"/>
                <w:bCs w:val="1"/>
                <w:color w:val="auto"/>
              </w:rPr>
              <w:t>Six months ended June 30,</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6080" w:type="dxa"/>
            <w:vAlign w:val="bottom"/>
            <w:gridSpan w:val="2"/>
          </w:tcPr>
          <w:p>
            <w:pPr>
              <w:spacing w:after="0"/>
              <w:rPr>
                <w:sz w:val="20"/>
                <w:szCs w:val="20"/>
                <w:color w:val="auto"/>
              </w:rPr>
            </w:pPr>
            <w:r>
              <w:rPr>
                <w:rFonts w:ascii="Arial" w:cs="Arial" w:eastAsia="Arial" w:hAnsi="Arial"/>
                <w:sz w:val="10"/>
                <w:szCs w:val="10"/>
                <w:b w:val="1"/>
                <w:bCs w:val="1"/>
                <w:color w:val="auto"/>
              </w:rPr>
              <w:t>($ in thousands)</w:t>
            </w:r>
          </w:p>
        </w:tc>
        <w:tc>
          <w:tcPr>
            <w:tcW w:w="840" w:type="dxa"/>
            <w:vAlign w:val="bottom"/>
          </w:tcPr>
          <w:p>
            <w:pPr>
              <w:jc w:val="right"/>
              <w:ind w:right="111"/>
              <w:spacing w:after="0"/>
              <w:rPr>
                <w:sz w:val="20"/>
                <w:szCs w:val="20"/>
                <w:color w:val="auto"/>
              </w:rPr>
            </w:pPr>
            <w:r>
              <w:rPr>
                <w:rFonts w:ascii="Arial" w:cs="Arial" w:eastAsia="Arial" w:hAnsi="Arial"/>
                <w:sz w:val="10"/>
                <w:szCs w:val="10"/>
                <w:b w:val="1"/>
                <w:bCs w:val="1"/>
                <w:color w:val="auto"/>
              </w:rPr>
              <w:t>2015</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2014</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ind w:left="320"/>
              <w:spacing w:after="0"/>
              <w:rPr>
                <w:sz w:val="20"/>
                <w:szCs w:val="20"/>
                <w:color w:val="auto"/>
              </w:rPr>
            </w:pPr>
            <w:r>
              <w:rPr>
                <w:rFonts w:ascii="Arial" w:cs="Arial" w:eastAsia="Arial" w:hAnsi="Arial"/>
                <w:sz w:val="10"/>
                <w:szCs w:val="10"/>
                <w:b w:val="1"/>
                <w:bCs w:val="1"/>
                <w:color w:val="auto"/>
              </w:rPr>
              <w:t>Change</w:t>
            </w:r>
          </w:p>
        </w:tc>
        <w:tc>
          <w:tcPr>
            <w:tcW w:w="114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7"/>
              </w:rPr>
              <w:t>Percent</w:t>
            </w:r>
          </w:p>
        </w:tc>
        <w:tc>
          <w:tcPr>
            <w:tcW w:w="160" w:type="dxa"/>
            <w:vAlign w:val="bottom"/>
          </w:tcPr>
          <w:p>
            <w:pPr>
              <w:spacing w:after="0"/>
              <w:rPr>
                <w:sz w:val="12"/>
                <w:szCs w:val="12"/>
                <w:color w:val="auto"/>
              </w:rPr>
            </w:pPr>
          </w:p>
        </w:tc>
      </w:tr>
      <w:tr>
        <w:trPr>
          <w:trHeight w:val="142"/>
        </w:trPr>
        <w:tc>
          <w:tcPr>
            <w:tcW w:w="5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Provisional ceding commissions earned</w:t>
            </w:r>
          </w:p>
        </w:tc>
        <w:tc>
          <w:tcPr>
            <w:tcW w:w="840" w:type="dxa"/>
            <w:vAlign w:val="bottom"/>
            <w:shd w:val="clear" w:color="auto" w:fill="CCEEFF"/>
          </w:tcPr>
          <w:p>
            <w:pPr>
              <w:jc w:val="right"/>
              <w:ind w:right="73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5,880</w:t>
            </w:r>
          </w:p>
        </w:tc>
        <w:tc>
          <w:tcPr>
            <w:tcW w:w="76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(1,126)</w:t>
            </w:r>
          </w:p>
        </w:tc>
        <w:tc>
          <w:tcPr>
            <w:tcW w:w="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(16.1) %</w:t>
            </w:r>
          </w:p>
        </w:tc>
      </w:tr>
      <w:tr>
        <w:trPr>
          <w:trHeight w:val="142"/>
        </w:trPr>
        <w:tc>
          <w:tcPr>
            <w:tcW w:w="5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Contingent ceding commissions earned</w:t>
            </w: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Contingent ceding commissions earned excluding</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the effect of catastrophes</w:t>
            </w:r>
          </w:p>
        </w:tc>
        <w:tc>
          <w:tcPr>
            <w:tcW w:w="8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2,146</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598</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1,548</w:t>
            </w:r>
          </w:p>
        </w:tc>
        <w:tc>
          <w:tcPr>
            <w:tcW w:w="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Effect of catastrophes on ceding commissions earned</w:t>
            </w:r>
          </w:p>
        </w:tc>
        <w:tc>
          <w:tcPr>
            <w:tcW w:w="84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(1,281)</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(517)</w:t>
            </w:r>
          </w:p>
        </w:tc>
        <w:tc>
          <w:tcPr>
            <w:tcW w:w="8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(764)</w:t>
            </w:r>
          </w:p>
        </w:tc>
        <w:tc>
          <w:tcPr>
            <w:tcW w:w="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147.8</w:t>
            </w:r>
          </w:p>
        </w:tc>
        <w:tc>
          <w:tcPr>
            <w:tcW w:w="2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Contingent ceding commissions earned</w:t>
            </w:r>
          </w:p>
        </w:tc>
        <w:tc>
          <w:tcPr>
            <w:tcW w:w="8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865</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81</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784</w:t>
            </w:r>
          </w:p>
        </w:tc>
        <w:tc>
          <w:tcPr>
            <w:tcW w:w="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967.9 %</w:t>
            </w:r>
          </w:p>
        </w:tc>
      </w:tr>
      <w:tr>
        <w:trPr>
          <w:trHeight w:val="142"/>
        </w:trPr>
        <w:tc>
          <w:tcPr>
            <w:tcW w:w="5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gridSpan w:val="2"/>
          </w:tcPr>
          <w:p>
            <w:pPr>
              <w:spacing w:after="0"/>
              <w:rPr>
                <w:sz w:val="12"/>
                <w:szCs w:val="12"/>
                <w:color w:val="auto"/>
              </w:rPr>
            </w:pPr>
          </w:p>
        </w:tc>
      </w:tr>
      <w:tr>
        <w:trPr>
          <w:trHeight w:val="16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ceding commission revenue</w:t>
            </w:r>
          </w:p>
        </w:tc>
        <w:tc>
          <w:tcPr>
            <w:tcW w:w="840" w:type="dxa"/>
            <w:vAlign w:val="bottom"/>
            <w:shd w:val="clear" w:color="auto" w:fill="CCEEFF"/>
          </w:tcPr>
          <w:p>
            <w:pPr>
              <w:jc w:val="right"/>
              <w:ind w:right="73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9"/>
              </w:rPr>
              <w:t>6,745</w:t>
            </w:r>
          </w:p>
        </w:tc>
        <w:tc>
          <w:tcPr>
            <w:tcW w:w="76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6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7,087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(342)</w:t>
            </w:r>
          </w:p>
        </w:tc>
        <w:tc>
          <w:tcPr>
            <w:tcW w:w="2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(4.8) %</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Ceding commission revenue was $6,745,000 in 2015 compared to $7,087,000 in 2014. The decrease of $342,000, or 4.8%, was due to a decrease in provisional ceding commissions earned partially offset by an increase in contingent ceding commissions earned. We receive a provisional ceding commission based on ceded written premiums and a contingent ceding commission based on a sliding scale in relation to the losses incurred under our quota share treaties. The lower the ceded loss ratio, the more contingent commission we receive. The amount of contingent commissions we are eligible to receive under our personal lines quota share treaty in effect from July 1, 2014 to June 30, 2015 is subject to change based on losses incurred from claims with accident dates beginning July 1, 2014. The amount of contingent commissions we are eligible to receive under our prior years’ quota share treaties is subject to change based on losses incurred related to claims with accident dates before July 1, 2014 under those treaties. We did not renew our commercial lines quota share treaty upon its expiration on June 30, 2014.</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37" w:name="page38"/>
    <w:bookmarkEnd w:id="37"/>
    <w:p>
      <w:pPr>
        <w:ind w:left="420"/>
        <w:spacing w:after="0"/>
        <w:rPr>
          <w:sz w:val="20"/>
          <w:szCs w:val="20"/>
          <w:color w:val="auto"/>
        </w:rPr>
      </w:pPr>
      <w:r>
        <w:rPr>
          <w:rFonts w:ascii="Arial" w:cs="Arial" w:eastAsia="Arial" w:hAnsi="Arial"/>
          <w:sz w:val="12"/>
          <w:szCs w:val="12"/>
          <w:i w:val="1"/>
          <w:iCs w:val="1"/>
          <w:color w:val="auto"/>
        </w:rPr>
        <w:t>Provisional Ceding Commissions Earned</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$1,126,000 decrease in provisional ceding commissions earned is due to a decrease in the amount of premiums ceded as a result of the July 1, 2014 Cut-offs. Under the July 1, 2014 Cut-offs, our quota share percentages were reduced in our personal lines from 75% to 55% and in our commercial lines from 25% to 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Contingent Ceding Commissions Earned</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term of our personal lines reinsurance quota share treaty covers the period from July 1, 2013 to June 30, 2015 (“2013/2015 Treaty”). The 2013/2015 Treaty provides for contingent ceding commissions based on a sliding scale whereby we are entitled to receive between 40% - 57% of the ceded earned premiums; the lower the ceded loss ratio, the higher the percentage we were entitled to receive. The computation to arrive at contingent ceding commission revenue under the 2013/2015 Treaty includes catastrophe losses and LAE incurred from severe winter weather during 2015 and 2014 (see discussion of “Net Loss and LAE” below). Such losses increased our ceded loss ratio in our 2013/2015 Treaty, which reduced our contingent ceding commission revenue in accordance with the sliding scale discussed above in 2015 and 2014 by $1,281,000 and $517,000, respectively. See “Reinsurance” below for changes to our personal lines quota share treaty effective July 1, 2015.</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Net Investment Income</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Net investment income was $1,200,000 in 2015 compared to $831,000 in 2014. The increase of $369,000, or 44.4%, was due to an increase in average invested assets in 2015. The increase in cash and invested assets resulted primarily from: (1) the proceeds of $18,804,000 that we received on December 13, 2013 from our public offering being fully deployed in 2015 as compared to the partial deployment in 2014 and (2) increased operating cash flows for the period after June 30, 2014. The pre-tax equivalent investment yield on estimated annual income, excluding cash, was 4.85% and 4.86% as of June 30, 2015 and 2014,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Other Income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Other income was $1,024,000 in 2015 compared to $478,000 in 2014. The increase of $546,000, or 114.2%, was primarily due to the $350,000 we received as early settlement of the termination agreement that generated placement fees in our premium finance business (see Note 12 to the Condensed Consolidated Financial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38" w:name="page39"/>
    <w:bookmarkEnd w:id="38"/>
    <w:p>
      <w:pPr>
        <w:spacing w:after="0"/>
        <w:rPr>
          <w:sz w:val="20"/>
          <w:szCs w:val="20"/>
          <w:color w:val="auto"/>
        </w:rPr>
      </w:pPr>
      <w:r>
        <w:rPr>
          <w:rFonts w:ascii="Arial" w:cs="Arial" w:eastAsia="Arial" w:hAnsi="Arial"/>
          <w:sz w:val="12"/>
          <w:szCs w:val="12"/>
          <w:u w:val="single" w:color="auto"/>
          <w:color w:val="auto"/>
        </w:rPr>
        <w:t>Net Loss and LAE</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Net loss and LAE was $11,834,000 in 2015 compared to $7,333,000 in 2014. The net loss ratio was 55.7% in 2015 compared to 59.3% in 2014, a decrease of 3.6 percentage points. 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90170</wp:posOffset>
            </wp:positionV>
            <wp:extent cx="2819400" cy="26193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19400"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During 2015, our net loss ratio decreased compared to 2014 due to a decrease in the core loss ratio excluding severe winter weather and prior year development. The core loss ratio declined 2.9 points, to 45.9% in 2015 from 48.8% in 2014. The impact of prior year loss and LAE development was negligible at 0.4% in 2015, compared to 2.9% in 2014, an improvement of 2.5 percentage points. The impact of severe winter weather is determined as the losses incurred over and above those expected in an average winter season. The impact of severe winter weather in 2015 was greater than the impact experienced in 2014, as severe winter weather had a 9.5% impact on the net loss ratio in 2015 compared to 7.6% in 2014. The provision in our current year catastrophe reinsurance treaty that added coverage for winter storm losses in excess of $4,000,000 over any 28 day period was not triggered by the winter weather in 2015. The improvement in the core net loss ratio was driven by favorable results for personal lines compared to 2014 and a continued shift in the net earned premium mix towards lines of business that have a lower core loss ratio such as personal lines and livery physical damage. See table below under “Additional Financial Information” summarizing net loss ratios by line of business.</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Commercial Auto Line of Business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 As of December 31, 2014, we had 730 commercial auto policies in force, which represented 1.6% of our policies in force. As of June 30, 2015, we had 390 commercial auto policies in force, which represented 0.8% of our policies in force.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39" w:name="page40"/>
    <w:bookmarkEnd w:id="39"/>
    <w:p>
      <w:pPr>
        <w:spacing w:after="0"/>
        <w:rPr>
          <w:sz w:val="20"/>
          <w:szCs w:val="20"/>
          <w:color w:val="auto"/>
        </w:rPr>
      </w:pPr>
      <w:r>
        <w:rPr>
          <w:rFonts w:ascii="Arial" w:cs="Arial" w:eastAsia="Arial" w:hAnsi="Arial"/>
          <w:sz w:val="12"/>
          <w:szCs w:val="12"/>
          <w:u w:val="single" w:color="auto"/>
          <w:color w:val="auto"/>
        </w:rPr>
        <w:t>Commission Expense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Commission expense was $7,012,000 in 2015 or 18.0% of direct earned premiums. Commission expense was $5,486,000 in 2014 or 17.3% of direct earned premiums. The increase of $1,526,000, or 27.8%, is due to the increase in direct written premiums in 2015 as compared to 2014, a change in the mix of business to lines of business with higher commission rates, and an increase in contingent commissions.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Other Underwriting Expenses</w:t>
      </w:r>
    </w:p>
    <w:p>
      <w:pPr>
        <w:spacing w:after="0" w:line="1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Other underwriting expenses were $5,961,000 in 2015 compared to $4,811,000 in 2014. The increase of $1,150,000, or 23.9%, in other underwriting expenses was primarily due to expenses directly and indirectly related to growth in direct written premiums, and rate increases in state assessed regulatory fees and state taxes based on premiums written.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Salaries and employment costs were $2,678,000 in 2015 compared to $2,182,000 in 2014. The increase of $496,000, or 22.7%, was due to hiring of additional staff to service our current level of business and anticipated growth in volume. In addition, there were annual rate increases in both salaries and the cost of employee benefits. Other underwriting expenses as a percentage of direct written premiums increased to 14.0% in 2015 from 13.1% in 2014. Other underwriting expenses as a percentage of direct earned premiums increased to 15.3% in 2015 from 15.2% in 2014.</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net underwriting expense ratio in 2015 was 27.2% compared with 23.3% in 2014. The following table shows the individual components of our net underwriting expense ratio for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ind w:right="44"/>
              <w:spacing w:after="0"/>
              <w:rPr>
                <w:sz w:val="20"/>
                <w:szCs w:val="20"/>
                <w:color w:val="auto"/>
              </w:rPr>
            </w:pPr>
            <w:r>
              <w:rPr>
                <w:rFonts w:ascii="Arial" w:cs="Arial" w:eastAsia="Arial" w:hAnsi="Arial"/>
                <w:sz w:val="10"/>
                <w:szCs w:val="10"/>
                <w:b w:val="1"/>
                <w:bCs w:val="1"/>
                <w:color w:val="auto"/>
                <w:w w:val="83"/>
              </w:rPr>
              <w:t>Six months ended</w:t>
            </w: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14"/>
        </w:trPr>
        <w:tc>
          <w:tcPr>
            <w:tcW w:w="48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center"/>
              <w:ind w:right="24"/>
              <w:spacing w:after="0" w:line="114" w:lineRule="exact"/>
              <w:rPr>
                <w:sz w:val="20"/>
                <w:szCs w:val="20"/>
                <w:color w:val="auto"/>
              </w:rPr>
            </w:pPr>
            <w:r>
              <w:rPr>
                <w:rFonts w:ascii="Arial" w:cs="Arial" w:eastAsia="Arial" w:hAnsi="Arial"/>
                <w:sz w:val="10"/>
                <w:szCs w:val="10"/>
                <w:b w:val="1"/>
                <w:bCs w:val="1"/>
                <w:color w:val="auto"/>
                <w:w w:val="84"/>
              </w:rPr>
              <w:t>June 30,</w:t>
            </w:r>
          </w:p>
        </w:tc>
        <w:tc>
          <w:tcPr>
            <w:tcW w:w="13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5"/>
              </w:rPr>
              <w:t>Percentage</w:t>
            </w:r>
          </w:p>
        </w:tc>
        <w:tc>
          <w:tcPr>
            <w:tcW w:w="260" w:type="dxa"/>
            <w:vAlign w:val="bottom"/>
          </w:tcPr>
          <w:p>
            <w:pPr>
              <w:spacing w:after="0"/>
              <w:rPr>
                <w:sz w:val="9"/>
                <w:szCs w:val="9"/>
                <w:color w:val="auto"/>
              </w:rPr>
            </w:pPr>
          </w:p>
        </w:tc>
      </w:tr>
      <w:tr>
        <w:trPr>
          <w:trHeight w:val="142"/>
        </w:trPr>
        <w:tc>
          <w:tcPr>
            <w:tcW w:w="5760" w:type="dxa"/>
            <w:vAlign w:val="bottom"/>
            <w:gridSpan w:val="2"/>
          </w:tcPr>
          <w:p>
            <w:pPr>
              <w:ind w:left="5400"/>
              <w:spacing w:after="0"/>
              <w:rPr>
                <w:sz w:val="20"/>
                <w:szCs w:val="20"/>
                <w:color w:val="auto"/>
              </w:rPr>
            </w:pPr>
            <w:r>
              <w:rPr>
                <w:rFonts w:ascii="Arial" w:cs="Arial" w:eastAsia="Arial" w:hAnsi="Arial"/>
                <w:sz w:val="10"/>
                <w:szCs w:val="10"/>
                <w:b w:val="1"/>
                <w:bCs w:val="1"/>
                <w:color w:val="auto"/>
              </w:rPr>
              <w:t>2015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jc w:val="right"/>
              <w:ind w:right="522"/>
              <w:spacing w:after="0"/>
              <w:rPr>
                <w:sz w:val="20"/>
                <w:szCs w:val="20"/>
                <w:color w:val="auto"/>
              </w:rPr>
            </w:pPr>
            <w:r>
              <w:rPr>
                <w:rFonts w:ascii="Arial" w:cs="Arial" w:eastAsia="Arial" w:hAnsi="Arial"/>
                <w:sz w:val="10"/>
                <w:szCs w:val="10"/>
                <w:b w:val="1"/>
                <w:bCs w:val="1"/>
                <w:color w:val="auto"/>
              </w:rPr>
              <w:t>2014</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6"/>
              </w:rPr>
              <w:t>Point Change</w:t>
            </w:r>
          </w:p>
        </w:tc>
        <w:tc>
          <w:tcPr>
            <w:tcW w:w="26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4"/>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Ceding commission revenue - provisional</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(27.7</w:t>
            </w:r>
          </w:p>
        </w:tc>
        <w:tc>
          <w:tcPr>
            <w:tcW w:w="9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 %</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(56.6</w:t>
            </w:r>
          </w:p>
        </w:tc>
        <w:tc>
          <w:tcPr>
            <w:tcW w:w="8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 %</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28.9</w:t>
            </w:r>
          </w:p>
        </w:tc>
        <w:tc>
          <w:tcPr>
            <w:tcW w:w="260" w:type="dxa"/>
            <w:vAlign w:val="bottom"/>
            <w:shd w:val="clear" w:color="auto" w:fill="CCEEFF"/>
          </w:tcPr>
          <w:p>
            <w:pPr>
              <w:spacing w:after="0"/>
              <w:rPr>
                <w:sz w:val="12"/>
                <w:szCs w:val="12"/>
                <w:color w:val="auto"/>
              </w:rPr>
            </w:pPr>
          </w:p>
        </w:tc>
      </w:tr>
      <w:tr>
        <w:trPr>
          <w:trHeight w:val="144"/>
        </w:trPr>
        <w:tc>
          <w:tcPr>
            <w:tcW w:w="5760" w:type="dxa"/>
            <w:vAlign w:val="bottom"/>
            <w:gridSpan w:val="2"/>
          </w:tcPr>
          <w:p>
            <w:pPr>
              <w:ind w:left="20"/>
              <w:spacing w:after="0"/>
              <w:rPr>
                <w:sz w:val="20"/>
                <w:szCs w:val="20"/>
                <w:color w:val="auto"/>
              </w:rPr>
            </w:pPr>
            <w:r>
              <w:rPr>
                <w:rFonts w:ascii="Arial" w:cs="Arial" w:eastAsia="Arial" w:hAnsi="Arial"/>
                <w:sz w:val="12"/>
                <w:szCs w:val="12"/>
                <w:color w:val="auto"/>
              </w:rPr>
              <w:t>Ceding commission revenue - contingent</w:t>
            </w:r>
          </w:p>
        </w:tc>
        <w:tc>
          <w:tcPr>
            <w:tcW w:w="420" w:type="dxa"/>
            <w:vAlign w:val="bottom"/>
          </w:tcPr>
          <w:p>
            <w:pPr>
              <w:jc w:val="right"/>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2"/>
                <w:szCs w:val="12"/>
                <w:color w:val="auto"/>
              </w:rPr>
            </w:pPr>
          </w:p>
        </w:tc>
        <w:tc>
          <w:tcPr>
            <w:tcW w:w="980" w:type="dxa"/>
            <w:vAlign w:val="bottom"/>
          </w:tcPr>
          <w:p>
            <w:pPr>
              <w:ind w:left="340"/>
              <w:spacing w:after="0"/>
              <w:rPr>
                <w:sz w:val="20"/>
                <w:szCs w:val="20"/>
                <w:color w:val="auto"/>
              </w:rPr>
            </w:pPr>
            <w:r>
              <w:rPr>
                <w:rFonts w:ascii="Arial" w:cs="Arial" w:eastAsia="Arial" w:hAnsi="Arial"/>
                <w:sz w:val="12"/>
                <w:szCs w:val="12"/>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(0.7</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(3.4</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w:t>
            </w:r>
          </w:p>
        </w:tc>
        <w:tc>
          <w:tcPr>
            <w:tcW w:w="8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w:t>
            </w:r>
          </w:p>
        </w:tc>
        <w:tc>
          <w:tcPr>
            <w:tcW w:w="260" w:type="dxa"/>
            <w:vAlign w:val="bottom"/>
            <w:shd w:val="clear" w:color="auto" w:fill="CCEEFF"/>
          </w:tcPr>
          <w:p>
            <w:pPr>
              <w:spacing w:after="0"/>
              <w:rPr>
                <w:sz w:val="12"/>
                <w:szCs w:val="12"/>
                <w:color w:val="auto"/>
              </w:rPr>
            </w:pPr>
          </w:p>
        </w:tc>
      </w:tr>
      <w:tr>
        <w:trPr>
          <w:trHeight w:val="144"/>
        </w:trPr>
        <w:tc>
          <w:tcPr>
            <w:tcW w:w="5760" w:type="dxa"/>
            <w:vAlign w:val="bottom"/>
            <w:gridSpan w:val="2"/>
          </w:tcPr>
          <w:p>
            <w:pPr>
              <w:ind w:left="20"/>
              <w:spacing w:after="0"/>
              <w:rPr>
                <w:sz w:val="20"/>
                <w:szCs w:val="20"/>
                <w:color w:val="auto"/>
              </w:rPr>
            </w:pPr>
            <w:r>
              <w:rPr>
                <w:rFonts w:ascii="Arial" w:cs="Arial" w:eastAsia="Arial" w:hAnsi="Arial"/>
                <w:sz w:val="12"/>
                <w:szCs w:val="12"/>
                <w:color w:val="auto"/>
              </w:rPr>
              <w:t>Acquistion costs and other underwriting expenses: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4"/>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Commission expense</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33.1</w:t>
            </w:r>
          </w:p>
        </w:tc>
        <w:tc>
          <w:tcPr>
            <w:tcW w:w="9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44.4</w:t>
            </w:r>
          </w:p>
        </w:tc>
        <w:tc>
          <w:tcPr>
            <w:tcW w:w="8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(11.3</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820" w:type="dxa"/>
            <w:vAlign w:val="bottom"/>
          </w:tcPr>
          <w:p>
            <w:pPr>
              <w:ind w:left="140"/>
              <w:spacing w:after="0"/>
              <w:rPr>
                <w:sz w:val="20"/>
                <w:szCs w:val="20"/>
                <w:color w:val="auto"/>
              </w:rPr>
            </w:pPr>
            <w:r>
              <w:rPr>
                <w:rFonts w:ascii="Arial" w:cs="Arial" w:eastAsia="Arial" w:hAnsi="Arial"/>
                <w:sz w:val="12"/>
                <w:szCs w:val="12"/>
                <w:color w:val="auto"/>
              </w:rPr>
              <w:t>Other underwriting expenses</w:t>
            </w: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28.0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38.9</w:t>
            </w:r>
          </w:p>
        </w:tc>
        <w:tc>
          <w:tcPr>
            <w:tcW w:w="860" w:type="dxa"/>
            <w:vAlign w:val="bottom"/>
          </w:tcPr>
          <w:p>
            <w:pPr>
              <w:spacing w:after="0"/>
              <w:rPr>
                <w:sz w:val="12"/>
                <w:szCs w:val="1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2"/>
                <w:szCs w:val="12"/>
                <w:color w:val="auto"/>
              </w:rPr>
              <w:t>(10.9</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48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underwriting expense ratio</w:t>
            </w:r>
          </w:p>
        </w:tc>
        <w:tc>
          <w:tcPr>
            <w:tcW w:w="9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right="24"/>
              <w:spacing w:after="0"/>
              <w:rPr>
                <w:sz w:val="20"/>
                <w:szCs w:val="20"/>
                <w:color w:val="auto"/>
              </w:rPr>
            </w:pPr>
            <w:r>
              <w:rPr>
                <w:rFonts w:ascii="Arial" w:cs="Arial" w:eastAsia="Arial" w:hAnsi="Arial"/>
                <w:sz w:val="12"/>
                <w:szCs w:val="12"/>
                <w:color w:val="auto"/>
                <w:w w:val="93"/>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23.3</w:t>
            </w:r>
          </w:p>
        </w:tc>
        <w:tc>
          <w:tcPr>
            <w:tcW w:w="8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w:t>
            </w:r>
          </w:p>
        </w:tc>
        <w:tc>
          <w:tcPr>
            <w:tcW w:w="260" w:type="dxa"/>
            <w:vAlign w:val="bottom"/>
            <w:shd w:val="clear" w:color="auto" w:fill="CCEEFF"/>
          </w:tcPr>
          <w:p>
            <w:pPr>
              <w:spacing w:after="0"/>
              <w:rPr>
                <w:sz w:val="14"/>
                <w:szCs w:val="14"/>
                <w:color w:val="auto"/>
              </w:rPr>
            </w:pPr>
          </w:p>
        </w:tc>
      </w:tr>
      <w:tr>
        <w:trPr>
          <w:trHeight w:val="20"/>
        </w:trPr>
        <w:tc>
          <w:tcPr>
            <w:tcW w:w="48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increase of 3.9 percentage points was due to the individual components of provisional ceding commission revenue, commission expense and other underwriting expenses and their relation to the increase in net premiums earned as a result of the additional retention resulting from the Cut-offs to our quota share treaties on July 1, 2014.</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Other Operating Expenses</w:t>
      </w:r>
    </w:p>
    <w:p>
      <w:pPr>
        <w:spacing w:after="0" w:line="168" w:lineRule="exact"/>
        <w:rPr>
          <w:sz w:val="20"/>
          <w:szCs w:val="20"/>
          <w:color w:val="auto"/>
        </w:rPr>
      </w:pPr>
    </w:p>
    <w:p>
      <w:pPr>
        <w:jc w:val="both"/>
        <w:ind w:firstLine="432"/>
        <w:spacing w:after="0" w:line="380" w:lineRule="auto"/>
        <w:rPr>
          <w:sz w:val="20"/>
          <w:szCs w:val="20"/>
          <w:color w:val="auto"/>
        </w:rPr>
      </w:pPr>
      <w:r>
        <w:rPr>
          <w:rFonts w:ascii="Arial" w:cs="Arial" w:eastAsia="Arial" w:hAnsi="Arial"/>
          <w:sz w:val="10"/>
          <w:szCs w:val="10"/>
          <w:color w:val="auto"/>
        </w:rPr>
        <w:t>Other operating expenses, related to the expenses of our holding company, were $706,000 in 2015 compared to $588,000 in 2014. The increase in 2015 of $118,000, or 20.1%, was primarily due to an increase in the rate of executive compensation, higher stock-based compensation expense from additional options granted to our chief executive officer in August 2014 pursuant to his amended employment agreement, and an increase in investor relation fees.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0" w:name="page41"/>
    <w:bookmarkEnd w:id="40"/>
    <w:p>
      <w:pPr>
        <w:ind w:left="20"/>
        <w:spacing w:after="0"/>
        <w:rPr>
          <w:sz w:val="20"/>
          <w:szCs w:val="20"/>
          <w:color w:val="auto"/>
        </w:rPr>
      </w:pPr>
      <w:r>
        <w:rPr>
          <w:rFonts w:ascii="Arial" w:cs="Arial" w:eastAsia="Arial" w:hAnsi="Arial"/>
          <w:sz w:val="12"/>
          <w:szCs w:val="12"/>
          <w:u w:val="single" w:color="auto"/>
          <w:color w:val="auto"/>
        </w:rPr>
        <w:t>Depreciation and Amortization</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Depreciation and amortization was $482,000 in 2015 compared to $393,000 in 2014. The increase of $89,000, or 22.6%, in depreciation and amortization was primarily due to depreciation on newly purchased assets used to upgrade our systems infrastructure and the building from which we operate.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Income Tax Expense</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Income tax expense in 2015 was $1,398,000, which resulted in an effective tax rate of 33.6%. Income tax expense in 2014 was $782,000, which resulted in an effective tax rate of 31.7%. Income before taxes was $4,160,000 in 2015 compared to $2,464,000 in 2014. The increase in the effective tax rate by 1.9 percentage points in 2015 is a result of the change in the enacted state tax rate resulting in a current period decrease in the deferred tax benefit of our state net operating losses, net of the corresponding valuation adjustment. This increase was partially offset by the benefits of permanent differences generated from investment income as a result of the increase in our invested assets.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Net Income</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Net income was $2,762,000 in 2015 compared to $1,682,000 in 2014. The increase in net income of $1,081,000, or 64.3%, was due to the circumstances described above that caused the increase in our net premiums earned, net investment income, and other income, and a decrease in our net loss ratio, partially offset by a decrease in net realized gains and ceding commission revenue, and increases in other underwriting expenses related to premium growth and other operating expenses.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Three Months Ended June 30, 2015 Compared to Three Months Ended June 30, 2014</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changes in the results of our operations (in thousands) for the periods indicated: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1" w:name="page42"/>
    <w:bookmarkEnd w:id="41"/>
    <w:tbl>
      <w:tblPr>
        <w:tblLayout w:type="fixed"/>
        <w:tblInd w:w="8" w:type="dxa"/>
        <w:tblCellMar>
          <w:top w:w="0" w:type="dxa"/>
          <w:left w:w="0" w:type="dxa"/>
          <w:bottom w:w="0" w:type="dxa"/>
          <w:right w:w="0" w:type="dxa"/>
        </w:tblCellMar>
      </w:tblPr>
      <w:tr>
        <w:trPr>
          <w:trHeight w:val="115"/>
        </w:trPr>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0"/>
                <w:szCs w:val="10"/>
                <w:b w:val="1"/>
                <w:bCs w:val="1"/>
                <w:color w:val="auto"/>
              </w:rPr>
              <w:t>Three months ended June 30,</w:t>
            </w:r>
          </w:p>
        </w:tc>
        <w:tc>
          <w:tcPr>
            <w:tcW w:w="11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2"/>
        </w:trPr>
        <w:tc>
          <w:tcPr>
            <w:tcW w:w="6080" w:type="dxa"/>
            <w:vAlign w:val="bottom"/>
            <w:gridSpan w:val="2"/>
          </w:tcPr>
          <w:p>
            <w:pPr>
              <w:spacing w:after="0"/>
              <w:rPr>
                <w:sz w:val="20"/>
                <w:szCs w:val="20"/>
                <w:color w:val="auto"/>
              </w:rPr>
            </w:pPr>
            <w:r>
              <w:rPr>
                <w:rFonts w:ascii="Arial" w:cs="Arial" w:eastAsia="Arial" w:hAnsi="Arial"/>
                <w:sz w:val="10"/>
                <w:szCs w:val="10"/>
                <w:b w:val="1"/>
                <w:bCs w:val="1"/>
                <w:color w:val="auto"/>
              </w:rPr>
              <w:t>($ in thousands)</w:t>
            </w:r>
          </w:p>
        </w:tc>
        <w:tc>
          <w:tcPr>
            <w:tcW w:w="280" w:type="dxa"/>
            <w:vAlign w:val="bottom"/>
          </w:tcPr>
          <w:p>
            <w:pPr>
              <w:spacing w:after="0"/>
              <w:rPr>
                <w:sz w:val="12"/>
                <w:szCs w:val="12"/>
                <w:color w:val="auto"/>
              </w:rPr>
            </w:pPr>
          </w:p>
        </w:tc>
        <w:tc>
          <w:tcPr>
            <w:tcW w:w="880" w:type="dxa"/>
            <w:vAlign w:val="bottom"/>
          </w:tcPr>
          <w:p>
            <w:pPr>
              <w:jc w:val="right"/>
              <w:ind w:right="420"/>
              <w:spacing w:after="0"/>
              <w:rPr>
                <w:sz w:val="20"/>
                <w:szCs w:val="20"/>
                <w:color w:val="auto"/>
              </w:rPr>
            </w:pPr>
            <w:r>
              <w:rPr>
                <w:rFonts w:ascii="Arial" w:cs="Arial" w:eastAsia="Arial" w:hAnsi="Arial"/>
                <w:sz w:val="10"/>
                <w:szCs w:val="10"/>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401"/>
              <w:spacing w:after="0"/>
              <w:rPr>
                <w:sz w:val="20"/>
                <w:szCs w:val="20"/>
                <w:color w:val="auto"/>
              </w:rPr>
            </w:pPr>
            <w:r>
              <w:rPr>
                <w:rFonts w:ascii="Arial" w:cs="Arial" w:eastAsia="Arial" w:hAnsi="Arial"/>
                <w:sz w:val="10"/>
                <w:szCs w:val="10"/>
                <w:b w:val="1"/>
                <w:bCs w:val="1"/>
                <w:color w:val="auto"/>
              </w:rPr>
              <w:t>2014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Percent</w:t>
            </w:r>
          </w:p>
        </w:tc>
        <w:tc>
          <w:tcPr>
            <w:tcW w:w="140" w:type="dxa"/>
            <w:vAlign w:val="bottom"/>
          </w:tcPr>
          <w:p>
            <w:pPr>
              <w:spacing w:after="0"/>
              <w:rPr>
                <w:sz w:val="12"/>
                <w:szCs w:val="12"/>
                <w:color w:val="auto"/>
              </w:rPr>
            </w:pPr>
          </w:p>
        </w:tc>
      </w:tr>
      <w:tr>
        <w:trPr>
          <w:trHeight w:val="142"/>
        </w:trPr>
        <w:tc>
          <w:tcPr>
            <w:tcW w:w="5980" w:type="dxa"/>
            <w:vAlign w:val="bottom"/>
            <w:tcBorders>
              <w:top w:val="single" w:sz="8" w:color="auto"/>
            </w:tcBorders>
          </w:tcPr>
          <w:p>
            <w:pPr>
              <w:ind w:left="20"/>
              <w:spacing w:after="0"/>
              <w:rPr>
                <w:sz w:val="20"/>
                <w:szCs w:val="20"/>
                <w:color w:val="auto"/>
              </w:rPr>
            </w:pPr>
            <w:r>
              <w:rPr>
                <w:rFonts w:ascii="Arial" w:cs="Arial" w:eastAsia="Arial" w:hAnsi="Arial"/>
                <w:sz w:val="12"/>
                <w:szCs w:val="12"/>
                <w:b w:val="1"/>
                <w:bCs w:val="1"/>
                <w:color w:val="auto"/>
              </w:rPr>
              <w:t>Revenue</w:t>
            </w:r>
            <w:r>
              <w:rPr>
                <w:rFonts w:ascii="Arial" w:cs="Arial" w:eastAsia="Arial" w:hAnsi="Arial"/>
                <w:sz w:val="12"/>
                <w:szCs w:val="12"/>
                <w:color w:val="auto"/>
              </w:rPr>
              <w:t>s</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Direct written premiums</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23,166</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20,251</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2,915</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14.4</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tcPr>
          <w:p>
            <w:pPr>
              <w:ind w:left="120"/>
              <w:spacing w:after="0"/>
              <w:rPr>
                <w:sz w:val="20"/>
                <w:szCs w:val="20"/>
                <w:color w:val="auto"/>
              </w:rPr>
            </w:pPr>
            <w:r>
              <w:rPr>
                <w:rFonts w:ascii="Arial" w:cs="Arial" w:eastAsia="Arial" w:hAnsi="Arial"/>
                <w:sz w:val="12"/>
                <w:szCs w:val="12"/>
                <w:color w:val="auto"/>
              </w:rPr>
              <w:t>Assumed written premiums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6</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75.0</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5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20,259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2,921</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14.4</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2"/>
        </w:trPr>
        <w:tc>
          <w:tcPr>
            <w:tcW w:w="6080" w:type="dxa"/>
            <w:vAlign w:val="bottom"/>
            <w:tcBorders>
              <w:top w:val="single" w:sz="8" w:color="CCEEFF"/>
            </w:tcBorders>
            <w:gridSpan w:val="2"/>
          </w:tcPr>
          <w:p>
            <w:pPr>
              <w:ind w:left="140"/>
              <w:spacing w:after="0"/>
              <w:rPr>
                <w:sz w:val="20"/>
                <w:szCs w:val="20"/>
                <w:color w:val="auto"/>
              </w:rPr>
            </w:pPr>
            <w:r>
              <w:rPr>
                <w:rFonts w:ascii="Arial" w:cs="Arial" w:eastAsia="Arial" w:hAnsi="Arial"/>
                <w:sz w:val="12"/>
                <w:szCs w:val="12"/>
                <w:color w:val="auto"/>
              </w:rPr>
              <w:t>Ceded written premiums</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Ceded to quota share treaties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10,973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(2,289)</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(20.9) %</w:t>
            </w: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Ceded to excess of loss treaties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224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46</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20.5</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Ceded to catastrophe treaties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561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533</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95.0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120"/>
              <w:spacing w:after="0"/>
              <w:rPr>
                <w:sz w:val="20"/>
                <w:szCs w:val="20"/>
                <w:color w:val="auto"/>
              </w:rPr>
            </w:pPr>
            <w:r>
              <w:rPr>
                <w:rFonts w:ascii="Arial" w:cs="Arial" w:eastAsia="Arial" w:hAnsi="Arial"/>
                <w:sz w:val="12"/>
                <w:szCs w:val="12"/>
                <w:color w:val="auto"/>
              </w:rPr>
              <w:t>Total ceded written premiums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10,048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11,758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(1,710)</w:t>
            </w:r>
          </w:p>
        </w:tc>
        <w:tc>
          <w:tcPr>
            <w:tcW w:w="1320" w:type="dxa"/>
            <w:vAlign w:val="bottom"/>
            <w:gridSpan w:val="3"/>
          </w:tcPr>
          <w:p>
            <w:pPr>
              <w:jc w:val="right"/>
              <w:spacing w:after="0"/>
              <w:rPr>
                <w:sz w:val="20"/>
                <w:szCs w:val="20"/>
                <w:color w:val="auto"/>
              </w:rPr>
            </w:pPr>
            <w:r>
              <w:rPr>
                <w:rFonts w:ascii="Arial" w:cs="Arial" w:eastAsia="Arial" w:hAnsi="Arial"/>
                <w:sz w:val="12"/>
                <w:szCs w:val="12"/>
                <w:color w:val="auto"/>
              </w:rPr>
              <w:t>(14.5) %</w:t>
            </w:r>
          </w:p>
        </w:tc>
      </w:tr>
      <w:tr>
        <w:trPr>
          <w:trHeight w:val="142"/>
        </w:trPr>
        <w:tc>
          <w:tcPr>
            <w:tcW w:w="5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Net written premiums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13,132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8,501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4,631</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54.5</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Change in net unearned premiums</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(2,266)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(2,072)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(194)</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Net premiums earned</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10,866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6,429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4,437</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69.0</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2"/>
        </w:trPr>
        <w:tc>
          <w:tcPr>
            <w:tcW w:w="5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Ceding commission revenue</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Excluding the effect of catastrophes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3,706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115</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Effect of catastrophes (1)</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(166)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(166)</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na</w:t>
            </w:r>
          </w:p>
        </w:tc>
        <w:tc>
          <w:tcPr>
            <w:tcW w:w="140" w:type="dxa"/>
            <w:vAlign w:val="bottom"/>
          </w:tcPr>
          <w:p>
            <w:pPr>
              <w:spacing w:after="0"/>
              <w:rPr>
                <w:sz w:val="12"/>
                <w:szCs w:val="12"/>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Total ceding commission revenue</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3,706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(1.4) %</w:t>
            </w: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Net investment income</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452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174</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38.5</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Net realized gain on investments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(133)</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(98.5) %</w:t>
            </w: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Other income</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251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142</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56.6</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revenues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15,542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10,973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4,569</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41.6</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2"/>
        </w:trPr>
        <w:tc>
          <w:tcPr>
            <w:tcW w:w="5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r>
      <w:tr>
        <w:trPr>
          <w:trHeight w:val="144"/>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Expense</w:t>
            </w:r>
            <w:r>
              <w:rPr>
                <w:rFonts w:ascii="Arial" w:cs="Arial" w:eastAsia="Arial" w:hAnsi="Arial"/>
                <w:sz w:val="12"/>
                <w:szCs w:val="12"/>
                <w:color w:val="auto"/>
              </w:rPr>
              <w:t>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Loss and loss adjustment expenses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Direct and assumed:</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Loss and loss adjustment expenses excluding the effect of catastrophes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8,051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7,944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107</w:t>
            </w:r>
          </w:p>
        </w:tc>
        <w:tc>
          <w:tcPr>
            <w:tcW w:w="1140" w:type="dxa"/>
            <w:vAlign w:val="bottom"/>
          </w:tcPr>
          <w:p>
            <w:pPr>
              <w:jc w:val="right"/>
              <w:spacing w:after="0"/>
              <w:rPr>
                <w:sz w:val="20"/>
                <w:szCs w:val="20"/>
                <w:color w:val="auto"/>
              </w:rPr>
            </w:pPr>
            <w:r>
              <w:rPr>
                <w:rFonts w:ascii="Arial" w:cs="Arial" w:eastAsia="Arial" w:hAnsi="Arial"/>
                <w:sz w:val="12"/>
                <w:szCs w:val="12"/>
                <w:color w:val="auto"/>
              </w:rPr>
              <w:t>1.3</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Losses from catastrophes (1)</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na</w:t>
            </w:r>
          </w:p>
        </w:tc>
        <w:tc>
          <w:tcPr>
            <w:tcW w:w="140" w:type="dxa"/>
            <w:vAlign w:val="bottom"/>
            <w:shd w:val="clear" w:color="auto" w:fill="CCEEFF"/>
          </w:tcPr>
          <w:p>
            <w:pPr>
              <w:spacing w:after="0"/>
              <w:rPr>
                <w:sz w:val="12"/>
                <w:szCs w:val="12"/>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Total direct and assumed loss and loss adjustment expenses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8,438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7,944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494</w:t>
            </w:r>
          </w:p>
        </w:tc>
        <w:tc>
          <w:tcPr>
            <w:tcW w:w="1140" w:type="dxa"/>
            <w:vAlign w:val="bottom"/>
          </w:tcPr>
          <w:p>
            <w:pPr>
              <w:jc w:val="right"/>
              <w:spacing w:after="0"/>
              <w:rPr>
                <w:sz w:val="20"/>
                <w:szCs w:val="20"/>
                <w:color w:val="auto"/>
              </w:rPr>
            </w:pPr>
            <w:r>
              <w:rPr>
                <w:rFonts w:ascii="Arial" w:cs="Arial" w:eastAsia="Arial" w:hAnsi="Arial"/>
                <w:sz w:val="12"/>
                <w:szCs w:val="12"/>
                <w:color w:val="auto"/>
              </w:rPr>
              <w:t>6.2</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2"/>
        </w:trPr>
        <w:tc>
          <w:tcPr>
            <w:tcW w:w="5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Ceded loss and loss adjustment expenses: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Loss and loss adjustment expenses excluding the effect of catastrophes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4,936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(1,482)</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(30.0) %</w:t>
            </w: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Losses from catastrophes (1)</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213</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na</w:t>
            </w:r>
          </w:p>
        </w:tc>
        <w:tc>
          <w:tcPr>
            <w:tcW w:w="140" w:type="dxa"/>
            <w:vAlign w:val="bottom"/>
          </w:tcPr>
          <w:p>
            <w:pPr>
              <w:spacing w:after="0"/>
              <w:rPr>
                <w:sz w:val="12"/>
                <w:szCs w:val="12"/>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42"/>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ceded loss and loss adjustment expenses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4,936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(1,269)</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(25.7) %</w:t>
            </w:r>
          </w:p>
        </w:tc>
      </w:tr>
      <w:tr>
        <w:trPr>
          <w:trHeight w:val="142"/>
        </w:trPr>
        <w:tc>
          <w:tcPr>
            <w:tcW w:w="5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and loss adjustment expenses: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Loss and loss adjustment expenses excluding the effect of catastrophes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4,597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3,008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1,589</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52.8</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Losses from catastrophes (1)</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Net loss and loss adjustment expenses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4,771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3,008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1,763</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58.6</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2"/>
        </w:trPr>
        <w:tc>
          <w:tcPr>
            <w:tcW w:w="5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Commission expense</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3,600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2,904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696</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24.0</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Other underwriting expenses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2,529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433</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17.1</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Other operating expenses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338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40</w:t>
            </w:r>
          </w:p>
        </w:tc>
        <w:tc>
          <w:tcPr>
            <w:tcW w:w="1140" w:type="dxa"/>
            <w:vAlign w:val="bottom"/>
          </w:tcPr>
          <w:p>
            <w:pPr>
              <w:jc w:val="right"/>
              <w:spacing w:after="0"/>
              <w:rPr>
                <w:sz w:val="20"/>
                <w:szCs w:val="20"/>
                <w:color w:val="auto"/>
              </w:rPr>
            </w:pPr>
            <w:r>
              <w:rPr>
                <w:rFonts w:ascii="Arial" w:cs="Arial" w:eastAsia="Arial" w:hAnsi="Arial"/>
                <w:sz w:val="12"/>
                <w:szCs w:val="12"/>
                <w:color w:val="auto"/>
              </w:rPr>
              <w:t>11.8</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Depreciation and amortization</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17.1</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40"/>
              <w:spacing w:after="0"/>
              <w:rPr>
                <w:sz w:val="20"/>
                <w:szCs w:val="20"/>
                <w:color w:val="auto"/>
              </w:rPr>
            </w:pPr>
            <w:r>
              <w:rPr>
                <w:rFonts w:ascii="Arial" w:cs="Arial" w:eastAsia="Arial" w:hAnsi="Arial"/>
                <w:sz w:val="12"/>
                <w:szCs w:val="12"/>
                <w:color w:val="auto"/>
              </w:rPr>
              <w:t>Total expenses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11,957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8,989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2,968</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33.0</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2"/>
        </w:trPr>
        <w:tc>
          <w:tcPr>
            <w:tcW w:w="5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6080" w:type="dxa"/>
            <w:vAlign w:val="bottom"/>
            <w:gridSpan w:val="2"/>
          </w:tcPr>
          <w:p>
            <w:pPr>
              <w:ind w:left="140"/>
              <w:spacing w:after="0"/>
              <w:rPr>
                <w:sz w:val="20"/>
                <w:szCs w:val="20"/>
                <w:color w:val="auto"/>
              </w:rPr>
            </w:pPr>
            <w:r>
              <w:rPr>
                <w:rFonts w:ascii="Arial" w:cs="Arial" w:eastAsia="Arial" w:hAnsi="Arial"/>
                <w:sz w:val="12"/>
                <w:szCs w:val="12"/>
                <w:color w:val="auto"/>
              </w:rPr>
              <w:t>Income from operations before taxes</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3,585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1,984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1,601</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80.7</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144"/>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Provision for income tax</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629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577</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91.7</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2"/>
        </w:trPr>
        <w:tc>
          <w:tcPr>
            <w:tcW w:w="6080" w:type="dxa"/>
            <w:vAlign w:val="bottom"/>
            <w:gridSpan w:val="2"/>
          </w:tcPr>
          <w:p>
            <w:pPr>
              <w:ind w:left="20"/>
              <w:spacing w:after="0"/>
              <w:rPr>
                <w:sz w:val="20"/>
                <w:szCs w:val="20"/>
                <w:color w:val="auto"/>
              </w:rPr>
            </w:pPr>
            <w:r>
              <w:rPr>
                <w:rFonts w:ascii="Arial" w:cs="Arial" w:eastAsia="Arial" w:hAnsi="Arial"/>
                <w:sz w:val="12"/>
                <w:szCs w:val="12"/>
                <w:b w:val="1"/>
                <w:bCs w:val="1"/>
                <w:color w:val="auto"/>
              </w:rPr>
              <w:t>Net income</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2,379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1,355</w:t>
            </w:r>
          </w:p>
        </w:tc>
        <w:tc>
          <w:tcPr>
            <w:tcW w:w="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2"/>
                <w:szCs w:val="12"/>
                <w:color w:val="auto"/>
              </w:rPr>
              <w:t>1,024</w:t>
            </w:r>
          </w:p>
        </w:tc>
        <w:tc>
          <w:tcPr>
            <w:tcW w:w="1180" w:type="dxa"/>
            <w:vAlign w:val="bottom"/>
            <w:gridSpan w:val="2"/>
          </w:tcPr>
          <w:p>
            <w:pPr>
              <w:jc w:val="right"/>
              <w:ind w:right="40"/>
              <w:spacing w:after="0"/>
              <w:rPr>
                <w:sz w:val="20"/>
                <w:szCs w:val="20"/>
                <w:color w:val="auto"/>
              </w:rPr>
            </w:pPr>
            <w:r>
              <w:rPr>
                <w:rFonts w:ascii="Arial" w:cs="Arial" w:eastAsia="Arial" w:hAnsi="Arial"/>
                <w:sz w:val="12"/>
                <w:szCs w:val="12"/>
                <w:color w:val="auto"/>
              </w:rPr>
              <w:t>75.6</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8" w:hanging="8"/>
        <w:spacing w:after="0" w:line="298" w:lineRule="auto"/>
        <w:tabs>
          <w:tab w:leader="none" w:pos="185" w:val="left"/>
        </w:tabs>
        <w:numPr>
          <w:ilvl w:val="0"/>
          <w:numId w:val="7"/>
        </w:numPr>
        <w:rPr>
          <w:rFonts w:ascii="Arial" w:cs="Arial" w:eastAsia="Arial" w:hAnsi="Arial"/>
          <w:sz w:val="11"/>
          <w:szCs w:val="11"/>
          <w:color w:val="auto"/>
        </w:rPr>
      </w:pPr>
      <w:r>
        <w:rPr>
          <w:rFonts w:ascii="Arial" w:cs="Arial" w:eastAsia="Arial" w:hAnsi="Arial"/>
          <w:sz w:val="11"/>
          <w:szCs w:val="11"/>
          <w:color w:val="auto"/>
        </w:rPr>
        <w:t>For the three months ended June 30, 2015 and 2014, includes the effects of severe winter weather (which we define as a catastrophe).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30" w:right="1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35"/>
        </w:trPr>
        <w:tc>
          <w:tcPr>
            <w:tcW w:w="6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Percentage Point</w:t>
            </w: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42"/>
        </w:trPr>
        <w:tc>
          <w:tcPr>
            <w:tcW w:w="6080" w:type="dxa"/>
            <w:vAlign w:val="bottom"/>
          </w:tcPr>
          <w:p>
            <w:pPr>
              <w:spacing w:after="0"/>
              <w:rPr>
                <w:sz w:val="12"/>
                <w:szCs w:val="12"/>
                <w:color w:val="auto"/>
              </w:rPr>
            </w:pPr>
          </w:p>
        </w:tc>
        <w:tc>
          <w:tcPr>
            <w:tcW w:w="8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2015</w:t>
            </w: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1"/>
                <w:szCs w:val="11"/>
                <w:b w:val="1"/>
                <w:bCs w:val="1"/>
                <w:color w:val="auto"/>
              </w:rPr>
              <w:t>2014</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342"/>
              <w:spacing w:after="0"/>
              <w:rPr>
                <w:sz w:val="20"/>
                <w:szCs w:val="20"/>
                <w:color w:val="auto"/>
              </w:rPr>
            </w:pPr>
            <w:r>
              <w:rPr>
                <w:rFonts w:ascii="Arial" w:cs="Arial" w:eastAsia="Arial" w:hAnsi="Arial"/>
                <w:sz w:val="11"/>
                <w:szCs w:val="11"/>
                <w:b w:val="1"/>
                <w:bCs w:val="1"/>
                <w:color w:val="auto"/>
              </w:rPr>
              <w:t>Change</w:t>
            </w:r>
          </w:p>
        </w:tc>
        <w:tc>
          <w:tcPr>
            <w:tcW w:w="200" w:type="dxa"/>
            <w:vAlign w:val="bottom"/>
          </w:tcPr>
          <w:p>
            <w:pPr>
              <w:spacing w:after="0"/>
              <w:rPr>
                <w:sz w:val="12"/>
                <w:szCs w:val="12"/>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Percent Change</w:t>
            </w:r>
          </w:p>
        </w:tc>
        <w:tc>
          <w:tcPr>
            <w:tcW w:w="180" w:type="dxa"/>
            <w:vAlign w:val="bottom"/>
          </w:tcPr>
          <w:p>
            <w:pPr>
              <w:spacing w:after="0"/>
              <w:rPr>
                <w:sz w:val="12"/>
                <w:szCs w:val="12"/>
                <w:color w:val="auto"/>
              </w:rPr>
            </w:pPr>
          </w:p>
        </w:tc>
      </w:tr>
      <w:tr>
        <w:trPr>
          <w:trHeight w:val="288"/>
        </w:trPr>
        <w:tc>
          <w:tcPr>
            <w:tcW w:w="6900" w:type="dxa"/>
            <w:vAlign w:val="bottom"/>
            <w:gridSpan w:val="2"/>
          </w:tcPr>
          <w:p>
            <w:pPr>
              <w:ind w:left="20"/>
              <w:spacing w:after="0"/>
              <w:rPr>
                <w:sz w:val="20"/>
                <w:szCs w:val="20"/>
                <w:color w:val="auto"/>
              </w:rPr>
            </w:pPr>
            <w:r>
              <w:rPr>
                <w:rFonts w:ascii="Arial" w:cs="Arial" w:eastAsia="Arial" w:hAnsi="Arial"/>
                <w:sz w:val="12"/>
                <w:szCs w:val="12"/>
                <w:b w:val="1"/>
                <w:bCs w:val="1"/>
                <w:color w:val="auto"/>
              </w:rPr>
              <w:t>Key ratios: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44"/>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loss ratio</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 %</w:t>
            </w: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Net underwriting expense ratio</w:t>
            </w:r>
          </w:p>
        </w:tc>
        <w:tc>
          <w:tcPr>
            <w:tcW w:w="82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24.6%</w:t>
            </w:r>
          </w:p>
        </w:tc>
        <w:tc>
          <w:tcPr>
            <w:tcW w:w="1360" w:type="dxa"/>
            <w:vAlign w:val="bottom"/>
            <w:gridSpan w:val="2"/>
          </w:tcPr>
          <w:p>
            <w:pPr>
              <w:jc w:val="right"/>
              <w:ind w:right="120"/>
              <w:spacing w:after="0"/>
              <w:rPr>
                <w:sz w:val="20"/>
                <w:szCs w:val="20"/>
                <w:color w:val="auto"/>
              </w:rPr>
            </w:pPr>
            <w:r>
              <w:rPr>
                <w:rFonts w:ascii="Arial" w:cs="Arial" w:eastAsia="Arial" w:hAnsi="Arial"/>
                <w:sz w:val="12"/>
                <w:szCs w:val="12"/>
                <w:color w:val="auto"/>
              </w:rPr>
              <w:t>24.0%</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0.6</w:t>
            </w:r>
          </w:p>
        </w:tc>
        <w:tc>
          <w:tcPr>
            <w:tcW w:w="1320" w:type="dxa"/>
            <w:vAlign w:val="bottom"/>
            <w:gridSpan w:val="2"/>
          </w:tcPr>
          <w:p>
            <w:pPr>
              <w:jc w:val="right"/>
              <w:ind w:right="20"/>
              <w:spacing w:after="0"/>
              <w:rPr>
                <w:sz w:val="20"/>
                <w:szCs w:val="20"/>
                <w:color w:val="auto"/>
              </w:rPr>
            </w:pPr>
            <w:r>
              <w:rPr>
                <w:rFonts w:ascii="Arial" w:cs="Arial" w:eastAsia="Arial" w:hAnsi="Arial"/>
                <w:sz w:val="12"/>
                <w:szCs w:val="12"/>
                <w:color w:val="auto"/>
              </w:rPr>
              <w:t>2.5 %</w:t>
            </w:r>
          </w:p>
        </w:tc>
      </w:tr>
      <w:tr>
        <w:trPr>
          <w:trHeight w:val="20"/>
        </w:trPr>
        <w:tc>
          <w:tcPr>
            <w:tcW w:w="6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combined ratio</w:t>
            </w:r>
          </w:p>
        </w:tc>
        <w:tc>
          <w:tcPr>
            <w:tcW w:w="8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 %</w:t>
            </w:r>
          </w:p>
        </w:tc>
      </w:tr>
      <w:tr>
        <w:trPr>
          <w:trHeight w:val="20"/>
        </w:trPr>
        <w:tc>
          <w:tcPr>
            <w:tcW w:w="60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Direct Written Premiums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Direct written premiums during the three months ended June 30, 2015 (“Q2-2015”) were $23,166,000 compared to $20,251,000 during the three months ended June 30, 2014 (“Q2-2014”). The increase of $2,915,000, or 14.4%, was primarily due to an increase in policies in-force during Q2-2015 as compared to Q2-2014. We wrote more new policies as a result of continued demand for our products in the markets that we serve. Policies in-force increased by 18.3% as of June 30, 2015 compared to June 30, 2014.</w:t>
      </w:r>
    </w:p>
    <w:p>
      <w:pPr>
        <w:spacing w:after="0" w:line="123"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Our growth rate in direct premiums written was dampened somewhat due to the suspension, effective October 1, 2014, of the writing of new policies in our commercial auto line of business due to a history of poor underwriting results. Our direct written premiums in our other lines of business grew by 21.0% in Q2-2015 compared to Q2-2014. Policies-in-force in our other lines of business increased by 20.0% as of June 30, 2015 compared to June 30, 2014.</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Net Written Premiums and Net Premiums Earned</w:t>
      </w:r>
    </w:p>
    <w:p>
      <w:pPr>
        <w:spacing w:after="0" w:line="16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following table describes the quota share reinsurance rates in effect during Q2-2015 and Q2-2014. For purposes of the discussion herein, the change in quota share rates on July 1 of each year will be referred to as “the Cut-off”. This table should be referred to in conjunction with the discussions for net written premiums, net premiums earned, ceding commission revenue and net loss and loss adjustment expenses that follow.</w:t>
      </w:r>
    </w:p>
    <w:p>
      <w:pPr>
        <w:spacing w:after="0" w:line="143" w:lineRule="exact"/>
        <w:rPr>
          <w:sz w:val="20"/>
          <w:szCs w:val="20"/>
          <w:color w:val="auto"/>
        </w:rPr>
      </w:pPr>
    </w:p>
    <w:p>
      <w:pPr>
        <w:jc w:val="center"/>
        <w:ind w:left="8620"/>
        <w:spacing w:after="0"/>
        <w:rPr>
          <w:sz w:val="20"/>
          <w:szCs w:val="20"/>
          <w:color w:val="auto"/>
        </w:rPr>
      </w:pPr>
      <w:r>
        <w:rPr>
          <w:rFonts w:ascii="Arial" w:cs="Arial" w:eastAsia="Arial" w:hAnsi="Arial"/>
          <w:sz w:val="10"/>
          <w:szCs w:val="10"/>
          <w:b w:val="1"/>
          <w:bCs w:val="1"/>
          <w:color w:val="auto"/>
        </w:rPr>
        <w:t>Three months ended</w:t>
      </w:r>
    </w:p>
    <w:p>
      <w:pPr>
        <w:jc w:val="center"/>
        <w:ind w:left="8620"/>
        <w:spacing w:after="0" w:line="216" w:lineRule="auto"/>
        <w:rPr>
          <w:sz w:val="20"/>
          <w:szCs w:val="20"/>
          <w:color w:val="auto"/>
        </w:rPr>
      </w:pPr>
      <w:r>
        <w:rPr>
          <w:rFonts w:ascii="Arial" w:cs="Arial" w:eastAsia="Arial" w:hAnsi="Arial"/>
          <w:sz w:val="10"/>
          <w:szCs w:val="10"/>
          <w:b w:val="1"/>
          <w:bCs w:val="1"/>
          <w:color w:val="auto"/>
        </w:rPr>
        <w:t>June 30,</w:t>
      </w:r>
    </w:p>
    <w:tbl>
      <w:tblPr>
        <w:tblLayout w:type="fixed"/>
        <w:tblInd w:w="0" w:type="dxa"/>
        <w:tblCellMar>
          <w:top w:w="0" w:type="dxa"/>
          <w:left w:w="0" w:type="dxa"/>
          <w:bottom w:w="0" w:type="dxa"/>
          <w:right w:w="0" w:type="dxa"/>
        </w:tblCellMar>
      </w:tblPr>
      <w:tr>
        <w:trPr>
          <w:trHeight w:val="97"/>
        </w:trPr>
        <w:tc>
          <w:tcPr>
            <w:tcW w:w="8780" w:type="dxa"/>
            <w:vAlign w:val="bottom"/>
          </w:tcPr>
          <w:p>
            <w:pPr>
              <w:spacing w:after="0"/>
              <w:rPr>
                <w:sz w:val="8"/>
                <w:szCs w:val="8"/>
                <w:color w:val="auto"/>
              </w:rPr>
            </w:pPr>
          </w:p>
        </w:tc>
        <w:tc>
          <w:tcPr>
            <w:tcW w:w="1120" w:type="dxa"/>
            <w:vAlign w:val="bottom"/>
            <w:tcBorders>
              <w:top w:val="single" w:sz="8" w:color="auto"/>
              <w:bottom w:val="single" w:sz="8" w:color="auto"/>
            </w:tcBorders>
          </w:tcPr>
          <w:p>
            <w:pPr>
              <w:jc w:val="right"/>
              <w:ind w:right="406"/>
              <w:spacing w:after="0" w:line="97" w:lineRule="exact"/>
              <w:rPr>
                <w:sz w:val="20"/>
                <w:szCs w:val="20"/>
                <w:color w:val="auto"/>
              </w:rPr>
            </w:pPr>
            <w:r>
              <w:rPr>
                <w:rFonts w:ascii="Arial" w:cs="Arial" w:eastAsia="Arial" w:hAnsi="Arial"/>
                <w:sz w:val="10"/>
                <w:szCs w:val="10"/>
                <w:b w:val="1"/>
                <w:bCs w:val="1"/>
                <w:color w:val="auto"/>
              </w:rPr>
              <w:t>2015</w:t>
            </w:r>
          </w:p>
        </w:tc>
        <w:tc>
          <w:tcPr>
            <w:tcW w:w="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140" w:type="dxa"/>
            <w:vAlign w:val="bottom"/>
            <w:tcBorders>
              <w:top w:val="single" w:sz="8" w:color="auto"/>
              <w:bottom w:val="single" w:sz="8" w:color="auto"/>
            </w:tcBorders>
          </w:tcPr>
          <w:p>
            <w:pPr>
              <w:jc w:val="right"/>
              <w:ind w:right="426"/>
              <w:spacing w:after="0" w:line="97" w:lineRule="exact"/>
              <w:rPr>
                <w:sz w:val="20"/>
                <w:szCs w:val="20"/>
                <w:color w:val="auto"/>
              </w:rPr>
            </w:pPr>
            <w:r>
              <w:rPr>
                <w:rFonts w:ascii="Arial" w:cs="Arial" w:eastAsia="Arial" w:hAnsi="Arial"/>
                <w:sz w:val="10"/>
                <w:szCs w:val="10"/>
                <w:b w:val="1"/>
                <w:bCs w:val="1"/>
                <w:color w:val="auto"/>
              </w:rPr>
              <w:t>2014</w:t>
            </w:r>
          </w:p>
        </w:tc>
        <w:tc>
          <w:tcPr>
            <w:tcW w:w="160" w:type="dxa"/>
            <w:vAlign w:val="bottom"/>
          </w:tcPr>
          <w:p>
            <w:pPr>
              <w:spacing w:after="0"/>
              <w:rPr>
                <w:sz w:val="8"/>
                <w:szCs w:val="8"/>
                <w:color w:val="auto"/>
              </w:rPr>
            </w:pPr>
          </w:p>
        </w:tc>
      </w:tr>
      <w:tr>
        <w:trPr>
          <w:trHeight w:val="152"/>
        </w:trPr>
        <w:tc>
          <w:tcPr>
            <w:tcW w:w="8780" w:type="dxa"/>
            <w:vAlign w:val="bottom"/>
          </w:tcPr>
          <w:p>
            <w:pPr>
              <w:spacing w:after="0"/>
              <w:rPr>
                <w:sz w:val="13"/>
                <w:szCs w:val="13"/>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1"/>
              </w:rPr>
              <w:t>("2014/2015 Treaty")</w:t>
            </w:r>
          </w:p>
        </w:tc>
        <w:tc>
          <w:tcPr>
            <w:tcW w:w="240" w:type="dxa"/>
            <w:vAlign w:val="bottom"/>
          </w:tcPr>
          <w:p>
            <w:pPr>
              <w:spacing w:after="0"/>
              <w:rPr>
                <w:sz w:val="13"/>
                <w:szCs w:val="13"/>
                <w:color w:val="auto"/>
              </w:rPr>
            </w:pPr>
          </w:p>
        </w:tc>
        <w:tc>
          <w:tcPr>
            <w:tcW w:w="1140" w:type="dxa"/>
            <w:vAlign w:val="bottom"/>
          </w:tcPr>
          <w:p>
            <w:pPr>
              <w:jc w:val="right"/>
              <w:ind w:right="46"/>
              <w:spacing w:after="0"/>
              <w:rPr>
                <w:sz w:val="20"/>
                <w:szCs w:val="20"/>
                <w:color w:val="auto"/>
              </w:rPr>
            </w:pPr>
            <w:r>
              <w:rPr>
                <w:rFonts w:ascii="Arial" w:cs="Arial" w:eastAsia="Arial" w:hAnsi="Arial"/>
                <w:sz w:val="10"/>
                <w:szCs w:val="10"/>
                <w:b w:val="1"/>
                <w:bCs w:val="1"/>
                <w:color w:val="auto"/>
                <w:w w:val="97"/>
              </w:rPr>
              <w:t>("2013/2014 Treaties")</w:t>
            </w:r>
          </w:p>
        </w:tc>
        <w:tc>
          <w:tcPr>
            <w:tcW w:w="160" w:type="dxa"/>
            <w:vAlign w:val="bottom"/>
          </w:tcPr>
          <w:p>
            <w:pPr>
              <w:spacing w:after="0"/>
              <w:rPr>
                <w:sz w:val="13"/>
                <w:szCs w:val="13"/>
                <w:color w:val="auto"/>
              </w:rPr>
            </w:pPr>
          </w:p>
        </w:tc>
      </w:tr>
      <w:tr>
        <w:trPr>
          <w:trHeight w:val="278"/>
        </w:trPr>
        <w:tc>
          <w:tcPr>
            <w:tcW w:w="8780" w:type="dxa"/>
            <w:vAlign w:val="bottom"/>
          </w:tcPr>
          <w:p>
            <w:pPr>
              <w:ind w:left="20"/>
              <w:spacing w:after="0"/>
              <w:rPr>
                <w:sz w:val="20"/>
                <w:szCs w:val="20"/>
                <w:color w:val="auto"/>
              </w:rPr>
            </w:pPr>
            <w:r>
              <w:rPr>
                <w:rFonts w:ascii="Arial" w:cs="Arial" w:eastAsia="Arial" w:hAnsi="Arial"/>
                <w:sz w:val="12"/>
                <w:szCs w:val="12"/>
                <w:b w:val="1"/>
                <w:bCs w:val="1"/>
                <w:color w:val="auto"/>
              </w:rPr>
              <w:t>Quota share reinsurance rates</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4"/>
        </w:trPr>
        <w:tc>
          <w:tcPr>
            <w:tcW w:w="8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Personal lines</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55</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93"/>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780" w:type="dxa"/>
            <w:vAlign w:val="bottom"/>
          </w:tcPr>
          <w:p>
            <w:pPr>
              <w:ind w:left="20"/>
              <w:spacing w:after="0"/>
              <w:rPr>
                <w:sz w:val="20"/>
                <w:szCs w:val="20"/>
                <w:color w:val="auto"/>
              </w:rPr>
            </w:pPr>
            <w:r>
              <w:rPr>
                <w:rFonts w:ascii="Arial" w:cs="Arial" w:eastAsia="Arial" w:hAnsi="Arial"/>
                <w:sz w:val="12"/>
                <w:szCs w:val="12"/>
                <w:color w:val="auto"/>
              </w:rPr>
              <w:t>Commercial lines</w:t>
            </w:r>
          </w:p>
        </w:tc>
        <w:tc>
          <w:tcPr>
            <w:tcW w:w="1160" w:type="dxa"/>
            <w:vAlign w:val="bottom"/>
            <w:gridSpan w:val="2"/>
          </w:tcPr>
          <w:p>
            <w:pPr>
              <w:jc w:val="right"/>
              <w:ind w:right="40"/>
              <w:spacing w:after="0"/>
              <w:rPr>
                <w:sz w:val="20"/>
                <w:szCs w:val="20"/>
                <w:color w:val="auto"/>
              </w:rPr>
            </w:pPr>
            <w:r>
              <w:rPr>
                <w:rFonts w:ascii="Arial" w:cs="Arial" w:eastAsia="Arial" w:hAnsi="Arial"/>
                <w:sz w:val="12"/>
                <w:szCs w:val="12"/>
                <w:color w:val="auto"/>
              </w:rPr>
              <w:t>none</w:t>
            </w: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Net written premiums increased $4,631,000, or 54.5%, to $13,132,000 in Q2-2015 from $8,501,000 in Q2-2014. Net written premiums include direct and assumed premiums, less the amount of written premiums ceded under our reinsurance treaties (quota share, excess of loss and catastrophe). Our personal lines business is subject to a quota share treaty and our commercial lines business was subject to a quota share treaty through June 30, 2014. A reduction to the quota share percentage or elimination of a quota share treaty will reduce our ceded written premiums, which will result in a corresponding increase to our net written premiums. Effective July 1, 2014, we terminated our commercial lines quota share treaty. The previous commercial lines quota share treaty effective July 1, 2013 had a quota share percentage of 25%. Also, effective July 1, 2014, we decreased the quota share percentage in our personal lines quota share treaty from 75% to 55%. The Cut-off of these treaties on July 1, 2014 results in the return of unearned premiums from our reinsurers that were previously ceded under the expiring quota share treaties.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1" w:right="199" w:bottom="1440" w:gutter="0" w:footer="0" w:header="0"/>
        </w:sectPr>
      </w:pPr>
    </w:p>
    <w:bookmarkStart w:id="43" w:name="page44"/>
    <w:bookmarkEnd w:id="43"/>
    <w:p>
      <w:pPr>
        <w:jc w:val="both"/>
        <w:ind w:firstLine="432"/>
        <w:spacing w:after="0" w:line="259" w:lineRule="auto"/>
        <w:rPr>
          <w:sz w:val="20"/>
          <w:szCs w:val="20"/>
          <w:color w:val="auto"/>
        </w:rPr>
      </w:pPr>
      <w:r>
        <w:rPr>
          <w:rFonts w:ascii="Arial" w:cs="Arial" w:eastAsia="Arial" w:hAnsi="Arial"/>
          <w:sz w:val="12"/>
          <w:szCs w:val="12"/>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An increase in written premiums will also increase the premiums ceded under our excess of loss treaties, which will also reduce our net written premiums. In Q2-2015, our catastrophe and excess of loss reinsurance premiums increased by $533,000 and $46,000, respectively, over the premiums in Q2-2014.</w:t>
      </w:r>
    </w:p>
    <w:p>
      <w:pPr>
        <w:spacing w:after="0" w:line="1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Net premiums earned increased $4,437,000, or 69.0%, to $10,866,000 in Q2-2015 from $6,429,000 in Q2-2014. The increase was primarily due to us retaining more earned premiums as result of the reduction of the quota share percentage in our personal lines quota share treaty and the elimination of the commercial lines treaty on July 1, 2014. The decreases in our quota share percentages from the July 1, 2014 Cut-offs gave us a return of premiums previously ceded, which has the effect of increasing our net premiums earned during the twelve month period after the Cut-offs. In addition, as premiums written earn ratably over a twelve month period, net premiums earned in Q2-2015 increased from the higher net written premiums for the twelve months ended June 30, 2015 compared to the twelve months ended June 30, 2014.</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Ceding Commission Revenue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table describes the quota share provisional ceding commission rates in effect during Q2-2015 and Q2-2014. This table should be referred to in conjunction with the discussion for ceding commission revenue that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follows.</w:t>
      </w:r>
    </w:p>
    <w:p>
      <w:pPr>
        <w:spacing w:after="0" w:line="193" w:lineRule="exact"/>
        <w:rPr>
          <w:sz w:val="20"/>
          <w:szCs w:val="20"/>
          <w:color w:val="auto"/>
        </w:rPr>
      </w:pPr>
    </w:p>
    <w:p>
      <w:pPr>
        <w:jc w:val="center"/>
        <w:ind w:left="8620"/>
        <w:spacing w:after="0"/>
        <w:rPr>
          <w:sz w:val="20"/>
          <w:szCs w:val="20"/>
          <w:color w:val="auto"/>
        </w:rPr>
      </w:pPr>
      <w:r>
        <w:rPr>
          <w:rFonts w:ascii="Arial" w:cs="Arial" w:eastAsia="Arial" w:hAnsi="Arial"/>
          <w:sz w:val="10"/>
          <w:szCs w:val="10"/>
          <w:b w:val="1"/>
          <w:bCs w:val="1"/>
          <w:color w:val="auto"/>
        </w:rPr>
        <w:t>Three months ended</w:t>
      </w:r>
    </w:p>
    <w:p>
      <w:pPr>
        <w:jc w:val="center"/>
        <w:ind w:left="8620"/>
        <w:spacing w:after="0" w:line="216" w:lineRule="auto"/>
        <w:rPr>
          <w:sz w:val="20"/>
          <w:szCs w:val="20"/>
          <w:color w:val="auto"/>
        </w:rPr>
      </w:pPr>
      <w:r>
        <w:rPr>
          <w:rFonts w:ascii="Arial" w:cs="Arial" w:eastAsia="Arial" w:hAnsi="Arial"/>
          <w:sz w:val="10"/>
          <w:szCs w:val="10"/>
          <w:b w:val="1"/>
          <w:bCs w:val="1"/>
          <w:color w:val="auto"/>
        </w:rPr>
        <w:t>June 30,</w:t>
      </w:r>
    </w:p>
    <w:tbl>
      <w:tblPr>
        <w:tblLayout w:type="fixed"/>
        <w:tblInd w:w="0" w:type="dxa"/>
        <w:tblCellMar>
          <w:top w:w="0" w:type="dxa"/>
          <w:left w:w="0" w:type="dxa"/>
          <w:bottom w:w="0" w:type="dxa"/>
          <w:right w:w="0" w:type="dxa"/>
        </w:tblCellMar>
      </w:tblPr>
      <w:tr>
        <w:trPr>
          <w:trHeight w:val="97"/>
        </w:trPr>
        <w:tc>
          <w:tcPr>
            <w:tcW w:w="43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060" w:type="dxa"/>
            <w:vAlign w:val="bottom"/>
            <w:tcBorders>
              <w:top w:val="single" w:sz="8" w:color="auto"/>
              <w:bottom w:val="single" w:sz="8" w:color="auto"/>
            </w:tcBorders>
          </w:tcPr>
          <w:p>
            <w:pPr>
              <w:jc w:val="right"/>
              <w:ind w:right="464"/>
              <w:spacing w:after="0" w:line="97" w:lineRule="exact"/>
              <w:rPr>
                <w:sz w:val="20"/>
                <w:szCs w:val="20"/>
                <w:color w:val="auto"/>
              </w:rPr>
            </w:pPr>
            <w:r>
              <w:rPr>
                <w:rFonts w:ascii="Arial" w:cs="Arial" w:eastAsia="Arial" w:hAnsi="Arial"/>
                <w:sz w:val="10"/>
                <w:szCs w:val="10"/>
                <w:b w:val="1"/>
                <w:bCs w:val="1"/>
                <w:color w:val="auto"/>
              </w:rPr>
              <w:t>2015</w:t>
            </w:r>
          </w:p>
        </w:tc>
        <w:tc>
          <w:tcPr>
            <w:tcW w:w="2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120" w:type="dxa"/>
            <w:vAlign w:val="bottom"/>
            <w:tcBorders>
              <w:top w:val="single" w:sz="8" w:color="auto"/>
              <w:bottom w:val="single" w:sz="8" w:color="auto"/>
            </w:tcBorders>
          </w:tcPr>
          <w:p>
            <w:pPr>
              <w:jc w:val="center"/>
              <w:spacing w:after="0" w:line="97" w:lineRule="exact"/>
              <w:rPr>
                <w:sz w:val="20"/>
                <w:szCs w:val="20"/>
                <w:color w:val="auto"/>
              </w:rPr>
            </w:pPr>
            <w:r>
              <w:rPr>
                <w:rFonts w:ascii="Arial" w:cs="Arial" w:eastAsia="Arial" w:hAnsi="Arial"/>
                <w:sz w:val="10"/>
                <w:szCs w:val="10"/>
                <w:b w:val="1"/>
                <w:bCs w:val="1"/>
                <w:color w:val="auto"/>
                <w:w w:val="80"/>
              </w:rPr>
              <w:t>2014</w:t>
            </w:r>
          </w:p>
        </w:tc>
        <w:tc>
          <w:tcPr>
            <w:tcW w:w="20" w:type="dxa"/>
            <w:vAlign w:val="bottom"/>
            <w:tcBorders>
              <w:top w:val="single" w:sz="8" w:color="auto"/>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52"/>
        </w:trPr>
        <w:tc>
          <w:tcPr>
            <w:tcW w:w="4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Arial" w:cs="Arial" w:eastAsia="Arial" w:hAnsi="Arial"/>
                <w:sz w:val="10"/>
                <w:szCs w:val="10"/>
                <w:b w:val="1"/>
                <w:bCs w:val="1"/>
                <w:color w:val="auto"/>
              </w:rPr>
              <w:t>("2014/2015 Treaty")</w:t>
            </w:r>
          </w:p>
        </w:tc>
        <w:tc>
          <w:tcPr>
            <w:tcW w:w="114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("2013/2014 Treaties")</w:t>
            </w:r>
          </w:p>
        </w:tc>
        <w:tc>
          <w:tcPr>
            <w:tcW w:w="160" w:type="dxa"/>
            <w:vAlign w:val="bottom"/>
          </w:tcPr>
          <w:p>
            <w:pPr>
              <w:spacing w:after="0"/>
              <w:rPr>
                <w:sz w:val="13"/>
                <w:szCs w:val="13"/>
                <w:color w:val="auto"/>
              </w:rPr>
            </w:pPr>
          </w:p>
        </w:tc>
      </w:tr>
      <w:tr>
        <w:trPr>
          <w:trHeight w:val="278"/>
        </w:trPr>
        <w:tc>
          <w:tcPr>
            <w:tcW w:w="4320" w:type="dxa"/>
            <w:vAlign w:val="bottom"/>
          </w:tcPr>
          <w:p>
            <w:pPr>
              <w:ind w:left="20"/>
              <w:spacing w:after="0"/>
              <w:rPr>
                <w:sz w:val="20"/>
                <w:szCs w:val="20"/>
                <w:color w:val="auto"/>
              </w:rPr>
            </w:pPr>
            <w:r>
              <w:rPr>
                <w:rFonts w:ascii="Arial" w:cs="Arial" w:eastAsia="Arial" w:hAnsi="Arial"/>
                <w:sz w:val="12"/>
                <w:szCs w:val="12"/>
                <w:b w:val="1"/>
                <w:bCs w:val="1"/>
                <w:color w:val="auto"/>
              </w:rPr>
              <w:t>Provisional ceding commission rate on quota share treaty</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4"/>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Personal lines</w:t>
            </w: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40 %</w:t>
            </w:r>
          </w:p>
        </w:tc>
        <w:tc>
          <w:tcPr>
            <w:tcW w:w="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40 %</w:t>
            </w:r>
          </w:p>
        </w:tc>
      </w:tr>
      <w:tr>
        <w:trPr>
          <w:trHeight w:val="153"/>
        </w:trPr>
        <w:tc>
          <w:tcPr>
            <w:tcW w:w="4320" w:type="dxa"/>
            <w:vAlign w:val="bottom"/>
          </w:tcPr>
          <w:p>
            <w:pPr>
              <w:ind w:left="20"/>
              <w:spacing w:after="0"/>
              <w:rPr>
                <w:sz w:val="20"/>
                <w:szCs w:val="20"/>
                <w:color w:val="auto"/>
              </w:rPr>
            </w:pPr>
            <w:r>
              <w:rPr>
                <w:rFonts w:ascii="Arial" w:cs="Arial" w:eastAsia="Arial" w:hAnsi="Arial"/>
                <w:sz w:val="12"/>
                <w:szCs w:val="12"/>
                <w:color w:val="auto"/>
              </w:rPr>
              <w:t>Commercial lines</w:t>
            </w: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ind w:left="780"/>
              <w:spacing w:after="0"/>
              <w:rPr>
                <w:sz w:val="20"/>
                <w:szCs w:val="20"/>
                <w:color w:val="auto"/>
              </w:rPr>
            </w:pPr>
            <w:r>
              <w:rPr>
                <w:rFonts w:ascii="Arial" w:cs="Arial" w:eastAsia="Arial" w:hAnsi="Arial"/>
                <w:sz w:val="12"/>
                <w:szCs w:val="12"/>
                <w:color w:val="auto"/>
              </w:rPr>
              <w:t>none</w:t>
            </w:r>
          </w:p>
        </w:tc>
        <w:tc>
          <w:tcPr>
            <w:tcW w:w="1300" w:type="dxa"/>
            <w:vAlign w:val="bottom"/>
            <w:gridSpan w:val="3"/>
          </w:tcPr>
          <w:p>
            <w:pPr>
              <w:jc w:val="right"/>
              <w:spacing w:after="0"/>
              <w:rPr>
                <w:sz w:val="20"/>
                <w:szCs w:val="20"/>
                <w:color w:val="auto"/>
              </w:rPr>
            </w:pPr>
            <w:r>
              <w:rPr>
                <w:rFonts w:ascii="Arial" w:cs="Arial" w:eastAsia="Arial" w:hAnsi="Arial"/>
                <w:sz w:val="12"/>
                <w:szCs w:val="12"/>
                <w:color w:val="auto"/>
              </w:rPr>
              <w:t>36 %</w:t>
            </w:r>
          </w:p>
        </w:tc>
      </w:tr>
      <w:tr>
        <w:trPr>
          <w:trHeight w:val="279"/>
        </w:trPr>
        <w:tc>
          <w:tcPr>
            <w:tcW w:w="6940" w:type="dxa"/>
            <w:vAlign w:val="bottom"/>
            <w:gridSpan w:val="4"/>
          </w:tcPr>
          <w:p>
            <w:pPr>
              <w:ind w:left="420"/>
              <w:spacing w:after="0"/>
              <w:rPr>
                <w:sz w:val="20"/>
                <w:szCs w:val="20"/>
                <w:color w:val="auto"/>
              </w:rPr>
            </w:pPr>
            <w:r>
              <w:rPr>
                <w:rFonts w:ascii="Arial" w:cs="Arial" w:eastAsia="Arial" w:hAnsi="Arial"/>
                <w:sz w:val="12"/>
                <w:szCs w:val="12"/>
                <w:color w:val="auto"/>
                <w:w w:val="90"/>
              </w:rPr>
              <w:t>The following table summarizes the changes in the components of ceding commission revenue (in thousands) for the periods indicated:</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6"/>
        </w:trPr>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ind w:left="360"/>
              <w:spacing w:after="0"/>
              <w:rPr>
                <w:sz w:val="20"/>
                <w:szCs w:val="20"/>
                <w:color w:val="auto"/>
              </w:rPr>
            </w:pPr>
            <w:r>
              <w:rPr>
                <w:rFonts w:ascii="Arial" w:cs="Arial" w:eastAsia="Arial" w:hAnsi="Arial"/>
                <w:sz w:val="10"/>
                <w:szCs w:val="10"/>
                <w:b w:val="1"/>
                <w:bCs w:val="1"/>
                <w:color w:val="auto"/>
              </w:rPr>
              <w:t>Three months ended June 30,</w:t>
            </w: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432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262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rPr>
              <w:t>2015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403"/>
              <w:spacing w:after="0"/>
              <w:rPr>
                <w:sz w:val="20"/>
                <w:szCs w:val="20"/>
                <w:color w:val="auto"/>
              </w:rPr>
            </w:pPr>
            <w:r>
              <w:rPr>
                <w:rFonts w:ascii="Arial" w:cs="Arial" w:eastAsia="Arial" w:hAnsi="Arial"/>
                <w:sz w:val="10"/>
                <w:szCs w:val="10"/>
                <w:b w:val="1"/>
                <w:bCs w:val="1"/>
                <w:color w:val="auto"/>
              </w:rPr>
              <w:t>2014</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ind w:left="320"/>
              <w:spacing w:after="0"/>
              <w:rPr>
                <w:sz w:val="20"/>
                <w:szCs w:val="20"/>
                <w:color w:val="auto"/>
              </w:rPr>
            </w:pPr>
            <w:r>
              <w:rPr>
                <w:rFonts w:ascii="Arial" w:cs="Arial" w:eastAsia="Arial" w:hAnsi="Arial"/>
                <w:sz w:val="10"/>
                <w:szCs w:val="10"/>
                <w:b w:val="1"/>
                <w:bCs w:val="1"/>
                <w:color w:val="auto"/>
              </w:rPr>
              <w:t>Change</w:t>
            </w:r>
          </w:p>
        </w:tc>
        <w:tc>
          <w:tcPr>
            <w:tcW w:w="114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7"/>
              </w:rPr>
              <w:t>Percent</w:t>
            </w:r>
          </w:p>
        </w:tc>
        <w:tc>
          <w:tcPr>
            <w:tcW w:w="160" w:type="dxa"/>
            <w:vAlign w:val="bottom"/>
          </w:tcPr>
          <w:p>
            <w:pPr>
              <w:spacing w:after="0"/>
              <w:rPr>
                <w:sz w:val="12"/>
                <w:szCs w:val="12"/>
                <w:color w:val="auto"/>
              </w:rPr>
            </w:pPr>
          </w:p>
        </w:tc>
      </w:tr>
      <w:tr>
        <w:trPr>
          <w:trHeight w:val="142"/>
        </w:trPr>
        <w:tc>
          <w:tcPr>
            <w:tcW w:w="43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Provisional ceding commissions earned</w:t>
            </w:r>
          </w:p>
        </w:tc>
        <w:tc>
          <w:tcPr>
            <w:tcW w:w="2620" w:type="dxa"/>
            <w:vAlign w:val="bottom"/>
            <w:gridSpan w:val="3"/>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3"/>
              </w:rPr>
              <w:t>2,965</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3,629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(664)</w:t>
            </w:r>
          </w:p>
        </w:tc>
        <w:tc>
          <w:tcPr>
            <w:tcW w:w="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(18.3) %</w:t>
            </w:r>
          </w:p>
        </w:tc>
      </w:tr>
      <w:tr>
        <w:trPr>
          <w:trHeight w:val="142"/>
        </w:trPr>
        <w:tc>
          <w:tcPr>
            <w:tcW w:w="4320" w:type="dxa"/>
            <w:vAlign w:val="bottom"/>
            <w:tcBorders>
              <w:top w:val="single" w:sz="8" w:color="CCEEFF"/>
            </w:tcBorders>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r>
      <w:tr>
        <w:trPr>
          <w:trHeight w:val="144"/>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Contingent ceding commissions earned</w:t>
            </w: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4320" w:type="dxa"/>
            <w:vAlign w:val="bottom"/>
          </w:tcPr>
          <w:p>
            <w:pPr>
              <w:ind w:left="140"/>
              <w:spacing w:after="0"/>
              <w:rPr>
                <w:sz w:val="20"/>
                <w:szCs w:val="20"/>
                <w:color w:val="auto"/>
              </w:rPr>
            </w:pPr>
            <w:r>
              <w:rPr>
                <w:rFonts w:ascii="Arial" w:cs="Arial" w:eastAsia="Arial" w:hAnsi="Arial"/>
                <w:sz w:val="12"/>
                <w:szCs w:val="12"/>
                <w:color w:val="auto"/>
              </w:rPr>
              <w:t>Contingent ceding commissions earned excluding</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4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the effect of catastrophes</w:t>
            </w: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856</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779</w:t>
            </w:r>
          </w:p>
        </w:tc>
        <w:tc>
          <w:tcPr>
            <w:tcW w:w="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1,011.7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320" w:type="dxa"/>
            <w:vAlign w:val="bottom"/>
          </w:tcPr>
          <w:p>
            <w:pPr>
              <w:ind w:left="140"/>
              <w:spacing w:after="0"/>
              <w:rPr>
                <w:sz w:val="20"/>
                <w:szCs w:val="20"/>
                <w:color w:val="auto"/>
              </w:rPr>
            </w:pPr>
            <w:r>
              <w:rPr>
                <w:rFonts w:ascii="Arial" w:cs="Arial" w:eastAsia="Arial" w:hAnsi="Arial"/>
                <w:sz w:val="12"/>
                <w:szCs w:val="12"/>
                <w:color w:val="auto"/>
              </w:rPr>
              <w:t>Effect of catastrophes on ceding commissions earned</w:t>
            </w: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(166)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(166)</w:t>
            </w:r>
          </w:p>
        </w:tc>
        <w:tc>
          <w:tcPr>
            <w:tcW w:w="20" w:type="dxa"/>
            <w:vAlign w:val="bottom"/>
          </w:tcPr>
          <w:p>
            <w:pPr>
              <w:spacing w:after="0"/>
              <w:rPr>
                <w:sz w:val="12"/>
                <w:szCs w:val="12"/>
                <w:color w:val="auto"/>
              </w:rPr>
            </w:pPr>
          </w:p>
        </w:tc>
        <w:tc>
          <w:tcPr>
            <w:tcW w:w="1140" w:type="dxa"/>
            <w:vAlign w:val="bottom"/>
            <w:gridSpan w:val="2"/>
          </w:tcPr>
          <w:p>
            <w:pPr>
              <w:ind w:left="1020"/>
              <w:spacing w:after="0"/>
              <w:rPr>
                <w:sz w:val="20"/>
                <w:szCs w:val="20"/>
                <w:color w:val="auto"/>
              </w:rPr>
            </w:pPr>
            <w:r>
              <w:rPr>
                <w:rFonts w:ascii="Arial" w:cs="Arial" w:eastAsia="Arial" w:hAnsi="Arial"/>
                <w:sz w:val="12"/>
                <w:szCs w:val="12"/>
                <w:color w:val="auto"/>
                <w:w w:val="74"/>
              </w:rPr>
              <w:t>na</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4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Contingent ceding commissions earned</w:t>
            </w: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690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613</w:t>
            </w:r>
          </w:p>
        </w:tc>
        <w:tc>
          <w:tcPr>
            <w:tcW w:w="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796.1 %</w:t>
            </w:r>
          </w:p>
        </w:tc>
      </w:tr>
      <w:tr>
        <w:trPr>
          <w:trHeight w:val="142"/>
        </w:trPr>
        <w:tc>
          <w:tcPr>
            <w:tcW w:w="4320" w:type="dxa"/>
            <w:vAlign w:val="bottom"/>
            <w:tcBorders>
              <w:top w:val="single" w:sz="8" w:color="CCEEFF"/>
            </w:tcBorders>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gridSpan w:val="2"/>
          </w:tcPr>
          <w:p>
            <w:pPr>
              <w:spacing w:after="0"/>
              <w:rPr>
                <w:sz w:val="12"/>
                <w:szCs w:val="12"/>
                <w:color w:val="auto"/>
              </w:rPr>
            </w:pPr>
          </w:p>
        </w:tc>
      </w:tr>
      <w:tr>
        <w:trPr>
          <w:trHeight w:val="184"/>
        </w:trPr>
        <w:tc>
          <w:tcPr>
            <w:tcW w:w="4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ceding commission revenue</w:t>
            </w:r>
          </w:p>
        </w:tc>
        <w:tc>
          <w:tcPr>
            <w:tcW w:w="2620" w:type="dxa"/>
            <w:vAlign w:val="bottom"/>
            <w:gridSpan w:val="3"/>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3"/>
              </w:rPr>
              <w:t>3,655</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3,706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(51)</w:t>
            </w:r>
          </w:p>
        </w:tc>
        <w:tc>
          <w:tcPr>
            <w:tcW w:w="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(1.4) %</w:t>
            </w:r>
          </w:p>
        </w:tc>
      </w:tr>
      <w:tr>
        <w:trPr>
          <w:trHeight w:val="219"/>
        </w:trPr>
        <w:tc>
          <w:tcPr>
            <w:tcW w:w="432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jc w:val="right"/>
              <w:ind w:right="123"/>
              <w:spacing w:after="0"/>
              <w:rPr>
                <w:sz w:val="20"/>
                <w:szCs w:val="20"/>
                <w:color w:val="auto"/>
              </w:rPr>
            </w:pPr>
            <w:r>
              <w:rPr>
                <w:rFonts w:ascii="Arial" w:cs="Arial" w:eastAsia="Arial" w:hAnsi="Arial"/>
                <w:sz w:val="12"/>
                <w:szCs w:val="12"/>
                <w:color w:val="auto"/>
              </w:rPr>
              <w:t>42</w:t>
            </w:r>
          </w:p>
        </w:tc>
        <w:tc>
          <w:tcPr>
            <w:tcW w:w="100" w:type="dxa"/>
            <w:vAlign w:val="bottom"/>
            <w:tcBorders>
              <w:top w:val="single" w:sz="8" w:color="CCEEFF"/>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r>
      <w:tr>
        <w:trPr>
          <w:trHeight w:val="76"/>
        </w:trPr>
        <w:tc>
          <w:tcPr>
            <w:tcW w:w="4320" w:type="dxa"/>
            <w:vAlign w:val="bottom"/>
            <w:tcBorders>
              <w:bottom w:val="single" w:sz="8" w:color="808080"/>
            </w:tcBorders>
          </w:tcPr>
          <w:p>
            <w:pPr>
              <w:spacing w:after="0"/>
              <w:rPr>
                <w:sz w:val="6"/>
                <w:szCs w:val="6"/>
                <w:color w:val="auto"/>
              </w:rPr>
            </w:pPr>
          </w:p>
        </w:tc>
        <w:tc>
          <w:tcPr>
            <w:tcW w:w="16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4" w:name="page45"/>
    <w:bookmarkEnd w:id="44"/>
    <w:p>
      <w:pPr>
        <w:jc w:val="both"/>
        <w:ind w:firstLine="432"/>
        <w:spacing w:after="0" w:line="286" w:lineRule="auto"/>
        <w:rPr>
          <w:sz w:val="20"/>
          <w:szCs w:val="20"/>
          <w:color w:val="auto"/>
        </w:rPr>
      </w:pPr>
      <w:r>
        <w:rPr>
          <w:rFonts w:ascii="Arial" w:cs="Arial" w:eastAsia="Arial" w:hAnsi="Arial"/>
          <w:sz w:val="11"/>
          <w:szCs w:val="11"/>
          <w:color w:val="auto"/>
        </w:rPr>
        <w:t>Ceding commission revenue was $3,655,000 in Q2-2015 compared to $3,706,000 in Q2-2014. The decrease of $51,000, or 1.4%, was due to a decrease in provisional ceding commissions earned partially offset by an increase in contingent ceding commissions earned. We receive a provisional ceding commission based on ceded written premiums and a contingent ceding commission based on a sliding scale in relation to the losses incurred under our quota share treaties. The lower the ceded loss ratio, the more contingent commission we receive. The amount of contingent commissions we are eligible to receive under our personal lines quota share treaty in effect from July 1, 2014 to June 30, 2015 is subject to change based on losses incurred from claims with accident dates beginning July 1, 2014. The amount of contingent commissions we are eligible to receive under our prior years’ quota share treaties is subject to change based on losses incurred related to claims with accident dates before July 1, 2014 under those treaties. We did not renew our commercial lines quota share treaty upon its expiration on June 30, 2014.</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Provisional Ceding Commissions Earned</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$664,000 decrease in provisional ceding commissions earned is due to a decrease in the amount of premiums ceded as a result of the July 1, 2014 Cut-offs. Under the July 1, 2014 Cut-offs, our quota share percentages were reduced in our personal lines from 75% to 55% and in our commercial lines from 25% to 0%.</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Contingent Ceding Commissions Earned</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term of our personal lines reinsurance quota share treaty covers the period from July 1, 2013 to June 30, 2015 (“2013/2015 Treaty”). The 2013/2015 Treaty provides for contingent ceding commissions based on a sliding scale whereby we are entitled to receive between 40% - 57% of the ceded earned premiums; the lower the ceded loss ratio, the higher the percentage we were entitled to receive. The computation to arrive at contingent ceding commission revenue under the 2013/2015 Treaty includes catastrophe losses and LAE incurred from severe winter weather during 2015 and 2014 (see discussion of “Net Loss and LAE” below). Such losses increased our ceded loss ratio in our 2013/2015 Treaty, which reduced our contingent ceding commission revenue in accordance with the sliding scale discussed above in 2015 and 2014 by $166,000 and $-0-, respectively. See “Reinsurance” below for changes to our personal lines quota share treaty effective July 1, 2015.</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Net Investment Income</w:t>
      </w:r>
    </w:p>
    <w:p>
      <w:pPr>
        <w:spacing w:after="0" w:line="168" w:lineRule="exact"/>
        <w:rPr>
          <w:sz w:val="20"/>
          <w:szCs w:val="20"/>
          <w:color w:val="auto"/>
        </w:rPr>
      </w:pPr>
    </w:p>
    <w:p>
      <w:pPr>
        <w:jc w:val="both"/>
        <w:ind w:firstLine="432"/>
        <w:spacing w:after="0" w:line="380" w:lineRule="auto"/>
        <w:rPr>
          <w:sz w:val="20"/>
          <w:szCs w:val="20"/>
          <w:color w:val="auto"/>
        </w:rPr>
      </w:pPr>
      <w:r>
        <w:rPr>
          <w:rFonts w:ascii="Arial" w:cs="Arial" w:eastAsia="Arial" w:hAnsi="Arial"/>
          <w:sz w:val="10"/>
          <w:szCs w:val="10"/>
          <w:color w:val="auto"/>
        </w:rPr>
        <w:t>Net investment income was $626,000 in Q2-2015 compared to $452,000 in Q2-2014. The increase of $174,000, or 38.5%, was due to an increase in average invested assets in 2015. The increase in cash and invested assets resulted primarily from increased operating cash flows for the period after June 30, 2014. The pre-tax equivalent investment yield on estimated annual income, excluding cash, was 4.85% and 4.86% as of June 30, 2015 and 2014,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5" w:name="page46"/>
    <w:bookmarkEnd w:id="45"/>
    <w:p>
      <w:pPr>
        <w:spacing w:after="0"/>
        <w:rPr>
          <w:sz w:val="20"/>
          <w:szCs w:val="20"/>
          <w:color w:val="auto"/>
        </w:rPr>
      </w:pPr>
      <w:r>
        <w:rPr>
          <w:rFonts w:ascii="Arial" w:cs="Arial" w:eastAsia="Arial" w:hAnsi="Arial"/>
          <w:sz w:val="12"/>
          <w:szCs w:val="12"/>
          <w:u w:val="single" w:color="auto"/>
          <w:color w:val="auto"/>
        </w:rPr>
        <w:t>Net Loss and LAE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Net loss and LAE was $4,771,000 in Q2-2015 compared to $3,008,000 in Q2-2014. The net loss ratio was 43.9% in Q2-2015 compared to 46.8% in Q2-2014, a decrease of 2.9 percentage points. 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90170</wp:posOffset>
            </wp:positionV>
            <wp:extent cx="2819400" cy="2619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19400" cy="261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0"/>
          <w:szCs w:val="10"/>
          <w:color w:val="auto"/>
        </w:rPr>
        <w:t>During Q2-2015, our net loss ratio decreased compared to Q2-2014 due to a decrease in the core net loss ratio excluding severe winter weather and prior year development. The core net loss ratio declined 1.7 percentage points, to 42.6%, in Q2-2015 from 44.3% in Q2-2014. In addition, prior year development was reduced by 2.8 percentage points, with favorable development of 0.3 points in Q2-2015 compared to unfavorable development of 2.5 points in Q2-2014. The impact of severe winter weather increased the net loss ratio reported for Q2-2015 by 1.6 points, as some larger pipe freeze claims developed in the quarter. No additional impact from severe winter weather was recorded in Q2-</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2014. The improvement in the core net loss ratio was driven by favorable results for personal lines in Q2-2015 compared to Q2-2014 and a continued shift in the net earned premium mix towards lines of business that have a lower core loss ratio such as personal lines and livery physical damage. See table below under “Additional Financial Information” summarizing the net loss ratios by line of business.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Commercial Auto Line of Business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 As of March 31, 2015, we had 599 commercial auto policies in force, which represented 1.3% of our policies in force. As of June 30, 2015, we had 390 commercial auto policies in force, which represented 0.8% of our policies in force.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6" w:name="page47"/>
    <w:bookmarkEnd w:id="46"/>
    <w:p>
      <w:pPr>
        <w:spacing w:after="0"/>
        <w:rPr>
          <w:sz w:val="20"/>
          <w:szCs w:val="20"/>
          <w:color w:val="auto"/>
        </w:rPr>
      </w:pPr>
      <w:r>
        <w:rPr>
          <w:rFonts w:ascii="Arial" w:cs="Arial" w:eastAsia="Arial" w:hAnsi="Arial"/>
          <w:sz w:val="12"/>
          <w:szCs w:val="12"/>
          <w:u w:val="single" w:color="auto"/>
          <w:color w:val="auto"/>
        </w:rPr>
        <w:t>Commission Expense</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Commission expense was $3,600,000 in Q2-2015 or 18.0% of direct earned premiums. Commission expense was $2,904,000 in Q2-2014, or 17.6% of direct earned premiums. The increase of $696,000 or 24.0%, is due to the increase in direct written premiums in 2015 as compared to 2014, a change in in the mix of business to lines of business with higher commission rates, and an increase in contingent commissions.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Other Underwriting Expenses</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Other underwriting expenses were $2,962,000 in Q2-2015 compared to $2,529,000 in Q2-2014. The increase of $433,000, or 17.1%, in other underwriting expenses was primarily due to expenses directly and indirectly related to growth in direct written premiums, and rate increases in state assessed regulatory fees and state taxes based on premiums written.</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Salaries and employment costs were $1,363,000 in Q2-2015 compared to $1,167,000 in Q2-2014. The increase of $196,000, or 16.8%, was due to hiring of additional staff to service our current level of business and anticipated growth in volume. In addition, there were annual rate increases in both salaries and the cost of employee benefits. Other underwriting expenses as a percentage of direct written premiums increased to 12.8% in Q2-2015 from 12.5% in Q2-2014. Other underwriting expenses as a percentage of direct earned premiums decreased to 14.8% in Q2-2015 from 15.3% in Q2-2014.</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net underwriting expense ratio in Q2-2015 was 24.6% compared with 24.0% in Q2-2014. The following table shows the individual components of our net underwriting expense ratio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jc w:val="center"/>
              <w:ind w:right="24"/>
              <w:spacing w:after="0"/>
              <w:rPr>
                <w:sz w:val="20"/>
                <w:szCs w:val="20"/>
                <w:color w:val="auto"/>
              </w:rPr>
            </w:pPr>
            <w:r>
              <w:rPr>
                <w:rFonts w:ascii="Arial" w:cs="Arial" w:eastAsia="Arial" w:hAnsi="Arial"/>
                <w:sz w:val="10"/>
                <w:szCs w:val="10"/>
                <w:b w:val="1"/>
                <w:bCs w:val="1"/>
                <w:color w:val="auto"/>
                <w:w w:val="85"/>
              </w:rPr>
              <w:t>Three months ended</w:t>
            </w: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14"/>
        </w:trPr>
        <w:tc>
          <w:tcPr>
            <w:tcW w:w="48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center"/>
              <w:ind w:right="4"/>
              <w:spacing w:after="0" w:line="114" w:lineRule="exact"/>
              <w:rPr>
                <w:sz w:val="20"/>
                <w:szCs w:val="20"/>
                <w:color w:val="auto"/>
              </w:rPr>
            </w:pPr>
            <w:r>
              <w:rPr>
                <w:rFonts w:ascii="Arial" w:cs="Arial" w:eastAsia="Arial" w:hAnsi="Arial"/>
                <w:sz w:val="10"/>
                <w:szCs w:val="10"/>
                <w:b w:val="1"/>
                <w:bCs w:val="1"/>
                <w:color w:val="auto"/>
                <w:w w:val="84"/>
              </w:rPr>
              <w:t>June 30,</w:t>
            </w:r>
          </w:p>
        </w:tc>
        <w:tc>
          <w:tcPr>
            <w:tcW w:w="1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8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1"/>
              </w:rPr>
              <w:t>Percentage</w:t>
            </w:r>
          </w:p>
        </w:tc>
        <w:tc>
          <w:tcPr>
            <w:tcW w:w="260" w:type="dxa"/>
            <w:vAlign w:val="bottom"/>
          </w:tcPr>
          <w:p>
            <w:pPr>
              <w:spacing w:after="0"/>
              <w:rPr>
                <w:sz w:val="9"/>
                <w:szCs w:val="9"/>
                <w:color w:val="auto"/>
              </w:rPr>
            </w:pPr>
          </w:p>
        </w:tc>
      </w:tr>
      <w:tr>
        <w:trPr>
          <w:trHeight w:val="142"/>
        </w:trPr>
        <w:tc>
          <w:tcPr>
            <w:tcW w:w="5740" w:type="dxa"/>
            <w:vAlign w:val="bottom"/>
            <w:gridSpan w:val="2"/>
          </w:tcPr>
          <w:p>
            <w:pPr>
              <w:ind w:left="5380"/>
              <w:spacing w:after="0"/>
              <w:rPr>
                <w:sz w:val="20"/>
                <w:szCs w:val="20"/>
                <w:color w:val="auto"/>
              </w:rPr>
            </w:pPr>
            <w:r>
              <w:rPr>
                <w:rFonts w:ascii="Arial" w:cs="Arial" w:eastAsia="Arial" w:hAnsi="Arial"/>
                <w:sz w:val="10"/>
                <w:szCs w:val="10"/>
                <w:b w:val="1"/>
                <w:bCs w:val="1"/>
                <w:color w:val="auto"/>
              </w:rPr>
              <w:t>2015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60" w:type="dxa"/>
            <w:vAlign w:val="bottom"/>
          </w:tcPr>
          <w:p>
            <w:pPr>
              <w:jc w:val="right"/>
              <w:ind w:right="522"/>
              <w:spacing w:after="0"/>
              <w:rPr>
                <w:sz w:val="20"/>
                <w:szCs w:val="20"/>
                <w:color w:val="auto"/>
              </w:rPr>
            </w:pPr>
            <w:r>
              <w:rPr>
                <w:rFonts w:ascii="Arial" w:cs="Arial" w:eastAsia="Arial" w:hAnsi="Arial"/>
                <w:sz w:val="10"/>
                <w:szCs w:val="10"/>
                <w:b w:val="1"/>
                <w:bCs w:val="1"/>
                <w:color w:val="auto"/>
              </w:rPr>
              <w:t>2014</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6"/>
              </w:rPr>
              <w:t>Point Change</w:t>
            </w:r>
          </w:p>
        </w:tc>
        <w:tc>
          <w:tcPr>
            <w:tcW w:w="260" w:type="dxa"/>
            <w:vAlign w:val="bottom"/>
          </w:tcPr>
          <w:p>
            <w:pPr>
              <w:spacing w:after="0"/>
              <w:rPr>
                <w:sz w:val="12"/>
                <w:szCs w:val="12"/>
                <w:color w:val="auto"/>
              </w:rPr>
            </w:pPr>
          </w:p>
        </w:tc>
      </w:tr>
      <w:tr>
        <w:trPr>
          <w:trHeight w:val="142"/>
        </w:trPr>
        <w:tc>
          <w:tcPr>
            <w:tcW w:w="48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4"/>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Ceding commission revenue - provisional</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(27.3</w:t>
            </w:r>
          </w:p>
        </w:tc>
        <w:tc>
          <w:tcPr>
            <w:tcW w:w="1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 %</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(56.5</w:t>
            </w:r>
          </w:p>
        </w:tc>
        <w:tc>
          <w:tcPr>
            <w:tcW w:w="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 %</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29.2</w:t>
            </w:r>
          </w:p>
        </w:tc>
        <w:tc>
          <w:tcPr>
            <w:tcW w:w="260" w:type="dxa"/>
            <w:vAlign w:val="bottom"/>
            <w:shd w:val="clear" w:color="auto" w:fill="CCEEFF"/>
          </w:tcPr>
          <w:p>
            <w:pPr>
              <w:spacing w:after="0"/>
              <w:rPr>
                <w:sz w:val="12"/>
                <w:szCs w:val="12"/>
                <w:color w:val="auto"/>
              </w:rPr>
            </w:pPr>
          </w:p>
        </w:tc>
      </w:tr>
      <w:tr>
        <w:trPr>
          <w:trHeight w:val="144"/>
        </w:trPr>
        <w:tc>
          <w:tcPr>
            <w:tcW w:w="5740" w:type="dxa"/>
            <w:vAlign w:val="bottom"/>
            <w:gridSpan w:val="2"/>
          </w:tcPr>
          <w:p>
            <w:pPr>
              <w:ind w:left="20"/>
              <w:spacing w:after="0"/>
              <w:rPr>
                <w:sz w:val="20"/>
                <w:szCs w:val="20"/>
                <w:color w:val="auto"/>
              </w:rPr>
            </w:pPr>
            <w:r>
              <w:rPr>
                <w:rFonts w:ascii="Arial" w:cs="Arial" w:eastAsia="Arial" w:hAnsi="Arial"/>
                <w:sz w:val="12"/>
                <w:szCs w:val="12"/>
                <w:color w:val="auto"/>
              </w:rPr>
              <w:t>Ceding commission revenue - contingent</w:t>
            </w:r>
          </w:p>
        </w:tc>
        <w:tc>
          <w:tcPr>
            <w:tcW w:w="420" w:type="dxa"/>
            <w:vAlign w:val="bottom"/>
          </w:tcPr>
          <w:p>
            <w:pPr>
              <w:jc w:val="right"/>
              <w:spacing w:after="0"/>
              <w:rPr>
                <w:sz w:val="20"/>
                <w:szCs w:val="20"/>
                <w:color w:val="auto"/>
              </w:rPr>
            </w:pPr>
            <w:r>
              <w:rPr>
                <w:rFonts w:ascii="Arial" w:cs="Arial" w:eastAsia="Arial" w:hAnsi="Arial"/>
                <w:sz w:val="12"/>
                <w:szCs w:val="12"/>
                <w:color w:val="auto"/>
              </w:rPr>
              <w:t>(6.4</w:t>
            </w:r>
          </w:p>
        </w:tc>
        <w:tc>
          <w:tcPr>
            <w:tcW w:w="60" w:type="dxa"/>
            <w:vAlign w:val="bottom"/>
          </w:tcPr>
          <w:p>
            <w:pPr>
              <w:spacing w:after="0"/>
              <w:rPr>
                <w:sz w:val="12"/>
                <w:szCs w:val="12"/>
                <w:color w:val="auto"/>
              </w:rPr>
            </w:pPr>
          </w:p>
        </w:tc>
        <w:tc>
          <w:tcPr>
            <w:tcW w:w="1000" w:type="dxa"/>
            <w:vAlign w:val="bottom"/>
          </w:tcPr>
          <w:p>
            <w:pPr>
              <w:ind w:left="360"/>
              <w:spacing w:after="0"/>
              <w:rPr>
                <w:sz w:val="20"/>
                <w:szCs w:val="20"/>
                <w:color w:val="auto"/>
              </w:rPr>
            </w:pPr>
            <w:r>
              <w:rPr>
                <w:rFonts w:ascii="Arial" w:cs="Arial" w:eastAsia="Arial" w:hAnsi="Arial"/>
                <w:sz w:val="12"/>
                <w:szCs w:val="12"/>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2"/>
                <w:szCs w:val="12"/>
                <w:color w:val="auto"/>
              </w:rPr>
              <w:t>(1.2</w:t>
            </w:r>
          </w:p>
        </w:tc>
        <w:tc>
          <w:tcPr>
            <w:tcW w:w="840" w:type="dxa"/>
            <w:vAlign w:val="bottom"/>
          </w:tcPr>
          <w:p>
            <w:pPr>
              <w:ind w:left="200"/>
              <w:spacing w:after="0"/>
              <w:rPr>
                <w:sz w:val="20"/>
                <w:szCs w:val="20"/>
                <w:color w:val="auto"/>
              </w:rPr>
            </w:pPr>
            <w:r>
              <w:rPr>
                <w:rFonts w:ascii="Arial" w:cs="Arial" w:eastAsia="Arial" w:hAnsi="Arial"/>
                <w:sz w:val="12"/>
                <w:szCs w:val="12"/>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2"/>
                <w:szCs w:val="12"/>
                <w:color w:val="auto"/>
              </w:rPr>
              <w:t>(5.2</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w:t>
            </w:r>
          </w:p>
        </w:tc>
        <w:tc>
          <w:tcPr>
            <w:tcW w:w="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w:t>
            </w:r>
          </w:p>
        </w:tc>
        <w:tc>
          <w:tcPr>
            <w:tcW w:w="260" w:type="dxa"/>
            <w:vAlign w:val="bottom"/>
            <w:shd w:val="clear" w:color="auto" w:fill="CCEEFF"/>
          </w:tcPr>
          <w:p>
            <w:pPr>
              <w:spacing w:after="0"/>
              <w:rPr>
                <w:sz w:val="12"/>
                <w:szCs w:val="12"/>
                <w:color w:val="auto"/>
              </w:rPr>
            </w:pPr>
          </w:p>
        </w:tc>
      </w:tr>
      <w:tr>
        <w:trPr>
          <w:trHeight w:val="144"/>
        </w:trPr>
        <w:tc>
          <w:tcPr>
            <w:tcW w:w="5740" w:type="dxa"/>
            <w:vAlign w:val="bottom"/>
            <w:gridSpan w:val="2"/>
          </w:tcPr>
          <w:p>
            <w:pPr>
              <w:ind w:left="20"/>
              <w:spacing w:after="0"/>
              <w:rPr>
                <w:sz w:val="20"/>
                <w:szCs w:val="20"/>
                <w:color w:val="auto"/>
              </w:rPr>
            </w:pPr>
            <w:r>
              <w:rPr>
                <w:rFonts w:ascii="Arial" w:cs="Arial" w:eastAsia="Arial" w:hAnsi="Arial"/>
                <w:sz w:val="12"/>
                <w:szCs w:val="12"/>
                <w:color w:val="auto"/>
              </w:rPr>
              <w:t>Acquistion costs and other underwriting expenses: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4"/>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Commission expense</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33.1</w:t>
            </w:r>
          </w:p>
        </w:tc>
        <w:tc>
          <w:tcPr>
            <w:tcW w:w="100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45.2</w:t>
            </w:r>
          </w:p>
        </w:tc>
        <w:tc>
          <w:tcPr>
            <w:tcW w:w="8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(12.1</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800" w:type="dxa"/>
            <w:vAlign w:val="bottom"/>
          </w:tcPr>
          <w:p>
            <w:pPr>
              <w:ind w:left="20"/>
              <w:spacing w:after="0"/>
              <w:rPr>
                <w:sz w:val="20"/>
                <w:szCs w:val="20"/>
                <w:color w:val="auto"/>
              </w:rPr>
            </w:pPr>
            <w:r>
              <w:rPr>
                <w:rFonts w:ascii="Arial" w:cs="Arial" w:eastAsia="Arial" w:hAnsi="Arial"/>
                <w:sz w:val="12"/>
                <w:szCs w:val="12"/>
                <w:color w:val="auto"/>
              </w:rPr>
              <w:t>Other underwriting expenses</w:t>
            </w:r>
          </w:p>
        </w:tc>
        <w:tc>
          <w:tcPr>
            <w:tcW w:w="9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39.3</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2"/>
                <w:szCs w:val="12"/>
                <w:color w:val="auto"/>
              </w:rPr>
              <w:t>(12.0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2"/>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underwriting expense ratio</w:t>
            </w:r>
          </w:p>
        </w:tc>
        <w:tc>
          <w:tcPr>
            <w:tcW w:w="9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24.6</w:t>
            </w:r>
          </w:p>
        </w:tc>
        <w:tc>
          <w:tcPr>
            <w:tcW w:w="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center"/>
              <w:ind w:right="4"/>
              <w:spacing w:after="0"/>
              <w:rPr>
                <w:sz w:val="20"/>
                <w:szCs w:val="20"/>
                <w:color w:val="auto"/>
              </w:rPr>
            </w:pPr>
            <w:r>
              <w:rPr>
                <w:rFonts w:ascii="Arial" w:cs="Arial" w:eastAsia="Arial" w:hAnsi="Arial"/>
                <w:sz w:val="12"/>
                <w:szCs w:val="12"/>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w:t>
            </w:r>
          </w:p>
        </w:tc>
        <w:tc>
          <w:tcPr>
            <w:tcW w:w="26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jc w:val="both"/>
        <w:ind w:firstLine="539"/>
        <w:spacing w:after="0" w:line="276" w:lineRule="auto"/>
        <w:rPr>
          <w:sz w:val="20"/>
          <w:szCs w:val="20"/>
          <w:color w:val="auto"/>
        </w:rPr>
      </w:pPr>
      <w:r>
        <w:rPr>
          <w:rFonts w:ascii="Arial" w:cs="Arial" w:eastAsia="Arial" w:hAnsi="Arial"/>
          <w:sz w:val="12"/>
          <w:szCs w:val="12"/>
          <w:color w:val="auto"/>
        </w:rPr>
        <w:t>The increase of 0.6 percentage points was due to the individual components of provisional ceding commission revenue, commission expense and other underwriting expenses and their relation to the increase in net premiums earned as a result of the additional retention resulting from the Cut-offs to our quota share treaties on July 1,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47" w:name="page48"/>
    <w:bookmarkEnd w:id="47"/>
    <w:p>
      <w:pPr>
        <w:spacing w:after="0"/>
        <w:rPr>
          <w:sz w:val="20"/>
          <w:szCs w:val="20"/>
          <w:color w:val="auto"/>
        </w:rPr>
      </w:pPr>
      <w:r>
        <w:rPr>
          <w:rFonts w:ascii="Arial" w:cs="Arial" w:eastAsia="Arial" w:hAnsi="Arial"/>
          <w:sz w:val="12"/>
          <w:szCs w:val="12"/>
          <w:u w:val="single" w:color="auto"/>
          <w:color w:val="auto"/>
        </w:rPr>
        <w:t>Other Operating Expenses</w:t>
      </w:r>
    </w:p>
    <w:p>
      <w:pPr>
        <w:spacing w:after="0" w:line="168"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Other operating expenses, related to the expenses of our holding company, were $378,000 in Q2-2015 compared to $338,000 in Q2-2014. The increase in Q2-2015 of $40,000, or 11.8%, was primarily due to an increase in the rate of executive compensation and higher stock-based compensation expense from additional options granted to our chief executive officer in August 2014 pursuant to his amended employment agreement.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Depreciation and Amortization</w:t>
      </w:r>
    </w:p>
    <w:p>
      <w:pPr>
        <w:spacing w:after="0" w:line="16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Depreciation and amortization was $246,000 in Q2-2015 compared to $210,000 in Q2-2014. The increase of $36,000, or 17.1%, in depreciation and amortization was primarily due to depreciation on newly purchased assets used to upgrade our systems infrastructure and the building from which we operate.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Income Tax Expense</w:t>
      </w:r>
    </w:p>
    <w:p>
      <w:pPr>
        <w:spacing w:after="0" w:line="168"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Income tax expense in Q2-2015 was $1,206,000, which resulted in an effective tax rate of 33.6%. Income tax expense in Q2-2014 was $629,000, which resulted in an effective tax rate of 31.7%. Income before taxes was $3,585,000 in Q2-2015 compared to $1,984,000 in Q2-2014. The increase in the effective tax rate by 1.9 percentage points in Q2-2015 is a result of net changes in permanent differences.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Net Income</w:t>
      </w:r>
    </w:p>
    <w:p>
      <w:pPr>
        <w:spacing w:after="0" w:line="168"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Net income was $2,379,000 in Q2-2015 compared to $1,355,000 in Q2-2014. The increase in net income of $1,024,000, or 75.6%, was due to the circumstances described above that caused the increase in our net premiums earned and net investment income, and a decrease in our net loss ratio, partially offset by a decrease in net realized gains and ceding commission revenue, and increases in other underwriting expenses related to premium growth and other operating expenses.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Financial Information</w:t>
      </w:r>
    </w:p>
    <w:p>
      <w:pPr>
        <w:spacing w:after="0" w:line="172"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We operate our business as one segment, property and casualty insurance. Within this segment, we offer a wide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48" w:name="page49"/>
    <w:bookmarkEnd w:id="48"/>
    <w:tbl>
      <w:tblPr>
        <w:tblLayout w:type="fixed"/>
        <w:tblInd w:w="8"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gridSpan w:val="4"/>
          </w:tcPr>
          <w:p>
            <w:pPr>
              <w:jc w:val="right"/>
              <w:spacing w:after="0"/>
              <w:rPr>
                <w:sz w:val="20"/>
                <w:szCs w:val="20"/>
                <w:color w:val="auto"/>
              </w:rPr>
            </w:pPr>
            <w:r>
              <w:rPr>
                <w:rFonts w:ascii="Arial" w:cs="Arial" w:eastAsia="Arial" w:hAnsi="Arial"/>
                <w:sz w:val="10"/>
                <w:szCs w:val="10"/>
                <w:b w:val="1"/>
                <w:bCs w:val="1"/>
                <w:color w:val="auto"/>
              </w:rPr>
              <w:t>For the Three Months Ended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gridSpan w:val="3"/>
          </w:tcPr>
          <w:p>
            <w:pPr>
              <w:jc w:val="right"/>
              <w:spacing w:after="0"/>
              <w:rPr>
                <w:sz w:val="20"/>
                <w:szCs w:val="20"/>
                <w:color w:val="auto"/>
              </w:rPr>
            </w:pPr>
            <w:r>
              <w:rPr>
                <w:rFonts w:ascii="Arial" w:cs="Arial" w:eastAsia="Arial" w:hAnsi="Arial"/>
                <w:sz w:val="10"/>
                <w:szCs w:val="10"/>
                <w:b w:val="1"/>
                <w:bCs w:val="1"/>
                <w:color w:val="auto"/>
              </w:rPr>
              <w:t>For the Six Months Ended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4"/>
        </w:trPr>
        <w:tc>
          <w:tcPr>
            <w:tcW w:w="60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4"/>
          </w:tcPr>
          <w:p>
            <w:pPr>
              <w:jc w:val="right"/>
              <w:ind w:right="420"/>
              <w:spacing w:after="0" w:line="114" w:lineRule="exact"/>
              <w:rPr>
                <w:sz w:val="20"/>
                <w:szCs w:val="20"/>
                <w:color w:val="auto"/>
              </w:rPr>
            </w:pPr>
            <w:r>
              <w:rPr>
                <w:rFonts w:ascii="Arial" w:cs="Arial" w:eastAsia="Arial" w:hAnsi="Arial"/>
                <w:sz w:val="10"/>
                <w:szCs w:val="10"/>
                <w:b w:val="1"/>
                <w:bCs w:val="1"/>
                <w:color w:val="auto"/>
              </w:rPr>
              <w:t>June 30,</w:t>
            </w: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gridSpan w:val="3"/>
          </w:tcPr>
          <w:p>
            <w:pPr>
              <w:jc w:val="right"/>
              <w:ind w:right="350"/>
              <w:spacing w:after="0" w:line="114" w:lineRule="exact"/>
              <w:rPr>
                <w:sz w:val="20"/>
                <w:szCs w:val="20"/>
                <w:color w:val="auto"/>
              </w:rPr>
            </w:pPr>
            <w:r>
              <w:rPr>
                <w:rFonts w:ascii="Arial" w:cs="Arial" w:eastAsia="Arial" w:hAnsi="Arial"/>
                <w:sz w:val="10"/>
                <w:szCs w:val="10"/>
                <w:b w:val="1"/>
                <w:bCs w:val="1"/>
                <w:color w:val="auto"/>
              </w:rPr>
              <w:t>June 30,</w:t>
            </w: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42"/>
        </w:trPr>
        <w:tc>
          <w:tcPr>
            <w:tcW w:w="6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w w:val="71"/>
              </w:rPr>
              <w:t>2014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premiums written:</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Personal lines</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16,964,187</w:t>
            </w:r>
          </w:p>
        </w:tc>
        <w:tc>
          <w:tcPr>
            <w:tcW w:w="60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14,242,841</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31,201,904</w:t>
            </w:r>
          </w:p>
        </w:tc>
        <w:tc>
          <w:tcPr>
            <w:tcW w:w="220" w:type="dxa"/>
            <w:vAlign w:val="bottom"/>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25,834,138</w:t>
            </w: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lines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3,501,849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3,550,104</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6,301,219</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2"/>
                <w:szCs w:val="12"/>
                <w:color w:val="auto"/>
                <w:w w:val="86"/>
              </w:rPr>
              <w:t>6,346,101</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Commercial auto</w:t>
            </w: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44,517</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1,143,822</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579,753</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2"/>
                <w:szCs w:val="12"/>
                <w:color w:val="auto"/>
                <w:w w:val="86"/>
              </w:rPr>
              <w:t>2,135,998</w:t>
            </w: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Livery physical damage</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2,585,442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1,199,525</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4,458,057</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2"/>
                <w:szCs w:val="12"/>
                <w:color w:val="auto"/>
                <w:w w:val="86"/>
              </w:rPr>
              <w:t>2,141,388</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Other(1)</w:t>
            </w: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84,029</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122,864</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136,431</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156,623</w:t>
            </w:r>
          </w:p>
        </w:tc>
      </w:tr>
      <w:tr>
        <w:trPr>
          <w:trHeight w:val="20"/>
        </w:trPr>
        <w:tc>
          <w:tcPr>
            <w:tcW w:w="6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60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23,180,024</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20,259,156</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42,677,364</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36,614,248</w:t>
            </w:r>
          </w:p>
        </w:tc>
      </w:tr>
      <w:tr>
        <w:trPr>
          <w:trHeight w:val="120"/>
        </w:trPr>
        <w:tc>
          <w:tcPr>
            <w:tcW w:w="608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premiums written:</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Personal lines</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7,219,565</w:t>
            </w:r>
          </w:p>
        </w:tc>
        <w:tc>
          <w:tcPr>
            <w:tcW w:w="120" w:type="dxa"/>
            <w:vAlign w:val="bottom"/>
          </w:tcPr>
          <w:p>
            <w:pPr>
              <w:spacing w:after="0"/>
              <w:rPr>
                <w:sz w:val="12"/>
                <w:szCs w:val="12"/>
                <w:color w:val="auto"/>
              </w:rPr>
            </w:pPr>
          </w:p>
        </w:tc>
        <w:tc>
          <w:tcPr>
            <w:tcW w:w="60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3,624,033</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13,172,346</w:t>
            </w:r>
          </w:p>
        </w:tc>
        <w:tc>
          <w:tcPr>
            <w:tcW w:w="220" w:type="dxa"/>
            <w:vAlign w:val="bottom"/>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680" w:type="dxa"/>
            <w:vAlign w:val="bottom"/>
          </w:tcPr>
          <w:p>
            <w:pPr>
              <w:ind w:left="200"/>
              <w:spacing w:after="0"/>
              <w:rPr>
                <w:sz w:val="20"/>
                <w:szCs w:val="20"/>
                <w:color w:val="auto"/>
              </w:rPr>
            </w:pPr>
            <w:r>
              <w:rPr>
                <w:rFonts w:ascii="Arial" w:cs="Arial" w:eastAsia="Arial" w:hAnsi="Arial"/>
                <w:sz w:val="12"/>
                <w:szCs w:val="12"/>
                <w:color w:val="auto"/>
                <w:w w:val="86"/>
              </w:rPr>
              <w:t>6,348,482</w:t>
            </w: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lines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3,221,303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2,479,187</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5,759,078</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4,426,011</w:t>
            </w: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Commercial auto</w:t>
            </w: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42,957</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1,103,732</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528,871</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2"/>
                <w:szCs w:val="12"/>
                <w:color w:val="auto"/>
                <w:w w:val="86"/>
              </w:rPr>
              <w:t>2,061,132</w:t>
            </w: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Livery physical damage</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2,585,442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1,199,525</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4,458,057</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2"/>
                <w:szCs w:val="12"/>
                <w:color w:val="auto"/>
                <w:w w:val="86"/>
              </w:rPr>
              <w:t>2,141,388</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Other(1)</w:t>
            </w: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62,426</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94,704</w:t>
            </w:r>
          </w:p>
        </w:tc>
        <w:tc>
          <w:tcPr>
            <w:tcW w:w="28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91,276</w:t>
            </w: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109,431</w:t>
            </w:r>
          </w:p>
        </w:tc>
      </w:tr>
      <w:tr>
        <w:trPr>
          <w:trHeight w:val="20"/>
        </w:trPr>
        <w:tc>
          <w:tcPr>
            <w:tcW w:w="6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60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13,131,693</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8,501,181</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24,009,628</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15,086,444</w:t>
            </w:r>
          </w:p>
        </w:tc>
      </w:tr>
      <w:tr>
        <w:trPr>
          <w:trHeight w:val="120"/>
        </w:trPr>
        <w:tc>
          <w:tcPr>
            <w:tcW w:w="608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premiums earned:</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Personal lines</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6,238,924</w:t>
            </w:r>
          </w:p>
        </w:tc>
        <w:tc>
          <w:tcPr>
            <w:tcW w:w="120" w:type="dxa"/>
            <w:vAlign w:val="bottom"/>
          </w:tcPr>
          <w:p>
            <w:pPr>
              <w:spacing w:after="0"/>
              <w:rPr>
                <w:sz w:val="12"/>
                <w:szCs w:val="12"/>
                <w:color w:val="auto"/>
              </w:rPr>
            </w:pPr>
          </w:p>
        </w:tc>
        <w:tc>
          <w:tcPr>
            <w:tcW w:w="60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2,796,042</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12,199,399</w:t>
            </w:r>
          </w:p>
        </w:tc>
        <w:tc>
          <w:tcPr>
            <w:tcW w:w="220" w:type="dxa"/>
            <w:vAlign w:val="bottom"/>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680" w:type="dxa"/>
            <w:vAlign w:val="bottom"/>
          </w:tcPr>
          <w:p>
            <w:pPr>
              <w:ind w:left="200"/>
              <w:spacing w:after="0"/>
              <w:rPr>
                <w:sz w:val="20"/>
                <w:szCs w:val="20"/>
                <w:color w:val="auto"/>
              </w:rPr>
            </w:pPr>
            <w:r>
              <w:rPr>
                <w:rFonts w:ascii="Arial" w:cs="Arial" w:eastAsia="Arial" w:hAnsi="Arial"/>
                <w:sz w:val="12"/>
                <w:szCs w:val="12"/>
                <w:color w:val="auto"/>
                <w:w w:val="86"/>
              </w:rPr>
              <w:t>5,368,257</w:t>
            </w: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lines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2,452,598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1,753,832</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4,864,741</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2"/>
                <w:szCs w:val="12"/>
                <w:color w:val="auto"/>
                <w:w w:val="86"/>
              </w:rPr>
              <w:t>3,334,655</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Commercial auto</w:t>
            </w: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521,276</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1,028,626</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1,183,908</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2"/>
                <w:szCs w:val="12"/>
                <w:color w:val="auto"/>
                <w:w w:val="86"/>
              </w:rPr>
              <w:t>2,135,309</w:t>
            </w: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Livery physical damage</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1,613,890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784,279</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2,920,467</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2"/>
                <w:szCs w:val="12"/>
                <w:color w:val="auto"/>
                <w:w w:val="86"/>
              </w:rPr>
              <w:t>1,422,672</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Other(1)</w:t>
            </w: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39,027</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66,594</w:t>
            </w:r>
          </w:p>
        </w:tc>
        <w:tc>
          <w:tcPr>
            <w:tcW w:w="28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82,999</w:t>
            </w: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94,791</w:t>
            </w:r>
          </w:p>
        </w:tc>
      </w:tr>
      <w:tr>
        <w:trPr>
          <w:trHeight w:val="20"/>
        </w:trPr>
        <w:tc>
          <w:tcPr>
            <w:tcW w:w="6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60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10,865,715</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6,429,373</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21,251,514</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12,355,684</w:t>
            </w:r>
          </w:p>
        </w:tc>
      </w:tr>
      <w:tr>
        <w:trPr>
          <w:trHeight w:val="120"/>
        </w:trPr>
        <w:tc>
          <w:tcPr>
            <w:tcW w:w="608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and loss adjustment expenses: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Personal lines</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1,803,347</w:t>
            </w:r>
          </w:p>
        </w:tc>
        <w:tc>
          <w:tcPr>
            <w:tcW w:w="120" w:type="dxa"/>
            <w:vAlign w:val="bottom"/>
          </w:tcPr>
          <w:p>
            <w:pPr>
              <w:spacing w:after="0"/>
              <w:rPr>
                <w:sz w:val="12"/>
                <w:szCs w:val="12"/>
                <w:color w:val="auto"/>
              </w:rPr>
            </w:pPr>
          </w:p>
        </w:tc>
        <w:tc>
          <w:tcPr>
            <w:tcW w:w="60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1,512,975</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6,151,918</w:t>
            </w:r>
          </w:p>
        </w:tc>
        <w:tc>
          <w:tcPr>
            <w:tcW w:w="220" w:type="dxa"/>
            <w:vAlign w:val="bottom"/>
          </w:tcPr>
          <w:p>
            <w:pPr>
              <w:spacing w:after="0"/>
              <w:rPr>
                <w:sz w:val="12"/>
                <w:szCs w:val="12"/>
                <w:color w:val="auto"/>
              </w:rPr>
            </w:pP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680" w:type="dxa"/>
            <w:vAlign w:val="bottom"/>
          </w:tcPr>
          <w:p>
            <w:pPr>
              <w:ind w:left="200"/>
              <w:spacing w:after="0"/>
              <w:rPr>
                <w:sz w:val="20"/>
                <w:szCs w:val="20"/>
                <w:color w:val="auto"/>
              </w:rPr>
            </w:pPr>
            <w:r>
              <w:rPr>
                <w:rFonts w:ascii="Arial" w:cs="Arial" w:eastAsia="Arial" w:hAnsi="Arial"/>
                <w:sz w:val="12"/>
                <w:szCs w:val="12"/>
                <w:color w:val="auto"/>
                <w:w w:val="86"/>
              </w:rPr>
              <w:t>3,362,355</w:t>
            </w: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 lines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1,831,195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564,708</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3,298,888</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2"/>
                <w:szCs w:val="12"/>
                <w:color w:val="auto"/>
                <w:w w:val="86"/>
              </w:rPr>
              <w:t>1,538,446</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Commercial auto</w:t>
            </w: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238,328</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260,131</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577,536</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2"/>
                <w:szCs w:val="12"/>
                <w:color w:val="auto"/>
                <w:w w:val="86"/>
              </w:rPr>
              <w:t>1,292,402</w:t>
            </w: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Livery physical damage</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582,288</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310,989</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1,130,029</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511,828</w:t>
            </w: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Other(1)</w:t>
            </w:r>
          </w:p>
        </w:tc>
        <w:tc>
          <w:tcPr>
            <w:tcW w:w="2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34,654</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112,152</w:t>
            </w:r>
          </w:p>
        </w:tc>
        <w:tc>
          <w:tcPr>
            <w:tcW w:w="28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111,800</w:t>
            </w: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145,809</w:t>
            </w: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Unallocated loss adjustment expenses</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281,001</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246,984</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563,859</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482,053</w:t>
            </w:r>
          </w:p>
        </w:tc>
      </w:tr>
      <w:tr>
        <w:trPr>
          <w:trHeight w:val="20"/>
        </w:trPr>
        <w:tc>
          <w:tcPr>
            <w:tcW w:w="60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tcPr>
          <w:p>
            <w:pPr>
              <w:ind w:left="120"/>
              <w:spacing w:after="0"/>
              <w:rPr>
                <w:sz w:val="20"/>
                <w:szCs w:val="20"/>
                <w:color w:val="auto"/>
              </w:rPr>
            </w:pPr>
            <w:r>
              <w:rPr>
                <w:rFonts w:ascii="Arial" w:cs="Arial" w:eastAsia="Arial" w:hAnsi="Arial"/>
                <w:sz w:val="12"/>
                <w:szCs w:val="12"/>
                <w:color w:val="auto"/>
              </w:rPr>
              <w:t>Total</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4,770,813</w:t>
            </w:r>
          </w:p>
        </w:tc>
        <w:tc>
          <w:tcPr>
            <w:tcW w:w="120" w:type="dxa"/>
            <w:vAlign w:val="bottom"/>
          </w:tcPr>
          <w:p>
            <w:pPr>
              <w:spacing w:after="0"/>
              <w:rPr>
                <w:sz w:val="12"/>
                <w:szCs w:val="12"/>
                <w:color w:val="auto"/>
              </w:rPr>
            </w:pPr>
          </w:p>
        </w:tc>
        <w:tc>
          <w:tcPr>
            <w:tcW w:w="60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3,007,939</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11,834,030</w:t>
            </w: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680" w:type="dxa"/>
            <w:vAlign w:val="bottom"/>
          </w:tcPr>
          <w:p>
            <w:pPr>
              <w:ind w:left="200"/>
              <w:spacing w:after="0"/>
              <w:rPr>
                <w:sz w:val="20"/>
                <w:szCs w:val="20"/>
                <w:color w:val="auto"/>
              </w:rPr>
            </w:pPr>
            <w:r>
              <w:rPr>
                <w:rFonts w:ascii="Arial" w:cs="Arial" w:eastAsia="Arial" w:hAnsi="Arial"/>
                <w:sz w:val="12"/>
                <w:szCs w:val="12"/>
                <w:color w:val="auto"/>
                <w:w w:val="86"/>
              </w:rPr>
              <w:t>7,332,893</w:t>
            </w:r>
          </w:p>
        </w:tc>
        <w:tc>
          <w:tcPr>
            <w:tcW w:w="120" w:type="dxa"/>
            <w:vAlign w:val="bottom"/>
          </w:tcPr>
          <w:p>
            <w:pPr>
              <w:spacing w:after="0"/>
              <w:rPr>
                <w:sz w:val="12"/>
                <w:szCs w:val="12"/>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60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bl>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540" w:type="dxa"/>
            <w:vAlign w:val="bottom"/>
          </w:tcPr>
          <w:p>
            <w:pPr>
              <w:spacing w:after="0"/>
              <w:rPr>
                <w:sz w:val="20"/>
                <w:szCs w:val="20"/>
                <w:color w:val="auto"/>
              </w:rPr>
            </w:pPr>
            <w:r>
              <w:rPr>
                <w:rFonts w:ascii="Arial" w:cs="Arial" w:eastAsia="Arial" w:hAnsi="Arial"/>
                <w:sz w:val="12"/>
                <w:szCs w:val="12"/>
                <w:color w:val="auto"/>
              </w:rPr>
              <w:t>Net loss ratio:</w:t>
            </w:r>
          </w:p>
        </w:tc>
        <w:tc>
          <w:tcPr>
            <w:tcW w:w="3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4"/>
        </w:trPr>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Personal lines</w:t>
            </w:r>
          </w:p>
        </w:tc>
        <w:tc>
          <w:tcPr>
            <w:tcW w:w="332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28.9%</w:t>
            </w:r>
          </w:p>
        </w:tc>
        <w:tc>
          <w:tcPr>
            <w:tcW w:w="138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54.1%</w:t>
            </w:r>
          </w:p>
        </w:tc>
        <w:tc>
          <w:tcPr>
            <w:tcW w:w="13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50.4%</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w:t>
            </w:r>
          </w:p>
        </w:tc>
      </w:tr>
      <w:tr>
        <w:trPr>
          <w:trHeight w:val="144"/>
        </w:trPr>
        <w:tc>
          <w:tcPr>
            <w:tcW w:w="4540" w:type="dxa"/>
            <w:vAlign w:val="bottom"/>
          </w:tcPr>
          <w:p>
            <w:pPr>
              <w:spacing w:after="0"/>
              <w:rPr>
                <w:sz w:val="20"/>
                <w:szCs w:val="20"/>
                <w:color w:val="auto"/>
              </w:rPr>
            </w:pPr>
            <w:r>
              <w:rPr>
                <w:rFonts w:ascii="Arial" w:cs="Arial" w:eastAsia="Arial" w:hAnsi="Arial"/>
                <w:sz w:val="12"/>
                <w:szCs w:val="12"/>
                <w:color w:val="auto"/>
              </w:rPr>
              <w:t>Commercial lines</w:t>
            </w:r>
          </w:p>
        </w:tc>
        <w:tc>
          <w:tcPr>
            <w:tcW w:w="3320" w:type="dxa"/>
            <w:vAlign w:val="bottom"/>
          </w:tcPr>
          <w:p>
            <w:pPr>
              <w:jc w:val="right"/>
              <w:ind w:right="460"/>
              <w:spacing w:after="0"/>
              <w:rPr>
                <w:sz w:val="20"/>
                <w:szCs w:val="20"/>
                <w:color w:val="auto"/>
              </w:rPr>
            </w:pPr>
            <w:r>
              <w:rPr>
                <w:rFonts w:ascii="Arial" w:cs="Arial" w:eastAsia="Arial" w:hAnsi="Arial"/>
                <w:sz w:val="12"/>
                <w:szCs w:val="12"/>
                <w:color w:val="auto"/>
              </w:rPr>
              <w:t>74.7%</w:t>
            </w:r>
          </w:p>
        </w:tc>
        <w:tc>
          <w:tcPr>
            <w:tcW w:w="1380" w:type="dxa"/>
            <w:vAlign w:val="bottom"/>
          </w:tcPr>
          <w:p>
            <w:pPr>
              <w:jc w:val="right"/>
              <w:ind w:right="460"/>
              <w:spacing w:after="0"/>
              <w:rPr>
                <w:sz w:val="20"/>
                <w:szCs w:val="20"/>
                <w:color w:val="auto"/>
              </w:rPr>
            </w:pPr>
            <w:r>
              <w:rPr>
                <w:rFonts w:ascii="Arial" w:cs="Arial" w:eastAsia="Arial" w:hAnsi="Arial"/>
                <w:sz w:val="12"/>
                <w:szCs w:val="12"/>
                <w:color w:val="auto"/>
              </w:rPr>
              <w:t>32.2%</w:t>
            </w:r>
          </w:p>
        </w:tc>
        <w:tc>
          <w:tcPr>
            <w:tcW w:w="1360" w:type="dxa"/>
            <w:vAlign w:val="bottom"/>
          </w:tcPr>
          <w:p>
            <w:pPr>
              <w:jc w:val="right"/>
              <w:ind w:right="420"/>
              <w:spacing w:after="0"/>
              <w:rPr>
                <w:sz w:val="20"/>
                <w:szCs w:val="20"/>
                <w:color w:val="auto"/>
              </w:rPr>
            </w:pPr>
            <w:r>
              <w:rPr>
                <w:rFonts w:ascii="Arial" w:cs="Arial" w:eastAsia="Arial" w:hAnsi="Arial"/>
                <w:sz w:val="12"/>
                <w:szCs w:val="12"/>
                <w:color w:val="auto"/>
              </w:rPr>
              <w:t>67.8%</w:t>
            </w:r>
          </w:p>
        </w:tc>
        <w:tc>
          <w:tcPr>
            <w:tcW w:w="880" w:type="dxa"/>
            <w:vAlign w:val="bottom"/>
          </w:tcPr>
          <w:p>
            <w:pPr>
              <w:jc w:val="right"/>
              <w:spacing w:after="0"/>
              <w:rPr>
                <w:sz w:val="20"/>
                <w:szCs w:val="20"/>
                <w:color w:val="auto"/>
              </w:rPr>
            </w:pPr>
            <w:r>
              <w:rPr>
                <w:rFonts w:ascii="Arial" w:cs="Arial" w:eastAsia="Arial" w:hAnsi="Arial"/>
                <w:sz w:val="12"/>
                <w:szCs w:val="12"/>
                <w:color w:val="auto"/>
              </w:rPr>
              <w:t>46.1%</w:t>
            </w:r>
          </w:p>
        </w:tc>
      </w:tr>
      <w:tr>
        <w:trPr>
          <w:trHeight w:val="144"/>
        </w:trPr>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Commercial auto</w:t>
            </w:r>
          </w:p>
        </w:tc>
        <w:tc>
          <w:tcPr>
            <w:tcW w:w="332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45.7%</w:t>
            </w:r>
          </w:p>
        </w:tc>
        <w:tc>
          <w:tcPr>
            <w:tcW w:w="138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25.3%</w:t>
            </w:r>
          </w:p>
        </w:tc>
        <w:tc>
          <w:tcPr>
            <w:tcW w:w="13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48.8%</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w:t>
            </w:r>
          </w:p>
        </w:tc>
      </w:tr>
      <w:tr>
        <w:trPr>
          <w:trHeight w:val="144"/>
        </w:trPr>
        <w:tc>
          <w:tcPr>
            <w:tcW w:w="4540" w:type="dxa"/>
            <w:vAlign w:val="bottom"/>
          </w:tcPr>
          <w:p>
            <w:pPr>
              <w:spacing w:after="0"/>
              <w:rPr>
                <w:sz w:val="20"/>
                <w:szCs w:val="20"/>
                <w:color w:val="auto"/>
              </w:rPr>
            </w:pPr>
            <w:r>
              <w:rPr>
                <w:rFonts w:ascii="Arial" w:cs="Arial" w:eastAsia="Arial" w:hAnsi="Arial"/>
                <w:sz w:val="12"/>
                <w:szCs w:val="12"/>
                <w:color w:val="auto"/>
              </w:rPr>
              <w:t>Livery physical damage</w:t>
            </w:r>
          </w:p>
        </w:tc>
        <w:tc>
          <w:tcPr>
            <w:tcW w:w="3320" w:type="dxa"/>
            <w:vAlign w:val="bottom"/>
          </w:tcPr>
          <w:p>
            <w:pPr>
              <w:jc w:val="right"/>
              <w:ind w:right="460"/>
              <w:spacing w:after="0"/>
              <w:rPr>
                <w:sz w:val="20"/>
                <w:szCs w:val="20"/>
                <w:color w:val="auto"/>
              </w:rPr>
            </w:pPr>
            <w:r>
              <w:rPr>
                <w:rFonts w:ascii="Arial" w:cs="Arial" w:eastAsia="Arial" w:hAnsi="Arial"/>
                <w:sz w:val="12"/>
                <w:szCs w:val="12"/>
                <w:color w:val="auto"/>
              </w:rPr>
              <w:t>36.1%</w:t>
            </w:r>
          </w:p>
        </w:tc>
        <w:tc>
          <w:tcPr>
            <w:tcW w:w="1380" w:type="dxa"/>
            <w:vAlign w:val="bottom"/>
          </w:tcPr>
          <w:p>
            <w:pPr>
              <w:jc w:val="right"/>
              <w:ind w:right="460"/>
              <w:spacing w:after="0"/>
              <w:rPr>
                <w:sz w:val="20"/>
                <w:szCs w:val="20"/>
                <w:color w:val="auto"/>
              </w:rPr>
            </w:pPr>
            <w:r>
              <w:rPr>
                <w:rFonts w:ascii="Arial" w:cs="Arial" w:eastAsia="Arial" w:hAnsi="Arial"/>
                <w:sz w:val="12"/>
                <w:szCs w:val="12"/>
                <w:color w:val="auto"/>
              </w:rPr>
              <w:t>39.7%</w:t>
            </w:r>
          </w:p>
        </w:tc>
        <w:tc>
          <w:tcPr>
            <w:tcW w:w="1360" w:type="dxa"/>
            <w:vAlign w:val="bottom"/>
          </w:tcPr>
          <w:p>
            <w:pPr>
              <w:jc w:val="right"/>
              <w:ind w:right="420"/>
              <w:spacing w:after="0"/>
              <w:rPr>
                <w:sz w:val="20"/>
                <w:szCs w:val="20"/>
                <w:color w:val="auto"/>
              </w:rPr>
            </w:pPr>
            <w:r>
              <w:rPr>
                <w:rFonts w:ascii="Arial" w:cs="Arial" w:eastAsia="Arial" w:hAnsi="Arial"/>
                <w:sz w:val="12"/>
                <w:szCs w:val="12"/>
                <w:color w:val="auto"/>
              </w:rPr>
              <w:t>38.7%</w:t>
            </w:r>
          </w:p>
        </w:tc>
        <w:tc>
          <w:tcPr>
            <w:tcW w:w="880" w:type="dxa"/>
            <w:vAlign w:val="bottom"/>
          </w:tcPr>
          <w:p>
            <w:pPr>
              <w:jc w:val="right"/>
              <w:spacing w:after="0"/>
              <w:rPr>
                <w:sz w:val="20"/>
                <w:szCs w:val="20"/>
                <w:color w:val="auto"/>
              </w:rPr>
            </w:pPr>
            <w:r>
              <w:rPr>
                <w:rFonts w:ascii="Arial" w:cs="Arial" w:eastAsia="Arial" w:hAnsi="Arial"/>
                <w:sz w:val="12"/>
                <w:szCs w:val="12"/>
                <w:color w:val="auto"/>
              </w:rPr>
              <w:t>36.0%</w:t>
            </w:r>
          </w:p>
        </w:tc>
      </w:tr>
      <w:tr>
        <w:trPr>
          <w:trHeight w:val="144"/>
        </w:trPr>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Other(1)</w:t>
            </w:r>
          </w:p>
        </w:tc>
        <w:tc>
          <w:tcPr>
            <w:tcW w:w="332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88.8%</w:t>
            </w:r>
          </w:p>
        </w:tc>
        <w:tc>
          <w:tcPr>
            <w:tcW w:w="138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168.4%</w:t>
            </w:r>
          </w:p>
        </w:tc>
        <w:tc>
          <w:tcPr>
            <w:tcW w:w="13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134.7%</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153.8%</w:t>
            </w:r>
          </w:p>
        </w:tc>
      </w:tr>
      <w:tr>
        <w:trPr>
          <w:trHeight w:val="135"/>
        </w:trPr>
        <w:tc>
          <w:tcPr>
            <w:tcW w:w="4540" w:type="dxa"/>
            <w:vAlign w:val="bottom"/>
          </w:tcPr>
          <w:p>
            <w:pPr>
              <w:ind w:left="100"/>
              <w:spacing w:after="0" w:line="136" w:lineRule="exact"/>
              <w:rPr>
                <w:sz w:val="20"/>
                <w:szCs w:val="20"/>
                <w:color w:val="auto"/>
              </w:rPr>
            </w:pPr>
            <w:r>
              <w:rPr>
                <w:rFonts w:ascii="Arial" w:cs="Arial" w:eastAsia="Arial" w:hAnsi="Arial"/>
                <w:sz w:val="12"/>
                <w:szCs w:val="12"/>
                <w:color w:val="auto"/>
              </w:rPr>
              <w:t>Total</w:t>
            </w:r>
          </w:p>
        </w:tc>
        <w:tc>
          <w:tcPr>
            <w:tcW w:w="3320" w:type="dxa"/>
            <w:vAlign w:val="bottom"/>
          </w:tcPr>
          <w:p>
            <w:pPr>
              <w:jc w:val="right"/>
              <w:ind w:right="460"/>
              <w:spacing w:after="0" w:line="136" w:lineRule="exact"/>
              <w:rPr>
                <w:sz w:val="20"/>
                <w:szCs w:val="20"/>
                <w:color w:val="auto"/>
              </w:rPr>
            </w:pPr>
            <w:r>
              <w:rPr>
                <w:rFonts w:ascii="Arial" w:cs="Arial" w:eastAsia="Arial" w:hAnsi="Arial"/>
                <w:sz w:val="12"/>
                <w:szCs w:val="12"/>
                <w:color w:val="auto"/>
              </w:rPr>
              <w:t>43.9%</w:t>
            </w:r>
          </w:p>
        </w:tc>
        <w:tc>
          <w:tcPr>
            <w:tcW w:w="1380" w:type="dxa"/>
            <w:vAlign w:val="bottom"/>
          </w:tcPr>
          <w:p>
            <w:pPr>
              <w:jc w:val="right"/>
              <w:ind w:right="460"/>
              <w:spacing w:after="0" w:line="136" w:lineRule="exact"/>
              <w:rPr>
                <w:sz w:val="20"/>
                <w:szCs w:val="20"/>
                <w:color w:val="auto"/>
              </w:rPr>
            </w:pPr>
            <w:r>
              <w:rPr>
                <w:rFonts w:ascii="Arial" w:cs="Arial" w:eastAsia="Arial" w:hAnsi="Arial"/>
                <w:sz w:val="12"/>
                <w:szCs w:val="12"/>
                <w:color w:val="auto"/>
              </w:rPr>
              <w:t>46.8%</w:t>
            </w:r>
          </w:p>
        </w:tc>
        <w:tc>
          <w:tcPr>
            <w:tcW w:w="1360" w:type="dxa"/>
            <w:vAlign w:val="bottom"/>
          </w:tcPr>
          <w:p>
            <w:pPr>
              <w:jc w:val="right"/>
              <w:ind w:right="420"/>
              <w:spacing w:after="0" w:line="136" w:lineRule="exact"/>
              <w:rPr>
                <w:sz w:val="20"/>
                <w:szCs w:val="20"/>
                <w:color w:val="auto"/>
              </w:rPr>
            </w:pPr>
            <w:r>
              <w:rPr>
                <w:rFonts w:ascii="Arial" w:cs="Arial" w:eastAsia="Arial" w:hAnsi="Arial"/>
                <w:sz w:val="12"/>
                <w:szCs w:val="12"/>
                <w:color w:val="auto"/>
              </w:rPr>
              <w:t>55.7%</w:t>
            </w:r>
          </w:p>
        </w:tc>
        <w:tc>
          <w:tcPr>
            <w:tcW w:w="880" w:type="dxa"/>
            <w:vAlign w:val="bottom"/>
          </w:tcPr>
          <w:p>
            <w:pPr>
              <w:jc w:val="right"/>
              <w:spacing w:after="0" w:line="136" w:lineRule="exact"/>
              <w:rPr>
                <w:sz w:val="20"/>
                <w:szCs w:val="20"/>
                <w:color w:val="auto"/>
              </w:rPr>
            </w:pPr>
            <w:r>
              <w:rPr>
                <w:rFonts w:ascii="Arial" w:cs="Arial" w:eastAsia="Arial" w:hAnsi="Arial"/>
                <w:sz w:val="12"/>
                <w:szCs w:val="12"/>
                <w:color w:val="auto"/>
              </w:rPr>
              <w:t>59.3%</w:t>
            </w:r>
          </w:p>
        </w:tc>
      </w:tr>
      <w:tr>
        <w:trPr>
          <w:trHeight w:val="153"/>
        </w:trPr>
        <w:tc>
          <w:tcPr>
            <w:tcW w:w="4540" w:type="dxa"/>
            <w:vAlign w:val="bottom"/>
          </w:tcPr>
          <w:p>
            <w:pPr>
              <w:spacing w:after="0"/>
              <w:rPr>
                <w:sz w:val="20"/>
                <w:szCs w:val="20"/>
                <w:color w:val="auto"/>
              </w:rPr>
            </w:pPr>
            <w:r>
              <w:rPr>
                <w:rFonts w:ascii="Arial" w:cs="Arial" w:eastAsia="Arial" w:hAnsi="Arial"/>
                <w:sz w:val="12"/>
                <w:szCs w:val="12"/>
                <w:color w:val="auto"/>
              </w:rPr>
              <w:t>__________________________________</w:t>
            </w:r>
          </w:p>
        </w:tc>
        <w:tc>
          <w:tcPr>
            <w:tcW w:w="3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153" w:lineRule="exact"/>
        <w:rPr>
          <w:sz w:val="20"/>
          <w:szCs w:val="20"/>
          <w:color w:val="auto"/>
        </w:rPr>
      </w:pPr>
    </w:p>
    <w:p>
      <w:pPr>
        <w:ind w:left="5688" w:right="3280" w:hanging="5688"/>
        <w:spacing w:after="0" w:line="731" w:lineRule="auto"/>
        <w:tabs>
          <w:tab w:leader="none" w:pos="438" w:val="left"/>
        </w:tabs>
        <w:numPr>
          <w:ilvl w:val="0"/>
          <w:numId w:val="8"/>
        </w:numPr>
        <w:rPr>
          <w:rFonts w:ascii="Arial" w:cs="Arial" w:eastAsia="Arial" w:hAnsi="Arial"/>
          <w:sz w:val="12"/>
          <w:szCs w:val="12"/>
          <w:color w:val="auto"/>
        </w:rPr>
      </w:pPr>
      <w:r>
        <w:rPr>
          <w:rFonts w:ascii="Arial" w:cs="Arial" w:eastAsia="Arial" w:hAnsi="Arial"/>
          <w:sz w:val="12"/>
          <w:szCs w:val="12"/>
          <w:color w:val="auto"/>
        </w:rPr>
        <w:t>“Other” includes, among other things, premiums and loss and loss adjustment expenses from our participation in a mandatory state joint underwriting association.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15" w:right="199"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color w:val="auto"/>
        </w:rPr>
        <w:t>Insurance Underwriting Business on a Standalone Basis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insurance underwriting business reported on a standalone basis for the periods indicated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0"/>
                <w:szCs w:val="10"/>
                <w:b w:val="1"/>
                <w:bCs w:val="1"/>
                <w:color w:val="auto"/>
              </w:rPr>
              <w:t>Three months ended</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3"/>
          </w:tcPr>
          <w:p>
            <w:pPr>
              <w:jc w:val="right"/>
              <w:ind w:right="70"/>
              <w:spacing w:after="0"/>
              <w:rPr>
                <w:sz w:val="20"/>
                <w:szCs w:val="20"/>
                <w:color w:val="auto"/>
              </w:rPr>
            </w:pPr>
            <w:r>
              <w:rPr>
                <w:rFonts w:ascii="Arial" w:cs="Arial" w:eastAsia="Arial" w:hAnsi="Arial"/>
                <w:sz w:val="10"/>
                <w:szCs w:val="10"/>
                <w:b w:val="1"/>
                <w:bCs w:val="1"/>
                <w:color w:val="auto"/>
              </w:rPr>
              <w:t>Six months ended</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0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4"/>
          </w:tcPr>
          <w:p>
            <w:pPr>
              <w:jc w:val="right"/>
              <w:ind w:right="320"/>
              <w:spacing w:after="0" w:line="114" w:lineRule="exact"/>
              <w:rPr>
                <w:sz w:val="20"/>
                <w:szCs w:val="20"/>
                <w:color w:val="auto"/>
              </w:rPr>
            </w:pPr>
            <w:r>
              <w:rPr>
                <w:rFonts w:ascii="Arial" w:cs="Arial" w:eastAsia="Arial" w:hAnsi="Arial"/>
                <w:sz w:val="10"/>
                <w:szCs w:val="10"/>
                <w:b w:val="1"/>
                <w:bCs w:val="1"/>
                <w:color w:val="auto"/>
              </w:rPr>
              <w:t>June 30,</w:t>
            </w: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3"/>
          </w:tcPr>
          <w:p>
            <w:pPr>
              <w:jc w:val="right"/>
              <w:ind w:right="270"/>
              <w:spacing w:after="0" w:line="114" w:lineRule="exact"/>
              <w:rPr>
                <w:sz w:val="20"/>
                <w:szCs w:val="20"/>
                <w:color w:val="auto"/>
              </w:rPr>
            </w:pPr>
            <w:r>
              <w:rPr>
                <w:rFonts w:ascii="Arial" w:cs="Arial" w:eastAsia="Arial" w:hAnsi="Arial"/>
                <w:sz w:val="10"/>
                <w:szCs w:val="10"/>
                <w:b w:val="1"/>
                <w:bCs w:val="1"/>
                <w:color w:val="auto"/>
              </w:rPr>
              <w:t>June 30,</w:t>
            </w: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2014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Revenue</w:t>
            </w:r>
            <w:r>
              <w:rPr>
                <w:rFonts w:ascii="Arial" w:cs="Arial" w:eastAsia="Arial" w:hAnsi="Arial"/>
                <w:sz w:val="12"/>
                <w:szCs w:val="12"/>
                <w:color w:val="auto"/>
              </w:rPr>
              <w:t>s</w:t>
            </w:r>
          </w:p>
        </w:tc>
        <w:tc>
          <w:tcPr>
            <w:tcW w:w="2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Pr>
          <w:p>
            <w:pPr>
              <w:ind w:left="140"/>
              <w:spacing w:after="0"/>
              <w:rPr>
                <w:sz w:val="20"/>
                <w:szCs w:val="20"/>
                <w:color w:val="auto"/>
              </w:rPr>
            </w:pPr>
            <w:r>
              <w:rPr>
                <w:rFonts w:ascii="Arial" w:cs="Arial" w:eastAsia="Arial" w:hAnsi="Arial"/>
                <w:sz w:val="12"/>
                <w:szCs w:val="12"/>
                <w:color w:val="auto"/>
              </w:rPr>
              <w:t>Net premiums earned</w:t>
            </w:r>
          </w:p>
        </w:tc>
        <w:tc>
          <w:tcPr>
            <w:tcW w:w="228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10,865,715</w:t>
            </w:r>
          </w:p>
        </w:tc>
        <w:tc>
          <w:tcPr>
            <w:tcW w:w="4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6,429,373</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21,251,514</w:t>
            </w:r>
          </w:p>
        </w:tc>
        <w:tc>
          <w:tcPr>
            <w:tcW w:w="220" w:type="dxa"/>
            <w:vAlign w:val="bottom"/>
          </w:tcPr>
          <w:p>
            <w:pPr>
              <w:spacing w:after="0"/>
              <w:rPr>
                <w:sz w:val="12"/>
                <w:szCs w:val="12"/>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12,355,684</w:t>
            </w: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Ceding commission revenue</w:t>
            </w:r>
          </w:p>
        </w:tc>
        <w:tc>
          <w:tcPr>
            <w:tcW w:w="2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3,655,522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3,706,049</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6,744,926</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7,087,332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Pr>
          <w:p>
            <w:pPr>
              <w:ind w:left="140"/>
              <w:spacing w:after="0"/>
              <w:rPr>
                <w:sz w:val="20"/>
                <w:szCs w:val="20"/>
                <w:color w:val="auto"/>
              </w:rPr>
            </w:pPr>
            <w:r>
              <w:rPr>
                <w:rFonts w:ascii="Arial" w:cs="Arial" w:eastAsia="Arial" w:hAnsi="Arial"/>
                <w:sz w:val="12"/>
                <w:szCs w:val="12"/>
                <w:color w:val="auto"/>
              </w:rPr>
              <w:t>Net investment income</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625,972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451,915</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1,200,628</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830,703</w:t>
            </w: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realized gain on investments</w:t>
            </w:r>
          </w:p>
        </w:tc>
        <w:tc>
          <w:tcPr>
            <w:tcW w:w="2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2,263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134,602</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(65,231)</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322,950</w:t>
            </w:r>
          </w:p>
        </w:tc>
        <w:tc>
          <w:tcPr>
            <w:tcW w:w="0" w:type="dxa"/>
            <w:vAlign w:val="bottom"/>
          </w:tcPr>
          <w:p>
            <w:pPr>
              <w:spacing w:after="0"/>
              <w:rPr>
                <w:sz w:val="1"/>
                <w:szCs w:val="1"/>
                <w:color w:val="auto"/>
              </w:rPr>
            </w:pPr>
          </w:p>
        </w:tc>
      </w:tr>
      <w:tr>
        <w:trPr>
          <w:trHeight w:val="144"/>
        </w:trPr>
        <w:tc>
          <w:tcPr>
            <w:tcW w:w="4080" w:type="dxa"/>
            <w:vAlign w:val="bottom"/>
          </w:tcPr>
          <w:p>
            <w:pPr>
              <w:ind w:left="140"/>
              <w:spacing w:after="0"/>
              <w:rPr>
                <w:sz w:val="20"/>
                <w:szCs w:val="20"/>
                <w:color w:val="auto"/>
              </w:rPr>
            </w:pPr>
            <w:r>
              <w:rPr>
                <w:rFonts w:ascii="Arial" w:cs="Arial" w:eastAsia="Arial" w:hAnsi="Arial"/>
                <w:sz w:val="12"/>
                <w:szCs w:val="12"/>
                <w:color w:val="auto"/>
              </w:rPr>
              <w:t>Other income</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232,053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182,558</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452,389</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331,353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revenues</w:t>
            </w:r>
          </w:p>
        </w:tc>
        <w:tc>
          <w:tcPr>
            <w:tcW w:w="2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15,381,525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10,904,497</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29,584,226</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20,928,022</w:t>
            </w:r>
          </w:p>
        </w:tc>
        <w:tc>
          <w:tcPr>
            <w:tcW w:w="0" w:type="dxa"/>
            <w:vAlign w:val="bottom"/>
          </w:tcPr>
          <w:p>
            <w:pPr>
              <w:spacing w:after="0"/>
              <w:rPr>
                <w:sz w:val="1"/>
                <w:szCs w:val="1"/>
                <w:color w:val="auto"/>
              </w:rPr>
            </w:pPr>
          </w:p>
        </w:tc>
      </w:tr>
      <w:tr>
        <w:trPr>
          <w:trHeight w:val="142"/>
        </w:trPr>
        <w:tc>
          <w:tcPr>
            <w:tcW w:w="4080" w:type="dxa"/>
            <w:vAlign w:val="bottom"/>
            <w:tcBorders>
              <w:top w:val="single" w:sz="8" w:color="CCEEFF"/>
            </w:tcBorders>
          </w:tcPr>
          <w:p>
            <w:pPr>
              <w:spacing w:after="0"/>
              <w:rPr>
                <w:sz w:val="12"/>
                <w:szCs w:val="12"/>
                <w:color w:val="auto"/>
              </w:rPr>
            </w:pPr>
          </w:p>
        </w:tc>
        <w:tc>
          <w:tcPr>
            <w:tcW w:w="20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Expense</w:t>
            </w:r>
            <w:r>
              <w:rPr>
                <w:rFonts w:ascii="Arial" w:cs="Arial" w:eastAsia="Arial" w:hAnsi="Arial"/>
                <w:sz w:val="12"/>
                <w:szCs w:val="12"/>
                <w:color w:val="auto"/>
              </w:rPr>
              <w:t>s</w:t>
            </w:r>
          </w:p>
        </w:tc>
        <w:tc>
          <w:tcPr>
            <w:tcW w:w="2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Pr>
          <w:p>
            <w:pPr>
              <w:ind w:left="140"/>
              <w:spacing w:after="0"/>
              <w:rPr>
                <w:sz w:val="20"/>
                <w:szCs w:val="20"/>
                <w:color w:val="auto"/>
              </w:rPr>
            </w:pPr>
            <w:r>
              <w:rPr>
                <w:rFonts w:ascii="Arial" w:cs="Arial" w:eastAsia="Arial" w:hAnsi="Arial"/>
                <w:sz w:val="12"/>
                <w:szCs w:val="12"/>
                <w:color w:val="auto"/>
              </w:rPr>
              <w:t>Loss and loss adjustment expenses</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4,770,813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3,007,939</w:t>
            </w:r>
          </w:p>
        </w:tc>
        <w:tc>
          <w:tcPr>
            <w:tcW w:w="28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11,834,030</w:t>
            </w: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7,332,893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Commission expense</w:t>
            </w:r>
          </w:p>
        </w:tc>
        <w:tc>
          <w:tcPr>
            <w:tcW w:w="2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3,600,164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2,903,792</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7,012,491</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5,486,300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Pr>
          <w:p>
            <w:pPr>
              <w:ind w:left="140"/>
              <w:spacing w:after="0"/>
              <w:rPr>
                <w:sz w:val="20"/>
                <w:szCs w:val="20"/>
                <w:color w:val="auto"/>
              </w:rPr>
            </w:pPr>
            <w:r>
              <w:rPr>
                <w:rFonts w:ascii="Arial" w:cs="Arial" w:eastAsia="Arial" w:hAnsi="Arial"/>
                <w:sz w:val="12"/>
                <w:szCs w:val="12"/>
                <w:color w:val="auto"/>
              </w:rPr>
              <w:t>Other underwriting expenses</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2,961,663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2,529,075</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5,960,818</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4,810,824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Depreciation and amortization</w:t>
            </w:r>
          </w:p>
        </w:tc>
        <w:tc>
          <w:tcPr>
            <w:tcW w:w="2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245,724</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209,088</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480,540</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391,361</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80" w:type="dxa"/>
            <w:vAlign w:val="bottom"/>
          </w:tcPr>
          <w:p>
            <w:pPr>
              <w:ind w:left="240"/>
              <w:spacing w:after="0"/>
              <w:rPr>
                <w:sz w:val="20"/>
                <w:szCs w:val="20"/>
                <w:color w:val="auto"/>
              </w:rPr>
            </w:pPr>
            <w:r>
              <w:rPr>
                <w:rFonts w:ascii="Arial" w:cs="Arial" w:eastAsia="Arial" w:hAnsi="Arial"/>
                <w:sz w:val="12"/>
                <w:szCs w:val="12"/>
                <w:color w:val="auto"/>
              </w:rPr>
              <w:t>Total expenses</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11,578,364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8,649,894</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25,287,879</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18,021,378</w:t>
            </w:r>
          </w:p>
        </w:tc>
        <w:tc>
          <w:tcPr>
            <w:tcW w:w="0" w:type="dxa"/>
            <w:vAlign w:val="bottom"/>
          </w:tcPr>
          <w:p>
            <w:pPr>
              <w:spacing w:after="0"/>
              <w:rPr>
                <w:sz w:val="1"/>
                <w:szCs w:val="1"/>
                <w:color w:val="auto"/>
              </w:rPr>
            </w:pPr>
          </w:p>
        </w:tc>
      </w:tr>
      <w:tr>
        <w:trPr>
          <w:trHeight w:val="142"/>
        </w:trPr>
        <w:tc>
          <w:tcPr>
            <w:tcW w:w="408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Pr>
          <w:p>
            <w:pPr>
              <w:ind w:left="140"/>
              <w:spacing w:after="0"/>
              <w:rPr>
                <w:sz w:val="20"/>
                <w:szCs w:val="20"/>
                <w:color w:val="auto"/>
              </w:rPr>
            </w:pPr>
            <w:r>
              <w:rPr>
                <w:rFonts w:ascii="Arial" w:cs="Arial" w:eastAsia="Arial" w:hAnsi="Arial"/>
                <w:sz w:val="12"/>
                <w:szCs w:val="12"/>
                <w:color w:val="auto"/>
              </w:rPr>
              <w:t>Income from operations</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3,803,161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2,254,603</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4,296,347</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2,906,644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Income tax expense</w:t>
            </w:r>
          </w:p>
        </w:tc>
        <w:tc>
          <w:tcPr>
            <w:tcW w:w="2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1,278,275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729,912</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1,396,337</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922,700</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80" w:type="dxa"/>
            <w:vAlign w:val="bottom"/>
          </w:tcPr>
          <w:p>
            <w:pPr>
              <w:ind w:left="20"/>
              <w:spacing w:after="0"/>
              <w:rPr>
                <w:sz w:val="20"/>
                <w:szCs w:val="20"/>
                <w:color w:val="auto"/>
              </w:rPr>
            </w:pPr>
            <w:r>
              <w:rPr>
                <w:rFonts w:ascii="Arial" w:cs="Arial" w:eastAsia="Arial" w:hAnsi="Arial"/>
                <w:sz w:val="12"/>
                <w:szCs w:val="12"/>
                <w:b w:val="1"/>
                <w:bCs w:val="1"/>
                <w:color w:val="auto"/>
              </w:rPr>
              <w:t>Net incom</w:t>
            </w:r>
            <w:r>
              <w:rPr>
                <w:rFonts w:ascii="Arial" w:cs="Arial" w:eastAsia="Arial" w:hAnsi="Arial"/>
                <w:sz w:val="12"/>
                <w:szCs w:val="12"/>
                <w:color w:val="auto"/>
              </w:rPr>
              <w:t>e</w:t>
            </w:r>
          </w:p>
        </w:tc>
        <w:tc>
          <w:tcPr>
            <w:tcW w:w="200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2,524,886</w:t>
            </w:r>
          </w:p>
        </w:tc>
        <w:tc>
          <w:tcPr>
            <w:tcW w:w="160" w:type="dxa"/>
            <w:vAlign w:val="bottom"/>
          </w:tcPr>
          <w:p>
            <w:pPr>
              <w:spacing w:after="0"/>
              <w:rPr>
                <w:sz w:val="12"/>
                <w:szCs w:val="12"/>
                <w:color w:val="auto"/>
              </w:rPr>
            </w:pPr>
          </w:p>
        </w:tc>
        <w:tc>
          <w:tcPr>
            <w:tcW w:w="4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1,524,691</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2,900,010</w:t>
            </w:r>
          </w:p>
        </w:tc>
        <w:tc>
          <w:tcPr>
            <w:tcW w:w="220" w:type="dxa"/>
            <w:vAlign w:val="bottom"/>
          </w:tcPr>
          <w:p>
            <w:pPr>
              <w:spacing w:after="0"/>
              <w:rPr>
                <w:sz w:val="12"/>
                <w:szCs w:val="12"/>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1,983,944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8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80" w:type="dxa"/>
            <w:vAlign w:val="bottom"/>
          </w:tcPr>
          <w:p>
            <w:pPr>
              <w:ind w:left="20"/>
              <w:spacing w:after="0"/>
              <w:rPr>
                <w:sz w:val="20"/>
                <w:szCs w:val="20"/>
                <w:color w:val="auto"/>
              </w:rPr>
            </w:pPr>
            <w:r>
              <w:rPr>
                <w:rFonts w:ascii="Arial" w:cs="Arial" w:eastAsia="Arial" w:hAnsi="Arial"/>
                <w:sz w:val="12"/>
                <w:szCs w:val="12"/>
                <w:b w:val="1"/>
                <w:bCs w:val="1"/>
                <w:color w:val="auto"/>
              </w:rPr>
              <w:t>Key Measures:</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loss ratio</w:t>
            </w:r>
          </w:p>
        </w:tc>
        <w:tc>
          <w:tcPr>
            <w:tcW w:w="2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43.9%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46.8%</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55.7%</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59.3%</w:t>
            </w:r>
          </w:p>
        </w:tc>
        <w:tc>
          <w:tcPr>
            <w:tcW w:w="0" w:type="dxa"/>
            <w:vAlign w:val="bottom"/>
          </w:tcPr>
          <w:p>
            <w:pPr>
              <w:spacing w:after="0"/>
              <w:rPr>
                <w:sz w:val="1"/>
                <w:szCs w:val="1"/>
                <w:color w:val="auto"/>
              </w:rPr>
            </w:pPr>
          </w:p>
        </w:tc>
      </w:tr>
      <w:tr>
        <w:trPr>
          <w:trHeight w:val="144"/>
        </w:trPr>
        <w:tc>
          <w:tcPr>
            <w:tcW w:w="4080" w:type="dxa"/>
            <w:vAlign w:val="bottom"/>
          </w:tcPr>
          <w:p>
            <w:pPr>
              <w:ind w:left="140"/>
              <w:spacing w:after="0"/>
              <w:rPr>
                <w:sz w:val="20"/>
                <w:szCs w:val="20"/>
                <w:color w:val="auto"/>
              </w:rPr>
            </w:pPr>
            <w:r>
              <w:rPr>
                <w:rFonts w:ascii="Arial" w:cs="Arial" w:eastAsia="Arial" w:hAnsi="Arial"/>
                <w:sz w:val="12"/>
                <w:szCs w:val="12"/>
                <w:color w:val="auto"/>
              </w:rPr>
              <w:t>Net underwriting expense ratio</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24.6%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24.0%</w:t>
            </w:r>
          </w:p>
        </w:tc>
        <w:tc>
          <w:tcPr>
            <w:tcW w:w="2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27.2%</w:t>
            </w:r>
          </w:p>
        </w:tc>
        <w:tc>
          <w:tcPr>
            <w:tcW w:w="3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combined ratio</w:t>
            </w:r>
          </w:p>
        </w:tc>
        <w:tc>
          <w:tcPr>
            <w:tcW w:w="2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68.5%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70.8%</w:t>
            </w: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82.9%</w:t>
            </w:r>
          </w:p>
        </w:tc>
        <w:tc>
          <w:tcPr>
            <w:tcW w:w="3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82.6%</w:t>
            </w:r>
          </w:p>
        </w:tc>
        <w:tc>
          <w:tcPr>
            <w:tcW w:w="0" w:type="dxa"/>
            <w:vAlign w:val="bottom"/>
          </w:tcPr>
          <w:p>
            <w:pPr>
              <w:spacing w:after="0"/>
              <w:rPr>
                <w:sz w:val="1"/>
                <w:szCs w:val="1"/>
                <w:color w:val="auto"/>
              </w:rPr>
            </w:pPr>
          </w:p>
        </w:tc>
      </w:tr>
      <w:tr>
        <w:trPr>
          <w:trHeight w:val="120"/>
        </w:trPr>
        <w:tc>
          <w:tcPr>
            <w:tcW w:w="4080" w:type="dxa"/>
            <w:vAlign w:val="bottom"/>
            <w:tcBorders>
              <w:top w:val="single" w:sz="8" w:color="CCEEFF"/>
            </w:tcBorders>
          </w:tcPr>
          <w:p>
            <w:pPr>
              <w:spacing w:after="0"/>
              <w:rPr>
                <w:sz w:val="10"/>
                <w:szCs w:val="10"/>
                <w:color w:val="auto"/>
              </w:rPr>
            </w:pPr>
          </w:p>
        </w:tc>
        <w:tc>
          <w:tcPr>
            <w:tcW w:w="200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Reconciliation of net underwriting expense ratio:</w:t>
            </w:r>
          </w:p>
        </w:tc>
        <w:tc>
          <w:tcPr>
            <w:tcW w:w="2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tcPr>
          <w:p>
            <w:pPr>
              <w:ind w:left="120"/>
              <w:spacing w:after="0"/>
              <w:rPr>
                <w:sz w:val="20"/>
                <w:szCs w:val="20"/>
                <w:color w:val="auto"/>
              </w:rPr>
            </w:pPr>
            <w:r>
              <w:rPr>
                <w:rFonts w:ascii="Arial" w:cs="Arial" w:eastAsia="Arial" w:hAnsi="Arial"/>
                <w:sz w:val="12"/>
                <w:szCs w:val="12"/>
                <w:color w:val="auto"/>
              </w:rPr>
              <w:t>Acquisition costs and other</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underwriting expenses</w:t>
            </w:r>
          </w:p>
        </w:tc>
        <w:tc>
          <w:tcPr>
            <w:tcW w:w="2280" w:type="dxa"/>
            <w:vAlign w:val="bottom"/>
            <w:gridSpan w:val="2"/>
            <w:shd w:val="clear" w:color="auto" w:fill="CCEEFF"/>
          </w:tcPr>
          <w:p>
            <w:pPr>
              <w:jc w:val="right"/>
              <w:ind w:right="17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7,021,176</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5,432,867</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13,432,658</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10,297,124</w:t>
            </w:r>
          </w:p>
        </w:tc>
        <w:tc>
          <w:tcPr>
            <w:tcW w:w="0" w:type="dxa"/>
            <w:vAlign w:val="bottom"/>
          </w:tcPr>
          <w:p>
            <w:pPr>
              <w:spacing w:after="0"/>
              <w:rPr>
                <w:sz w:val="1"/>
                <w:szCs w:val="1"/>
                <w:color w:val="auto"/>
              </w:rPr>
            </w:pPr>
          </w:p>
        </w:tc>
      </w:tr>
      <w:tr>
        <w:trPr>
          <w:trHeight w:val="144"/>
        </w:trPr>
        <w:tc>
          <w:tcPr>
            <w:tcW w:w="4080" w:type="dxa"/>
            <w:vAlign w:val="bottom"/>
          </w:tcPr>
          <w:p>
            <w:pPr>
              <w:ind w:left="140"/>
              <w:spacing w:after="0"/>
              <w:rPr>
                <w:sz w:val="20"/>
                <w:szCs w:val="20"/>
                <w:color w:val="auto"/>
              </w:rPr>
            </w:pPr>
            <w:r>
              <w:rPr>
                <w:rFonts w:ascii="Arial" w:cs="Arial" w:eastAsia="Arial" w:hAnsi="Arial"/>
                <w:sz w:val="12"/>
                <w:szCs w:val="12"/>
                <w:color w:val="auto"/>
              </w:rPr>
              <w:t>Less: Ceding commission revenue</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(3,655,522)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(3,706,049)</w:t>
            </w:r>
          </w:p>
        </w:tc>
        <w:tc>
          <w:tcPr>
            <w:tcW w:w="28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(6,744,926)</w:t>
            </w: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(7,087,332)</w:t>
            </w:r>
          </w:p>
        </w:tc>
        <w:tc>
          <w:tcPr>
            <w:tcW w:w="0" w:type="dxa"/>
            <w:vAlign w:val="bottom"/>
          </w:tcPr>
          <w:p>
            <w:pPr>
              <w:spacing w:after="0"/>
              <w:rPr>
                <w:sz w:val="1"/>
                <w:szCs w:val="1"/>
                <w:color w:val="auto"/>
              </w:rPr>
            </w:pPr>
          </w:p>
        </w:tc>
      </w:tr>
      <w:tr>
        <w:trPr>
          <w:trHeight w:val="144"/>
        </w:trPr>
        <w:tc>
          <w:tcPr>
            <w:tcW w:w="4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Less: Other income</w:t>
            </w:r>
          </w:p>
        </w:tc>
        <w:tc>
          <w:tcPr>
            <w:tcW w:w="2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(232,053)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(182,558)</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(452,389)</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(331,353)</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80" w:type="dxa"/>
            <w:vAlign w:val="bottom"/>
          </w:tcPr>
          <w:p>
            <w:pPr>
              <w:ind w:left="140"/>
              <w:spacing w:after="0"/>
              <w:rPr>
                <w:sz w:val="20"/>
                <w:szCs w:val="20"/>
                <w:color w:val="auto"/>
              </w:rPr>
            </w:pPr>
            <w:r>
              <w:rPr>
                <w:rFonts w:ascii="Arial" w:cs="Arial" w:eastAsia="Arial" w:hAnsi="Arial"/>
                <w:sz w:val="12"/>
                <w:szCs w:val="12"/>
                <w:color w:val="auto"/>
              </w:rPr>
              <w:t>Net underwriting expenses</w:t>
            </w:r>
          </w:p>
        </w:tc>
        <w:tc>
          <w:tcPr>
            <w:tcW w:w="200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2,674,252</w:t>
            </w:r>
          </w:p>
        </w:tc>
        <w:tc>
          <w:tcPr>
            <w:tcW w:w="160" w:type="dxa"/>
            <w:vAlign w:val="bottom"/>
          </w:tcPr>
          <w:p>
            <w:pPr>
              <w:spacing w:after="0"/>
              <w:rPr>
                <w:sz w:val="12"/>
                <w:szCs w:val="12"/>
                <w:color w:val="auto"/>
              </w:rPr>
            </w:pPr>
          </w:p>
        </w:tc>
        <w:tc>
          <w:tcPr>
            <w:tcW w:w="4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1,544,260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5,775,994</w:t>
            </w:r>
          </w:p>
        </w:tc>
        <w:tc>
          <w:tcPr>
            <w:tcW w:w="220" w:type="dxa"/>
            <w:vAlign w:val="bottom"/>
          </w:tcPr>
          <w:p>
            <w:pPr>
              <w:spacing w:after="0"/>
              <w:rPr>
                <w:sz w:val="12"/>
                <w:szCs w:val="12"/>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2,878,439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8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80" w:type="dxa"/>
            <w:vAlign w:val="bottom"/>
          </w:tcPr>
          <w:p>
            <w:pPr>
              <w:ind w:left="140"/>
              <w:spacing w:after="0"/>
              <w:rPr>
                <w:sz w:val="20"/>
                <w:szCs w:val="20"/>
                <w:color w:val="auto"/>
              </w:rPr>
            </w:pPr>
            <w:r>
              <w:rPr>
                <w:rFonts w:ascii="Arial" w:cs="Arial" w:eastAsia="Arial" w:hAnsi="Arial"/>
                <w:sz w:val="12"/>
                <w:szCs w:val="12"/>
                <w:color w:val="auto"/>
              </w:rPr>
              <w:t>Net premiums earned</w:t>
            </w:r>
          </w:p>
        </w:tc>
        <w:tc>
          <w:tcPr>
            <w:tcW w:w="228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10,865,715</w:t>
            </w:r>
          </w:p>
        </w:tc>
        <w:tc>
          <w:tcPr>
            <w:tcW w:w="4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6,429,373</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21,251,514</w:t>
            </w:r>
          </w:p>
        </w:tc>
        <w:tc>
          <w:tcPr>
            <w:tcW w:w="220" w:type="dxa"/>
            <w:vAlign w:val="bottom"/>
          </w:tcPr>
          <w:p>
            <w:pPr>
              <w:spacing w:after="0"/>
              <w:rPr>
                <w:sz w:val="12"/>
                <w:szCs w:val="12"/>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12,355,684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8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80" w:type="dxa"/>
            <w:vAlign w:val="bottom"/>
          </w:tcPr>
          <w:p>
            <w:pPr>
              <w:ind w:left="140"/>
              <w:spacing w:after="0"/>
              <w:rPr>
                <w:sz w:val="20"/>
                <w:szCs w:val="20"/>
                <w:color w:val="auto"/>
              </w:rPr>
            </w:pPr>
            <w:r>
              <w:rPr>
                <w:rFonts w:ascii="Arial" w:cs="Arial" w:eastAsia="Arial" w:hAnsi="Arial"/>
                <w:sz w:val="12"/>
                <w:szCs w:val="12"/>
                <w:color w:val="auto"/>
              </w:rPr>
              <w:t>Net Underwriting Expense Ratio</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24.6%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24.0%</w:t>
            </w:r>
          </w:p>
        </w:tc>
        <w:tc>
          <w:tcPr>
            <w:tcW w:w="2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27.2%</w:t>
            </w:r>
          </w:p>
        </w:tc>
        <w:tc>
          <w:tcPr>
            <w:tcW w:w="3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0" w:type="dxa"/>
            <w:vAlign w:val="bottom"/>
            <w:vMerge w:val="restart"/>
          </w:tcPr>
          <w:p>
            <w:pPr>
              <w:jc w:val="right"/>
              <w:ind w:right="220"/>
              <w:spacing w:after="0"/>
              <w:rPr>
                <w:sz w:val="20"/>
                <w:szCs w:val="20"/>
                <w:color w:val="auto"/>
              </w:rPr>
            </w:pPr>
            <w:r>
              <w:rPr>
                <w:rFonts w:ascii="Arial" w:cs="Arial" w:eastAsia="Arial" w:hAnsi="Arial"/>
                <w:sz w:val="12"/>
                <w:szCs w:val="12"/>
                <w:color w:val="auto"/>
              </w:rPr>
              <w:t>48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0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080" w:type="dxa"/>
            <w:vAlign w:val="bottom"/>
            <w:tcBorders>
              <w:bottom w:val="single" w:sz="8" w:color="808080"/>
            </w:tcBorders>
          </w:tcPr>
          <w:p>
            <w:pPr>
              <w:spacing w:after="0"/>
              <w:rPr>
                <w:sz w:val="6"/>
                <w:szCs w:val="6"/>
                <w:color w:val="auto"/>
              </w:rPr>
            </w:pPr>
          </w:p>
        </w:tc>
        <w:tc>
          <w:tcPr>
            <w:tcW w:w="20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50" w:name="page51"/>
    <w:bookmarkEnd w:id="50"/>
    <w:p>
      <w:pPr>
        <w:ind w:left="420"/>
        <w:spacing w:after="0"/>
        <w:rPr>
          <w:sz w:val="20"/>
          <w:szCs w:val="20"/>
          <w:color w:val="auto"/>
        </w:rPr>
      </w:pPr>
      <w:r>
        <w:rPr>
          <w:rFonts w:ascii="Arial" w:cs="Arial" w:eastAsia="Arial" w:hAnsi="Arial"/>
          <w:sz w:val="12"/>
          <w:szCs w:val="12"/>
          <w:color w:val="auto"/>
        </w:rPr>
        <w:t>An analysis of our direct, assumed and ceded earned premiums, loss and loss adjustment expenses, and loss ratios is shown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Direct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Assumed</w:t>
            </w:r>
          </w:p>
        </w:tc>
        <w:tc>
          <w:tcPr>
            <w:tcW w:w="240" w:type="dxa"/>
            <w:vAlign w:val="bottom"/>
          </w:tcPr>
          <w:p>
            <w:pPr>
              <w:spacing w:after="0"/>
              <w:rPr>
                <w:sz w:val="13"/>
                <w:szCs w:val="13"/>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Ceded</w:t>
            </w:r>
          </w:p>
        </w:tc>
        <w:tc>
          <w:tcPr>
            <w:tcW w:w="260" w:type="dxa"/>
            <w:vAlign w:val="bottom"/>
          </w:tcPr>
          <w:p>
            <w:pPr>
              <w:spacing w:after="0"/>
              <w:rPr>
                <w:sz w:val="13"/>
                <w:szCs w:val="13"/>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286"/>
        </w:trPr>
        <w:tc>
          <w:tcPr>
            <w:tcW w:w="4000" w:type="dxa"/>
            <w:vAlign w:val="bottom"/>
          </w:tcPr>
          <w:p>
            <w:pPr>
              <w:jc w:val="center"/>
              <w:ind w:right="2260"/>
              <w:spacing w:after="0"/>
              <w:rPr>
                <w:sz w:val="20"/>
                <w:szCs w:val="20"/>
                <w:color w:val="auto"/>
              </w:rPr>
            </w:pPr>
            <w:r>
              <w:rPr>
                <w:rFonts w:ascii="Arial" w:cs="Arial" w:eastAsia="Arial" w:hAnsi="Arial"/>
                <w:sz w:val="12"/>
                <w:szCs w:val="12"/>
                <w:b w:val="1"/>
                <w:bCs w:val="1"/>
                <w:color w:val="auto"/>
                <w:w w:val="88"/>
              </w:rPr>
              <w:t>Six months ended June 30, 2015</w:t>
            </w:r>
          </w:p>
        </w:tc>
        <w:tc>
          <w:tcPr>
            <w:tcW w:w="20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Written premiums</w:t>
            </w:r>
          </w:p>
        </w:tc>
        <w:tc>
          <w:tcPr>
            <w:tcW w:w="2320" w:type="dxa"/>
            <w:vAlign w:val="bottom"/>
            <w:gridSpan w:val="2"/>
            <w:shd w:val="clear" w:color="auto" w:fill="CCEEFF"/>
          </w:tcPr>
          <w:p>
            <w:pPr>
              <w:jc w:val="right"/>
              <w:ind w:right="13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42,655,494</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21,870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(18,667,737)</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24,009,627</w:t>
            </w:r>
          </w:p>
        </w:tc>
        <w:tc>
          <w:tcPr>
            <w:tcW w:w="0" w:type="dxa"/>
            <w:vAlign w:val="bottom"/>
          </w:tcPr>
          <w:p>
            <w:pPr>
              <w:spacing w:after="0"/>
              <w:rPr>
                <w:sz w:val="1"/>
                <w:szCs w:val="1"/>
                <w:color w:val="auto"/>
              </w:rPr>
            </w:pPr>
          </w:p>
        </w:tc>
      </w:tr>
      <w:tr>
        <w:trPr>
          <w:trHeight w:val="144"/>
        </w:trPr>
        <w:tc>
          <w:tcPr>
            <w:tcW w:w="4000" w:type="dxa"/>
            <w:vAlign w:val="bottom"/>
          </w:tcPr>
          <w:p>
            <w:pPr>
              <w:ind w:left="140"/>
              <w:spacing w:after="0"/>
              <w:rPr>
                <w:sz w:val="20"/>
                <w:szCs w:val="20"/>
                <w:color w:val="auto"/>
              </w:rPr>
            </w:pPr>
            <w:r>
              <w:rPr>
                <w:rFonts w:ascii="Arial" w:cs="Arial" w:eastAsia="Arial" w:hAnsi="Arial"/>
                <w:sz w:val="12"/>
                <w:szCs w:val="12"/>
                <w:color w:val="auto"/>
              </w:rPr>
              <w:t>Change in unearned premiums</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(3,654,318)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2,377</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893,828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(2,758,113)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Earned premiums</w:t>
            </w: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39,001,176</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24,247</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(17,773,909)</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21,251,514</w:t>
            </w:r>
          </w:p>
        </w:tc>
        <w:tc>
          <w:tcPr>
            <w:tcW w:w="0" w:type="dxa"/>
            <w:vAlign w:val="bottom"/>
          </w:tcPr>
          <w:p>
            <w:pPr>
              <w:spacing w:after="0"/>
              <w:rPr>
                <w:sz w:val="1"/>
                <w:szCs w:val="1"/>
                <w:color w:val="auto"/>
              </w:rPr>
            </w:pPr>
          </w:p>
        </w:tc>
      </w:tr>
      <w:tr>
        <w:trPr>
          <w:trHeight w:val="120"/>
        </w:trPr>
        <w:tc>
          <w:tcPr>
            <w:tcW w:w="4000" w:type="dxa"/>
            <w:vAlign w:val="bottom"/>
            <w:tcBorders>
              <w:top w:val="single" w:sz="8" w:color="CCEE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Loss and loss adjustment expenses exluding</w:t>
            </w: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tcPr>
          <w:p>
            <w:pPr>
              <w:jc w:val="center"/>
              <w:ind w:right="2260"/>
              <w:spacing w:after="0"/>
              <w:rPr>
                <w:sz w:val="20"/>
                <w:szCs w:val="20"/>
                <w:color w:val="auto"/>
              </w:rPr>
            </w:pPr>
            <w:r>
              <w:rPr>
                <w:rFonts w:ascii="Arial" w:cs="Arial" w:eastAsia="Arial" w:hAnsi="Arial"/>
                <w:sz w:val="12"/>
                <w:szCs w:val="12"/>
                <w:color w:val="auto"/>
                <w:w w:val="89"/>
              </w:rPr>
              <w:t>the effect of catastrophes</w:t>
            </w:r>
          </w:p>
        </w:tc>
        <w:tc>
          <w:tcPr>
            <w:tcW w:w="232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16,405,831</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70,726</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(6,654,888)</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9,821,669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Catastrophe loss</w:t>
            </w: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4,471,913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(2,459,552)</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2,012,361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tcPr>
          <w:p>
            <w:pPr>
              <w:ind w:left="140"/>
              <w:spacing w:after="0"/>
              <w:rPr>
                <w:sz w:val="20"/>
                <w:szCs w:val="20"/>
                <w:color w:val="auto"/>
              </w:rPr>
            </w:pPr>
            <w:r>
              <w:rPr>
                <w:rFonts w:ascii="Arial" w:cs="Arial" w:eastAsia="Arial" w:hAnsi="Arial"/>
                <w:sz w:val="12"/>
                <w:szCs w:val="12"/>
                <w:color w:val="auto"/>
              </w:rPr>
              <w:t>Loss and loss adjustment expenses</w:t>
            </w:r>
          </w:p>
        </w:tc>
        <w:tc>
          <w:tcPr>
            <w:tcW w:w="208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20,877,744</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70,726</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(9,114,440)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11,834,030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0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tcPr>
          <w:p>
            <w:pPr>
              <w:ind w:left="140"/>
              <w:spacing w:after="0"/>
              <w:rPr>
                <w:sz w:val="20"/>
                <w:szCs w:val="20"/>
                <w:color w:val="auto"/>
              </w:rPr>
            </w:pPr>
            <w:r>
              <w:rPr>
                <w:rFonts w:ascii="Arial" w:cs="Arial" w:eastAsia="Arial" w:hAnsi="Arial"/>
                <w:sz w:val="12"/>
                <w:szCs w:val="12"/>
                <w:color w:val="auto"/>
              </w:rPr>
              <w:t>Loss ratio excluding the effect of catastrophes</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42.0%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291.7%</w:t>
            </w:r>
          </w:p>
        </w:tc>
        <w:tc>
          <w:tcPr>
            <w:tcW w:w="24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37.5%</w:t>
            </w:r>
          </w:p>
        </w:tc>
        <w:tc>
          <w:tcPr>
            <w:tcW w:w="2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46.2%</w:t>
            </w: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Catastrophe loss</w:t>
            </w: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0.0%</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tcPr>
          <w:p>
            <w:pPr>
              <w:ind w:left="140"/>
              <w:spacing w:after="0"/>
              <w:rPr>
                <w:sz w:val="20"/>
                <w:szCs w:val="20"/>
                <w:color w:val="auto"/>
              </w:rPr>
            </w:pPr>
            <w:r>
              <w:rPr>
                <w:rFonts w:ascii="Arial" w:cs="Arial" w:eastAsia="Arial" w:hAnsi="Arial"/>
                <w:sz w:val="12"/>
                <w:szCs w:val="12"/>
                <w:color w:val="auto"/>
              </w:rPr>
              <w:t>Loss ratio</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53.5%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291.7%</w:t>
            </w:r>
          </w:p>
        </w:tc>
        <w:tc>
          <w:tcPr>
            <w:tcW w:w="24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51.3%</w:t>
            </w:r>
          </w:p>
        </w:tc>
        <w:tc>
          <w:tcPr>
            <w:tcW w:w="2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0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tcPr>
          <w:p>
            <w:pPr>
              <w:jc w:val="center"/>
              <w:ind w:right="2260"/>
              <w:spacing w:after="0"/>
              <w:rPr>
                <w:sz w:val="20"/>
                <w:szCs w:val="20"/>
                <w:color w:val="auto"/>
              </w:rPr>
            </w:pPr>
            <w:r>
              <w:rPr>
                <w:rFonts w:ascii="Arial" w:cs="Arial" w:eastAsia="Arial" w:hAnsi="Arial"/>
                <w:sz w:val="12"/>
                <w:szCs w:val="12"/>
                <w:b w:val="1"/>
                <w:bCs w:val="1"/>
                <w:color w:val="auto"/>
                <w:w w:val="88"/>
              </w:rPr>
              <w:t>Six months ended June 30, 2014</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Written premiums</w:t>
            </w:r>
          </w:p>
        </w:tc>
        <w:tc>
          <w:tcPr>
            <w:tcW w:w="2320" w:type="dxa"/>
            <w:vAlign w:val="bottom"/>
            <w:gridSpan w:val="2"/>
            <w:shd w:val="clear" w:color="auto" w:fill="CCEEFF"/>
          </w:tcPr>
          <w:p>
            <w:pPr>
              <w:jc w:val="right"/>
              <w:ind w:right="13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36,597,945</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16,302</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(21,527,803)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15,086,444</w:t>
            </w:r>
          </w:p>
        </w:tc>
        <w:tc>
          <w:tcPr>
            <w:tcW w:w="0" w:type="dxa"/>
            <w:vAlign w:val="bottom"/>
          </w:tcPr>
          <w:p>
            <w:pPr>
              <w:spacing w:after="0"/>
              <w:rPr>
                <w:sz w:val="1"/>
                <w:szCs w:val="1"/>
                <w:color w:val="auto"/>
              </w:rPr>
            </w:pPr>
          </w:p>
        </w:tc>
      </w:tr>
      <w:tr>
        <w:trPr>
          <w:trHeight w:val="144"/>
        </w:trPr>
        <w:tc>
          <w:tcPr>
            <w:tcW w:w="4000" w:type="dxa"/>
            <w:vAlign w:val="bottom"/>
          </w:tcPr>
          <w:p>
            <w:pPr>
              <w:ind w:left="140"/>
              <w:spacing w:after="0"/>
              <w:rPr>
                <w:sz w:val="20"/>
                <w:szCs w:val="20"/>
                <w:color w:val="auto"/>
              </w:rPr>
            </w:pPr>
            <w:r>
              <w:rPr>
                <w:rFonts w:ascii="Arial" w:cs="Arial" w:eastAsia="Arial" w:hAnsi="Arial"/>
                <w:sz w:val="12"/>
                <w:szCs w:val="12"/>
                <w:color w:val="auto"/>
              </w:rPr>
              <w:t>Change in unearned premiums</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(4,872,810)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6,351</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2,135,699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(2,730,760)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Earned premiums</w:t>
            </w: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31,725,135</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22,653</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(19,392,104)</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12,355,684</w:t>
            </w:r>
          </w:p>
        </w:tc>
        <w:tc>
          <w:tcPr>
            <w:tcW w:w="0" w:type="dxa"/>
            <w:vAlign w:val="bottom"/>
          </w:tcPr>
          <w:p>
            <w:pPr>
              <w:spacing w:after="0"/>
              <w:rPr>
                <w:sz w:val="1"/>
                <w:szCs w:val="1"/>
                <w:color w:val="auto"/>
              </w:rPr>
            </w:pPr>
          </w:p>
        </w:tc>
      </w:tr>
      <w:tr>
        <w:trPr>
          <w:trHeight w:val="120"/>
        </w:trPr>
        <w:tc>
          <w:tcPr>
            <w:tcW w:w="4000" w:type="dxa"/>
            <w:vAlign w:val="bottom"/>
            <w:tcBorders>
              <w:top w:val="single" w:sz="8" w:color="CCEE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Loss and loss adjustment expenses exluding</w:t>
            </w: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tcPr>
          <w:p>
            <w:pPr>
              <w:jc w:val="center"/>
              <w:ind w:right="2260"/>
              <w:spacing w:after="0"/>
              <w:rPr>
                <w:sz w:val="20"/>
                <w:szCs w:val="20"/>
                <w:color w:val="auto"/>
              </w:rPr>
            </w:pPr>
            <w:r>
              <w:rPr>
                <w:rFonts w:ascii="Arial" w:cs="Arial" w:eastAsia="Arial" w:hAnsi="Arial"/>
                <w:sz w:val="12"/>
                <w:szCs w:val="12"/>
                <w:color w:val="auto"/>
                <w:w w:val="89"/>
              </w:rPr>
              <w:t>the effect of catastrophes</w:t>
            </w:r>
          </w:p>
        </w:tc>
        <w:tc>
          <w:tcPr>
            <w:tcW w:w="232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15,190,248</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32,816</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(8,831,198)</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6,391,866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Catastrophe loss</w:t>
            </w: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3,764,108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(2,823,081)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941,027</w:t>
            </w: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tcPr>
          <w:p>
            <w:pPr>
              <w:ind w:left="140"/>
              <w:spacing w:after="0"/>
              <w:rPr>
                <w:sz w:val="20"/>
                <w:szCs w:val="20"/>
                <w:color w:val="auto"/>
              </w:rPr>
            </w:pPr>
            <w:r>
              <w:rPr>
                <w:rFonts w:ascii="Arial" w:cs="Arial" w:eastAsia="Arial" w:hAnsi="Arial"/>
                <w:sz w:val="12"/>
                <w:szCs w:val="12"/>
                <w:color w:val="auto"/>
              </w:rPr>
              <w:t>Loss and loss adjustment expenses</w:t>
            </w:r>
          </w:p>
        </w:tc>
        <w:tc>
          <w:tcPr>
            <w:tcW w:w="208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18,954,356</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32,816</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(11,654,279)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7,332,893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0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tcPr>
          <w:p>
            <w:pPr>
              <w:ind w:left="140"/>
              <w:spacing w:after="0"/>
              <w:rPr>
                <w:sz w:val="20"/>
                <w:szCs w:val="20"/>
                <w:color w:val="auto"/>
              </w:rPr>
            </w:pPr>
            <w:r>
              <w:rPr>
                <w:rFonts w:ascii="Arial" w:cs="Arial" w:eastAsia="Arial" w:hAnsi="Arial"/>
                <w:sz w:val="12"/>
                <w:szCs w:val="12"/>
                <w:color w:val="auto"/>
              </w:rPr>
              <w:t>Loss ratio excluding the effect of catastrophes</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47.9%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144.9%</w:t>
            </w:r>
          </w:p>
        </w:tc>
        <w:tc>
          <w:tcPr>
            <w:tcW w:w="24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45.5%</w:t>
            </w:r>
          </w:p>
        </w:tc>
        <w:tc>
          <w:tcPr>
            <w:tcW w:w="2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51.7%</w:t>
            </w: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Catastrophe loss</w:t>
            </w: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0.0%</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tcPr>
          <w:p>
            <w:pPr>
              <w:ind w:left="140"/>
              <w:spacing w:after="0"/>
              <w:rPr>
                <w:sz w:val="20"/>
                <w:szCs w:val="20"/>
                <w:color w:val="auto"/>
              </w:rPr>
            </w:pPr>
            <w:r>
              <w:rPr>
                <w:rFonts w:ascii="Arial" w:cs="Arial" w:eastAsia="Arial" w:hAnsi="Arial"/>
                <w:sz w:val="12"/>
                <w:szCs w:val="12"/>
                <w:color w:val="auto"/>
              </w:rPr>
              <w:t>Loss ratio</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59.7%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144.9%</w:t>
            </w:r>
          </w:p>
        </w:tc>
        <w:tc>
          <w:tcPr>
            <w:tcW w:w="24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60.1%</w:t>
            </w:r>
          </w:p>
        </w:tc>
        <w:tc>
          <w:tcPr>
            <w:tcW w:w="2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59.3%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0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tcPr>
          <w:p>
            <w:pPr>
              <w:ind w:left="20"/>
              <w:spacing w:after="0"/>
              <w:rPr>
                <w:sz w:val="20"/>
                <w:szCs w:val="20"/>
                <w:color w:val="auto"/>
              </w:rPr>
            </w:pPr>
            <w:r>
              <w:rPr>
                <w:rFonts w:ascii="Arial" w:cs="Arial" w:eastAsia="Arial" w:hAnsi="Arial"/>
                <w:sz w:val="12"/>
                <w:szCs w:val="12"/>
                <w:b w:val="1"/>
                <w:bCs w:val="1"/>
                <w:color w:val="auto"/>
              </w:rPr>
              <w:t>Three months ended June 30, 2015</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Written premiums</w:t>
            </w:r>
          </w:p>
        </w:tc>
        <w:tc>
          <w:tcPr>
            <w:tcW w:w="2320" w:type="dxa"/>
            <w:vAlign w:val="bottom"/>
            <w:gridSpan w:val="2"/>
            <w:shd w:val="clear" w:color="auto" w:fill="CCEEFF"/>
          </w:tcPr>
          <w:p>
            <w:pPr>
              <w:jc w:val="right"/>
              <w:ind w:right="13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23,166,065</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13,959</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(10,048,331)</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13,131,693</w:t>
            </w:r>
          </w:p>
        </w:tc>
        <w:tc>
          <w:tcPr>
            <w:tcW w:w="0" w:type="dxa"/>
            <w:vAlign w:val="bottom"/>
          </w:tcPr>
          <w:p>
            <w:pPr>
              <w:spacing w:after="0"/>
              <w:rPr>
                <w:sz w:val="1"/>
                <w:szCs w:val="1"/>
                <w:color w:val="auto"/>
              </w:rPr>
            </w:pPr>
          </w:p>
        </w:tc>
      </w:tr>
      <w:tr>
        <w:trPr>
          <w:trHeight w:val="144"/>
        </w:trPr>
        <w:tc>
          <w:tcPr>
            <w:tcW w:w="4000" w:type="dxa"/>
            <w:vAlign w:val="bottom"/>
          </w:tcPr>
          <w:p>
            <w:pPr>
              <w:ind w:left="140"/>
              <w:spacing w:after="0"/>
              <w:rPr>
                <w:sz w:val="20"/>
                <w:szCs w:val="20"/>
                <w:color w:val="auto"/>
              </w:rPr>
            </w:pPr>
            <w:r>
              <w:rPr>
                <w:rFonts w:ascii="Arial" w:cs="Arial" w:eastAsia="Arial" w:hAnsi="Arial"/>
                <w:sz w:val="12"/>
                <w:szCs w:val="12"/>
                <w:color w:val="auto"/>
              </w:rPr>
              <w:t>Change in unearned premiums</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(3,181,987)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(1,535)</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917,544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(2,265,978)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Earned premiums</w:t>
            </w: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19,984,078</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12,424</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(9,130,787)</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10,865,715</w:t>
            </w:r>
          </w:p>
        </w:tc>
        <w:tc>
          <w:tcPr>
            <w:tcW w:w="0" w:type="dxa"/>
            <w:vAlign w:val="bottom"/>
          </w:tcPr>
          <w:p>
            <w:pPr>
              <w:spacing w:after="0"/>
              <w:rPr>
                <w:sz w:val="1"/>
                <w:szCs w:val="1"/>
                <w:color w:val="auto"/>
              </w:rPr>
            </w:pPr>
          </w:p>
        </w:tc>
      </w:tr>
      <w:tr>
        <w:trPr>
          <w:trHeight w:val="120"/>
        </w:trPr>
        <w:tc>
          <w:tcPr>
            <w:tcW w:w="4000" w:type="dxa"/>
            <w:vAlign w:val="bottom"/>
            <w:tcBorders>
              <w:top w:val="single" w:sz="8" w:color="CCEE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Loss and loss adjustment expenses exluding</w:t>
            </w: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tcPr>
          <w:p>
            <w:pPr>
              <w:jc w:val="center"/>
              <w:ind w:right="2260"/>
              <w:spacing w:after="0"/>
              <w:rPr>
                <w:sz w:val="20"/>
                <w:szCs w:val="20"/>
                <w:color w:val="auto"/>
              </w:rPr>
            </w:pPr>
            <w:r>
              <w:rPr>
                <w:rFonts w:ascii="Arial" w:cs="Arial" w:eastAsia="Arial" w:hAnsi="Arial"/>
                <w:sz w:val="12"/>
                <w:szCs w:val="12"/>
                <w:color w:val="auto"/>
                <w:w w:val="89"/>
              </w:rPr>
              <w:t>the effect of catastrophes</w:t>
            </w:r>
          </w:p>
        </w:tc>
        <w:tc>
          <w:tcPr>
            <w:tcW w:w="232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8,037,620</w:t>
            </w:r>
          </w:p>
        </w:tc>
        <w:tc>
          <w:tcPr>
            <w:tcW w:w="16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12,684</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(3,453,444)</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4,596,860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Catastrophe loss</w:t>
            </w: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386,562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(212,609)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173,953</w:t>
            </w: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tcPr>
          <w:p>
            <w:pPr>
              <w:ind w:left="140"/>
              <w:spacing w:after="0"/>
              <w:rPr>
                <w:sz w:val="20"/>
                <w:szCs w:val="20"/>
                <w:color w:val="auto"/>
              </w:rPr>
            </w:pPr>
            <w:r>
              <w:rPr>
                <w:rFonts w:ascii="Arial" w:cs="Arial" w:eastAsia="Arial" w:hAnsi="Arial"/>
                <w:sz w:val="12"/>
                <w:szCs w:val="12"/>
                <w:color w:val="auto"/>
              </w:rPr>
              <w:t>Loss and loss adjustment expenses</w:t>
            </w:r>
          </w:p>
        </w:tc>
        <w:tc>
          <w:tcPr>
            <w:tcW w:w="208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8,424,182</w:t>
            </w:r>
          </w:p>
        </w:tc>
        <w:tc>
          <w:tcPr>
            <w:tcW w:w="16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12,684</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(3,666,053)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4,770,813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0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tcPr>
          <w:p>
            <w:pPr>
              <w:ind w:left="140"/>
              <w:spacing w:after="0"/>
              <w:rPr>
                <w:sz w:val="20"/>
                <w:szCs w:val="20"/>
                <w:color w:val="auto"/>
              </w:rPr>
            </w:pPr>
            <w:r>
              <w:rPr>
                <w:rFonts w:ascii="Arial" w:cs="Arial" w:eastAsia="Arial" w:hAnsi="Arial"/>
                <w:sz w:val="12"/>
                <w:szCs w:val="12"/>
                <w:color w:val="auto"/>
              </w:rPr>
              <w:t>Loss ratio excluding the effect of catastrophes</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40.2%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102.1%</w:t>
            </w:r>
          </w:p>
        </w:tc>
        <w:tc>
          <w:tcPr>
            <w:tcW w:w="24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37.8%</w:t>
            </w:r>
          </w:p>
        </w:tc>
        <w:tc>
          <w:tcPr>
            <w:tcW w:w="2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Catastrophe loss</w:t>
            </w: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0.0%</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tcPr>
          <w:p>
            <w:pPr>
              <w:ind w:left="140"/>
              <w:spacing w:after="0"/>
              <w:rPr>
                <w:sz w:val="20"/>
                <w:szCs w:val="20"/>
                <w:color w:val="auto"/>
              </w:rPr>
            </w:pPr>
            <w:r>
              <w:rPr>
                <w:rFonts w:ascii="Arial" w:cs="Arial" w:eastAsia="Arial" w:hAnsi="Arial"/>
                <w:sz w:val="12"/>
                <w:szCs w:val="12"/>
                <w:color w:val="auto"/>
              </w:rPr>
              <w:t>Loss ratio</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42.2%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102.1%</w:t>
            </w:r>
          </w:p>
        </w:tc>
        <w:tc>
          <w:tcPr>
            <w:tcW w:w="24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40.2%</w:t>
            </w:r>
          </w:p>
        </w:tc>
        <w:tc>
          <w:tcPr>
            <w:tcW w:w="2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43.9%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0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tcPr>
          <w:p>
            <w:pPr>
              <w:ind w:left="20"/>
              <w:spacing w:after="0"/>
              <w:rPr>
                <w:sz w:val="20"/>
                <w:szCs w:val="20"/>
                <w:color w:val="auto"/>
              </w:rPr>
            </w:pPr>
            <w:r>
              <w:rPr>
                <w:rFonts w:ascii="Arial" w:cs="Arial" w:eastAsia="Arial" w:hAnsi="Arial"/>
                <w:sz w:val="12"/>
                <w:szCs w:val="12"/>
                <w:b w:val="1"/>
                <w:bCs w:val="1"/>
                <w:color w:val="auto"/>
              </w:rPr>
              <w:t>Three months ended June 30, 2014</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Written premiums</w:t>
            </w:r>
          </w:p>
        </w:tc>
        <w:tc>
          <w:tcPr>
            <w:tcW w:w="2320" w:type="dxa"/>
            <w:vAlign w:val="bottom"/>
            <w:gridSpan w:val="2"/>
            <w:shd w:val="clear" w:color="auto" w:fill="CCEEFF"/>
          </w:tcPr>
          <w:p>
            <w:pPr>
              <w:jc w:val="right"/>
              <w:ind w:right="13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20,250,500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8,655</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(11,757,974)</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8,501,181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tcPr>
          <w:p>
            <w:pPr>
              <w:ind w:left="140"/>
              <w:spacing w:after="0"/>
              <w:rPr>
                <w:sz w:val="20"/>
                <w:szCs w:val="20"/>
                <w:color w:val="auto"/>
              </w:rPr>
            </w:pPr>
            <w:r>
              <w:rPr>
                <w:rFonts w:ascii="Arial" w:cs="Arial" w:eastAsia="Arial" w:hAnsi="Arial"/>
                <w:sz w:val="12"/>
                <w:szCs w:val="12"/>
                <w:color w:val="auto"/>
              </w:rPr>
              <w:t>Change in unearned premiums</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(3,739,282)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3,697</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1,663,777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(2,071,808)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Earned premiums</w:t>
            </w:r>
          </w:p>
        </w:tc>
        <w:tc>
          <w:tcPr>
            <w:tcW w:w="20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16,511,218</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12,352</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(10,094,197)</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6,429,373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000" w:type="dxa"/>
            <w:vAlign w:val="bottom"/>
            <w:tcBorders>
              <w:top w:val="single" w:sz="8" w:color="CCEE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Loss and loss adjustment expenses exluding</w:t>
            </w: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tcPr>
          <w:p>
            <w:pPr>
              <w:jc w:val="center"/>
              <w:ind w:right="2260"/>
              <w:spacing w:after="0"/>
              <w:rPr>
                <w:sz w:val="20"/>
                <w:szCs w:val="20"/>
                <w:color w:val="auto"/>
              </w:rPr>
            </w:pPr>
            <w:r>
              <w:rPr>
                <w:rFonts w:ascii="Arial" w:cs="Arial" w:eastAsia="Arial" w:hAnsi="Arial"/>
                <w:sz w:val="12"/>
                <w:szCs w:val="12"/>
                <w:color w:val="auto"/>
                <w:w w:val="89"/>
              </w:rPr>
              <w:t>the effect of catastrophes</w:t>
            </w:r>
          </w:p>
        </w:tc>
        <w:tc>
          <w:tcPr>
            <w:tcW w:w="232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7,923,600</w:t>
            </w:r>
          </w:p>
        </w:tc>
        <w:tc>
          <w:tcPr>
            <w:tcW w:w="16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20,155</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(4,935,816)</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3,007,939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Catastrophe loss</w:t>
            </w: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tcPr>
          <w:p>
            <w:pPr>
              <w:ind w:left="140"/>
              <w:spacing w:after="0"/>
              <w:rPr>
                <w:sz w:val="20"/>
                <w:szCs w:val="20"/>
                <w:color w:val="auto"/>
              </w:rPr>
            </w:pPr>
            <w:r>
              <w:rPr>
                <w:rFonts w:ascii="Arial" w:cs="Arial" w:eastAsia="Arial" w:hAnsi="Arial"/>
                <w:sz w:val="12"/>
                <w:szCs w:val="12"/>
                <w:color w:val="auto"/>
              </w:rPr>
              <w:t>Loss and loss adjustment expenses</w:t>
            </w:r>
          </w:p>
        </w:tc>
        <w:tc>
          <w:tcPr>
            <w:tcW w:w="208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7,923,600</w:t>
            </w:r>
          </w:p>
        </w:tc>
        <w:tc>
          <w:tcPr>
            <w:tcW w:w="160" w:type="dxa"/>
            <w:vAlign w:val="bottom"/>
          </w:tcPr>
          <w:p>
            <w:pPr>
              <w:spacing w:after="0"/>
              <w:rPr>
                <w:sz w:val="12"/>
                <w:szCs w:val="12"/>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20,155</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(4,935,816)</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3,007,939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0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tcPr>
          <w:p>
            <w:pPr>
              <w:ind w:left="140"/>
              <w:spacing w:after="0"/>
              <w:rPr>
                <w:sz w:val="20"/>
                <w:szCs w:val="20"/>
                <w:color w:val="auto"/>
              </w:rPr>
            </w:pPr>
            <w:r>
              <w:rPr>
                <w:rFonts w:ascii="Arial" w:cs="Arial" w:eastAsia="Arial" w:hAnsi="Arial"/>
                <w:sz w:val="12"/>
                <w:szCs w:val="12"/>
                <w:color w:val="auto"/>
              </w:rPr>
              <w:t>Loss ratio excluding the effect of catastrophes</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48.0%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163.2%</w:t>
            </w:r>
          </w:p>
        </w:tc>
        <w:tc>
          <w:tcPr>
            <w:tcW w:w="24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49.0%</w:t>
            </w:r>
          </w:p>
        </w:tc>
        <w:tc>
          <w:tcPr>
            <w:tcW w:w="2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46.8%</w:t>
            </w: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Catastrophe loss</w:t>
            </w:r>
          </w:p>
        </w:tc>
        <w:tc>
          <w:tcPr>
            <w:tcW w:w="2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0.0%</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tcPr>
          <w:p>
            <w:pPr>
              <w:ind w:left="140"/>
              <w:spacing w:after="0"/>
              <w:rPr>
                <w:sz w:val="20"/>
                <w:szCs w:val="20"/>
                <w:color w:val="auto"/>
              </w:rPr>
            </w:pPr>
            <w:r>
              <w:rPr>
                <w:rFonts w:ascii="Arial" w:cs="Arial" w:eastAsia="Arial" w:hAnsi="Arial"/>
                <w:sz w:val="12"/>
                <w:szCs w:val="12"/>
                <w:color w:val="auto"/>
              </w:rPr>
              <w:t>Loss ratio</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48.0%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2"/>
                <w:szCs w:val="12"/>
                <w:color w:val="auto"/>
              </w:rPr>
              <w:t>163.2%</w:t>
            </w:r>
          </w:p>
        </w:tc>
        <w:tc>
          <w:tcPr>
            <w:tcW w:w="24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48.9%</w:t>
            </w:r>
          </w:p>
        </w:tc>
        <w:tc>
          <w:tcPr>
            <w:tcW w:w="2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46.8%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80" w:type="dxa"/>
            <w:vAlign w:val="bottom"/>
            <w:vMerge w:val="restart"/>
          </w:tcPr>
          <w:p>
            <w:pPr>
              <w:jc w:val="right"/>
              <w:ind w:right="220"/>
              <w:spacing w:after="0"/>
              <w:rPr>
                <w:sz w:val="20"/>
                <w:szCs w:val="20"/>
                <w:color w:val="auto"/>
              </w:rPr>
            </w:pPr>
            <w:r>
              <w:rPr>
                <w:rFonts w:ascii="Arial" w:cs="Arial" w:eastAsia="Arial" w:hAnsi="Arial"/>
                <w:sz w:val="12"/>
                <w:szCs w:val="12"/>
                <w:color w:val="auto"/>
              </w:rPr>
              <w:t>49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40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000" w:type="dxa"/>
            <w:vAlign w:val="bottom"/>
            <w:tcBorders>
              <w:bottom w:val="single" w:sz="8" w:color="808080"/>
            </w:tcBorders>
          </w:tcPr>
          <w:p>
            <w:pPr>
              <w:spacing w:after="0"/>
              <w:rPr>
                <w:sz w:val="6"/>
                <w:szCs w:val="6"/>
                <w:color w:val="auto"/>
              </w:rPr>
            </w:pPr>
          </w:p>
        </w:tc>
        <w:tc>
          <w:tcPr>
            <w:tcW w:w="2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51" w:name="page52"/>
    <w:bookmarkEnd w:id="51"/>
    <w:p>
      <w:pPr>
        <w:ind w:left="428"/>
        <w:spacing w:after="0"/>
        <w:rPr>
          <w:sz w:val="20"/>
          <w:szCs w:val="20"/>
          <w:color w:val="auto"/>
        </w:rPr>
      </w:pPr>
      <w:r>
        <w:rPr>
          <w:rFonts w:ascii="Arial" w:cs="Arial" w:eastAsia="Arial" w:hAnsi="Arial"/>
          <w:sz w:val="12"/>
          <w:szCs w:val="12"/>
          <w:color w:val="auto"/>
        </w:rPr>
        <w:t>The key measures for our insurance underwriting business for the periods indicated are as follows:</w:t>
      </w:r>
    </w:p>
    <w:p>
      <w:pPr>
        <w:spacing w:after="0" w:line="19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tcPr>
          <w:p>
            <w:pPr>
              <w:jc w:val="right"/>
              <w:ind w:right="80"/>
              <w:spacing w:after="0"/>
              <w:rPr>
                <w:sz w:val="20"/>
                <w:szCs w:val="20"/>
                <w:color w:val="auto"/>
              </w:rPr>
            </w:pPr>
            <w:r>
              <w:rPr>
                <w:rFonts w:ascii="Arial" w:cs="Arial" w:eastAsia="Arial" w:hAnsi="Arial"/>
                <w:sz w:val="10"/>
                <w:szCs w:val="10"/>
                <w:b w:val="1"/>
                <w:bCs w:val="1"/>
                <w:color w:val="auto"/>
              </w:rPr>
              <w:t>Three months ended</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3"/>
          </w:tcPr>
          <w:p>
            <w:pPr>
              <w:jc w:val="right"/>
              <w:ind w:right="70"/>
              <w:spacing w:after="0"/>
              <w:rPr>
                <w:sz w:val="20"/>
                <w:szCs w:val="20"/>
                <w:color w:val="auto"/>
              </w:rPr>
            </w:pPr>
            <w:r>
              <w:rPr>
                <w:rFonts w:ascii="Arial" w:cs="Arial" w:eastAsia="Arial" w:hAnsi="Arial"/>
                <w:sz w:val="10"/>
                <w:szCs w:val="10"/>
                <w:b w:val="1"/>
                <w:bCs w:val="1"/>
                <w:color w:val="auto"/>
              </w:rPr>
              <w:t>Six months ended</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4"/>
        </w:trPr>
        <w:tc>
          <w:tcPr>
            <w:tcW w:w="60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4"/>
          </w:tcPr>
          <w:p>
            <w:pPr>
              <w:jc w:val="right"/>
              <w:ind w:right="320"/>
              <w:spacing w:after="0" w:line="114" w:lineRule="exact"/>
              <w:rPr>
                <w:sz w:val="20"/>
                <w:szCs w:val="20"/>
                <w:color w:val="auto"/>
              </w:rPr>
            </w:pPr>
            <w:r>
              <w:rPr>
                <w:rFonts w:ascii="Arial" w:cs="Arial" w:eastAsia="Arial" w:hAnsi="Arial"/>
                <w:sz w:val="10"/>
                <w:szCs w:val="10"/>
                <w:b w:val="1"/>
                <w:bCs w:val="1"/>
                <w:color w:val="auto"/>
              </w:rPr>
              <w:t>June 30,</w:t>
            </w: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3"/>
          </w:tcPr>
          <w:p>
            <w:pPr>
              <w:jc w:val="right"/>
              <w:ind w:right="270"/>
              <w:spacing w:after="0" w:line="114" w:lineRule="exact"/>
              <w:rPr>
                <w:sz w:val="20"/>
                <w:szCs w:val="20"/>
                <w:color w:val="auto"/>
              </w:rPr>
            </w:pPr>
            <w:r>
              <w:rPr>
                <w:rFonts w:ascii="Arial" w:cs="Arial" w:eastAsia="Arial" w:hAnsi="Arial"/>
                <w:sz w:val="10"/>
                <w:szCs w:val="10"/>
                <w:b w:val="1"/>
                <w:bCs w:val="1"/>
                <w:color w:val="auto"/>
              </w:rPr>
              <w:t>June 30,</w:t>
            </w: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42"/>
        </w:trPr>
        <w:tc>
          <w:tcPr>
            <w:tcW w:w="6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2014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23"/>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premiums earned</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10,865,715</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6,429,373</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21,251,514</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12,355,684</w:t>
            </w:r>
          </w:p>
        </w:tc>
      </w:tr>
      <w:tr>
        <w:trPr>
          <w:trHeight w:val="144"/>
        </w:trPr>
        <w:tc>
          <w:tcPr>
            <w:tcW w:w="6080" w:type="dxa"/>
            <w:vAlign w:val="bottom"/>
          </w:tcPr>
          <w:p>
            <w:pPr>
              <w:ind w:left="20"/>
              <w:spacing w:after="0"/>
              <w:rPr>
                <w:sz w:val="20"/>
                <w:szCs w:val="20"/>
                <w:color w:val="auto"/>
              </w:rPr>
            </w:pPr>
            <w:r>
              <w:rPr>
                <w:rFonts w:ascii="Arial" w:cs="Arial" w:eastAsia="Arial" w:hAnsi="Arial"/>
                <w:sz w:val="12"/>
                <w:szCs w:val="12"/>
                <w:color w:val="auto"/>
              </w:rPr>
              <w:t>Ceding commission revenue (1)</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3,655,522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3,706,049</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6,744,926</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7,087,332</w:t>
            </w: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232,053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182,558</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452,389</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331,353</w:t>
            </w:r>
          </w:p>
        </w:tc>
      </w:tr>
      <w:tr>
        <w:trPr>
          <w:trHeight w:val="144"/>
        </w:trPr>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and loss adjustment expenses (2)</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4,770,813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3,007,939</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11,834,030</w:t>
            </w: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7,332,893</w:t>
            </w: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Acquistion costs and other underwriting expenses: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140"/>
              <w:spacing w:after="0"/>
              <w:rPr>
                <w:sz w:val="20"/>
                <w:szCs w:val="20"/>
                <w:color w:val="auto"/>
              </w:rPr>
            </w:pPr>
            <w:r>
              <w:rPr>
                <w:rFonts w:ascii="Arial" w:cs="Arial" w:eastAsia="Arial" w:hAnsi="Arial"/>
                <w:sz w:val="12"/>
                <w:szCs w:val="12"/>
                <w:color w:val="auto"/>
              </w:rPr>
              <w:t>Commission expense</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3,600,164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color w:val="auto"/>
              </w:rPr>
              <w:t>2,903,792</w:t>
            </w:r>
          </w:p>
        </w:tc>
        <w:tc>
          <w:tcPr>
            <w:tcW w:w="2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7,012,491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5,486,300</w:t>
            </w: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underwriting expenses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2,961,663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2,529,075</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5,960,818</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4,810,824</w:t>
            </w:r>
          </w:p>
        </w:tc>
        <w:tc>
          <w:tcPr>
            <w:tcW w:w="120" w:type="dxa"/>
            <w:vAlign w:val="bottom"/>
            <w:shd w:val="clear" w:color="auto" w:fill="CCEEFF"/>
          </w:tcPr>
          <w:p>
            <w:pPr>
              <w:spacing w:after="0"/>
              <w:rPr>
                <w:sz w:val="12"/>
                <w:szCs w:val="12"/>
                <w:color w:val="auto"/>
              </w:rPr>
            </w:pPr>
          </w:p>
        </w:tc>
      </w:tr>
      <w:tr>
        <w:trPr>
          <w:trHeight w:val="142"/>
        </w:trPr>
        <w:tc>
          <w:tcPr>
            <w:tcW w:w="6080" w:type="dxa"/>
            <w:vAlign w:val="bottom"/>
            <w:tcBorders>
              <w:top w:val="single" w:sz="8" w:color="CCEEFF"/>
            </w:tcBorders>
          </w:tcPr>
          <w:p>
            <w:pPr>
              <w:ind w:left="20"/>
              <w:spacing w:after="0"/>
              <w:rPr>
                <w:sz w:val="20"/>
                <w:szCs w:val="20"/>
                <w:color w:val="auto"/>
              </w:rPr>
            </w:pPr>
            <w:r>
              <w:rPr>
                <w:rFonts w:ascii="Arial" w:cs="Arial" w:eastAsia="Arial" w:hAnsi="Arial"/>
                <w:sz w:val="12"/>
                <w:szCs w:val="12"/>
                <w:color w:val="auto"/>
              </w:rPr>
              <w:t>Total acquistion costs and other</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6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underwriting expenses</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6,561,827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5,432,867</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12,973,309</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10,297,124</w:t>
            </w:r>
          </w:p>
        </w:tc>
      </w:tr>
      <w:tr>
        <w:trPr>
          <w:trHeight w:val="142"/>
        </w:trPr>
        <w:tc>
          <w:tcPr>
            <w:tcW w:w="60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Underwriting income</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3,420,650</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1,877,174</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3,641,490</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2,144,352</w:t>
            </w:r>
          </w:p>
        </w:tc>
        <w:tc>
          <w:tcPr>
            <w:tcW w:w="120" w:type="dxa"/>
            <w:vAlign w:val="bottom"/>
            <w:shd w:val="clear" w:color="auto" w:fill="CCEEFF"/>
          </w:tcPr>
          <w:p>
            <w:pPr>
              <w:spacing w:after="0"/>
              <w:rPr>
                <w:sz w:val="14"/>
                <w:szCs w:val="14"/>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Key Measures:</w:t>
            </w: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140"/>
              <w:spacing w:after="0"/>
              <w:rPr>
                <w:sz w:val="20"/>
                <w:szCs w:val="20"/>
                <w:color w:val="auto"/>
              </w:rPr>
            </w:pPr>
            <w:r>
              <w:rPr>
                <w:rFonts w:ascii="Arial" w:cs="Arial" w:eastAsia="Arial" w:hAnsi="Arial"/>
                <w:sz w:val="12"/>
                <w:szCs w:val="12"/>
                <w:color w:val="auto"/>
              </w:rPr>
              <w:t>Net loss ratio excluding the effect of catastrophes</w:t>
            </w: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42.3%</w:t>
            </w: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46.8%</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46.2%</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51.7%</w:t>
            </w:r>
          </w:p>
        </w:tc>
      </w:tr>
      <w:tr>
        <w:trPr>
          <w:trHeight w:val="144"/>
        </w:trPr>
        <w:tc>
          <w:tcPr>
            <w:tcW w:w="6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Effect of catastrophe loss on net loss ratio (2) (3)</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7.6%</w:t>
            </w:r>
          </w:p>
        </w:tc>
      </w:tr>
      <w:tr>
        <w:trPr>
          <w:trHeight w:val="20"/>
        </w:trPr>
        <w:tc>
          <w:tcPr>
            <w:tcW w:w="60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tcPr>
          <w:p>
            <w:pPr>
              <w:ind w:left="140"/>
              <w:spacing w:after="0"/>
              <w:rPr>
                <w:sz w:val="20"/>
                <w:szCs w:val="20"/>
                <w:color w:val="auto"/>
              </w:rPr>
            </w:pPr>
            <w:r>
              <w:rPr>
                <w:rFonts w:ascii="Arial" w:cs="Arial" w:eastAsia="Arial" w:hAnsi="Arial"/>
                <w:sz w:val="12"/>
                <w:szCs w:val="12"/>
                <w:color w:val="auto"/>
              </w:rPr>
              <w:t>Net loss ratio</w:t>
            </w: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43.9%</w:t>
            </w: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46.8%</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55.7%</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59.3%</w:t>
            </w:r>
          </w:p>
        </w:tc>
      </w:tr>
      <w:tr>
        <w:trPr>
          <w:trHeight w:val="142"/>
        </w:trPr>
        <w:tc>
          <w:tcPr>
            <w:tcW w:w="608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140"/>
              <w:spacing w:after="0"/>
              <w:rPr>
                <w:sz w:val="20"/>
                <w:szCs w:val="20"/>
                <w:color w:val="auto"/>
              </w:rPr>
            </w:pPr>
            <w:r>
              <w:rPr>
                <w:rFonts w:ascii="Arial" w:cs="Arial" w:eastAsia="Arial" w:hAnsi="Arial"/>
                <w:sz w:val="12"/>
                <w:szCs w:val="12"/>
                <w:color w:val="auto"/>
              </w:rPr>
              <w:t>Net underwriting expense ratio excluding the</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effect of catastrophes</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21.2%</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19.1%</w:t>
            </w:r>
          </w:p>
        </w:tc>
      </w:tr>
      <w:tr>
        <w:trPr>
          <w:trHeight w:val="144"/>
        </w:trPr>
        <w:tc>
          <w:tcPr>
            <w:tcW w:w="6080" w:type="dxa"/>
            <w:vAlign w:val="bottom"/>
          </w:tcPr>
          <w:p>
            <w:pPr>
              <w:ind w:left="140"/>
              <w:spacing w:after="0"/>
              <w:rPr>
                <w:sz w:val="20"/>
                <w:szCs w:val="20"/>
                <w:color w:val="auto"/>
              </w:rPr>
            </w:pPr>
            <w:r>
              <w:rPr>
                <w:rFonts w:ascii="Arial" w:cs="Arial" w:eastAsia="Arial" w:hAnsi="Arial"/>
                <w:sz w:val="12"/>
                <w:szCs w:val="12"/>
                <w:color w:val="auto"/>
              </w:rPr>
              <w:t>Effect of catastrophe loss on net underwriting</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expense ratio (1) (2) (3)</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4.2%</w:t>
            </w:r>
          </w:p>
        </w:tc>
      </w:tr>
      <w:tr>
        <w:trPr>
          <w:trHeight w:val="20"/>
        </w:trPr>
        <w:tc>
          <w:tcPr>
            <w:tcW w:w="60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tcPr>
          <w:p>
            <w:pPr>
              <w:ind w:left="140"/>
              <w:spacing w:after="0"/>
              <w:rPr>
                <w:sz w:val="20"/>
                <w:szCs w:val="20"/>
                <w:color w:val="auto"/>
              </w:rPr>
            </w:pPr>
            <w:r>
              <w:rPr>
                <w:rFonts w:ascii="Arial" w:cs="Arial" w:eastAsia="Arial" w:hAnsi="Arial"/>
                <w:sz w:val="12"/>
                <w:szCs w:val="12"/>
                <w:color w:val="auto"/>
              </w:rPr>
              <w:t>Net underwriting expense ratio</w:t>
            </w: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24.6%</w:t>
            </w: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24.0%</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27.2%</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23.3%</w:t>
            </w:r>
          </w:p>
        </w:tc>
      </w:tr>
      <w:tr>
        <w:trPr>
          <w:trHeight w:val="142"/>
        </w:trPr>
        <w:tc>
          <w:tcPr>
            <w:tcW w:w="608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140"/>
              <w:spacing w:after="0"/>
              <w:rPr>
                <w:sz w:val="20"/>
                <w:szCs w:val="20"/>
                <w:color w:val="auto"/>
              </w:rPr>
            </w:pPr>
            <w:r>
              <w:rPr>
                <w:rFonts w:ascii="Arial" w:cs="Arial" w:eastAsia="Arial" w:hAnsi="Arial"/>
                <w:sz w:val="12"/>
                <w:szCs w:val="12"/>
                <w:color w:val="auto"/>
              </w:rPr>
              <w:t>Net combined ratio excluding the effect</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of catastrophes</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65.4%</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70.8%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67.4%</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70.8%</w:t>
            </w:r>
          </w:p>
        </w:tc>
      </w:tr>
      <w:tr>
        <w:trPr>
          <w:trHeight w:val="144"/>
        </w:trPr>
        <w:tc>
          <w:tcPr>
            <w:tcW w:w="6080" w:type="dxa"/>
            <w:vAlign w:val="bottom"/>
          </w:tcPr>
          <w:p>
            <w:pPr>
              <w:ind w:left="140"/>
              <w:spacing w:after="0"/>
              <w:rPr>
                <w:sz w:val="20"/>
                <w:szCs w:val="20"/>
                <w:color w:val="auto"/>
              </w:rPr>
            </w:pPr>
            <w:r>
              <w:rPr>
                <w:rFonts w:ascii="Arial" w:cs="Arial" w:eastAsia="Arial" w:hAnsi="Arial"/>
                <w:sz w:val="12"/>
                <w:szCs w:val="12"/>
                <w:color w:val="auto"/>
              </w:rPr>
              <w:t>Effect of catastrophe loss on net combined</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ratio (1) (2) (3)</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11.8%</w:t>
            </w:r>
          </w:p>
        </w:tc>
      </w:tr>
      <w:tr>
        <w:trPr>
          <w:trHeight w:val="20"/>
        </w:trPr>
        <w:tc>
          <w:tcPr>
            <w:tcW w:w="60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80" w:type="dxa"/>
            <w:vAlign w:val="bottom"/>
          </w:tcPr>
          <w:p>
            <w:pPr>
              <w:ind w:left="140"/>
              <w:spacing w:after="0"/>
              <w:rPr>
                <w:sz w:val="20"/>
                <w:szCs w:val="20"/>
                <w:color w:val="auto"/>
              </w:rPr>
            </w:pPr>
            <w:r>
              <w:rPr>
                <w:rFonts w:ascii="Arial" w:cs="Arial" w:eastAsia="Arial" w:hAnsi="Arial"/>
                <w:sz w:val="12"/>
                <w:szCs w:val="12"/>
                <w:color w:val="auto"/>
              </w:rPr>
              <w:t>Net combined ratio</w:t>
            </w: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68.5%</w:t>
            </w: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70.8%</w:t>
            </w: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82.9%</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82.6%</w:t>
            </w:r>
          </w:p>
        </w:tc>
      </w:tr>
      <w:tr>
        <w:trPr>
          <w:trHeight w:val="142"/>
        </w:trPr>
        <w:tc>
          <w:tcPr>
            <w:tcW w:w="608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bl>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080" w:type="dxa"/>
            <w:vAlign w:val="bottom"/>
          </w:tcPr>
          <w:p>
            <w:pPr>
              <w:ind w:left="140"/>
              <w:spacing w:after="0"/>
              <w:rPr>
                <w:sz w:val="20"/>
                <w:szCs w:val="20"/>
                <w:color w:val="auto"/>
              </w:rPr>
            </w:pPr>
            <w:r>
              <w:rPr>
                <w:rFonts w:ascii="Arial" w:cs="Arial" w:eastAsia="Arial" w:hAnsi="Arial"/>
                <w:sz w:val="12"/>
                <w:szCs w:val="12"/>
                <w:color w:val="auto"/>
              </w:rPr>
              <w:t>Reconciliation of net underwriting expense ratio:</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costs and other</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80" w:type="dxa"/>
            <w:vAlign w:val="bottom"/>
          </w:tcPr>
          <w:p>
            <w:pPr>
              <w:ind w:left="240"/>
              <w:spacing w:after="0"/>
              <w:rPr>
                <w:sz w:val="20"/>
                <w:szCs w:val="20"/>
                <w:color w:val="auto"/>
              </w:rPr>
            </w:pPr>
            <w:r>
              <w:rPr>
                <w:rFonts w:ascii="Arial" w:cs="Arial" w:eastAsia="Arial" w:hAnsi="Arial"/>
                <w:sz w:val="12"/>
                <w:szCs w:val="12"/>
                <w:color w:val="auto"/>
              </w:rPr>
              <w:t>underwriting expenses</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6,561,827</w:t>
            </w:r>
          </w:p>
        </w:tc>
        <w:tc>
          <w:tcPr>
            <w:tcW w:w="140" w:type="dxa"/>
            <w:vAlign w:val="bottom"/>
          </w:tcPr>
          <w:p>
            <w:pPr>
              <w:spacing w:after="0"/>
              <w:rPr>
                <w:sz w:val="12"/>
                <w:szCs w:val="12"/>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5,432,867</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12,973,309</w:t>
            </w:r>
          </w:p>
        </w:tc>
        <w:tc>
          <w:tcPr>
            <w:tcW w:w="220" w:type="dxa"/>
            <w:vAlign w:val="bottom"/>
          </w:tcPr>
          <w:p>
            <w:pPr>
              <w:spacing w:after="0"/>
              <w:rPr>
                <w:sz w:val="12"/>
                <w:szCs w:val="12"/>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10,297,124</w:t>
            </w:r>
          </w:p>
        </w:tc>
      </w:tr>
      <w:tr>
        <w:trPr>
          <w:trHeight w:val="144"/>
        </w:trPr>
        <w:tc>
          <w:tcPr>
            <w:tcW w:w="60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Less: Ceding commission revenue (1)</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(3,655,522)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(3,706,049)</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(6,744,926)</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(7,087,332)</w:t>
            </w:r>
          </w:p>
        </w:tc>
      </w:tr>
      <w:tr>
        <w:trPr>
          <w:trHeight w:val="144"/>
        </w:trPr>
        <w:tc>
          <w:tcPr>
            <w:tcW w:w="6080" w:type="dxa"/>
            <w:vAlign w:val="bottom"/>
          </w:tcPr>
          <w:p>
            <w:pPr>
              <w:ind w:left="140"/>
              <w:spacing w:after="0"/>
              <w:rPr>
                <w:sz w:val="20"/>
                <w:szCs w:val="20"/>
                <w:color w:val="auto"/>
              </w:rPr>
            </w:pPr>
            <w:r>
              <w:rPr>
                <w:rFonts w:ascii="Arial" w:cs="Arial" w:eastAsia="Arial" w:hAnsi="Arial"/>
                <w:sz w:val="12"/>
                <w:szCs w:val="12"/>
                <w:color w:val="auto"/>
              </w:rPr>
              <w:t>Less: Other income</w:t>
            </w:r>
          </w:p>
        </w:tc>
        <w:tc>
          <w:tcPr>
            <w:tcW w:w="36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(232,053)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(182,558)</w:t>
            </w:r>
          </w:p>
        </w:tc>
        <w:tc>
          <w:tcPr>
            <w:tcW w:w="34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(452,389)</w:t>
            </w:r>
          </w:p>
        </w:tc>
        <w:tc>
          <w:tcPr>
            <w:tcW w:w="320" w:type="dxa"/>
            <w:vAlign w:val="bottom"/>
          </w:tcPr>
          <w:p>
            <w:pPr>
              <w:spacing w:after="0"/>
              <w:rPr>
                <w:sz w:val="12"/>
                <w:szCs w:val="1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(331,353)</w:t>
            </w:r>
          </w:p>
        </w:tc>
      </w:tr>
      <w:tr>
        <w:trPr>
          <w:trHeight w:val="20"/>
        </w:trPr>
        <w:tc>
          <w:tcPr>
            <w:tcW w:w="6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60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2,674,252</w:t>
            </w: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1,544,260</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5,775,994</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2,878,439</w:t>
            </w:r>
          </w:p>
        </w:tc>
        <w:tc>
          <w:tcPr>
            <w:tcW w:w="120" w:type="dxa"/>
            <w:vAlign w:val="bottom"/>
            <w:shd w:val="clear" w:color="auto" w:fill="CCEEFF"/>
          </w:tcPr>
          <w:p>
            <w:pPr>
              <w:spacing w:after="0"/>
              <w:rPr>
                <w:sz w:val="14"/>
                <w:szCs w:val="14"/>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ind w:left="8"/>
        <w:spacing w:after="0"/>
        <w:rPr>
          <w:sz w:val="20"/>
          <w:szCs w:val="20"/>
          <w:color w:val="auto"/>
        </w:rPr>
      </w:pPr>
      <w:r>
        <w:rPr>
          <w:rFonts w:ascii="Arial" w:cs="Arial" w:eastAsia="Arial" w:hAnsi="Arial"/>
          <w:sz w:val="12"/>
          <w:szCs w:val="12"/>
          <w:color w:val="auto"/>
        </w:rPr>
        <w:t>_________________________________________________</w:t>
      </w:r>
    </w:p>
    <w:p>
      <w:pPr>
        <w:spacing w:after="0" w:line="159" w:lineRule="exact"/>
        <w:rPr>
          <w:sz w:val="20"/>
          <w:szCs w:val="20"/>
          <w:color w:val="auto"/>
        </w:rPr>
      </w:pPr>
    </w:p>
    <w:p>
      <w:pPr>
        <w:ind w:left="8" w:hanging="8"/>
        <w:spacing w:after="0" w:line="276" w:lineRule="auto"/>
        <w:tabs>
          <w:tab w:leader="none" w:pos="185" w:val="left"/>
        </w:tabs>
        <w:numPr>
          <w:ilvl w:val="0"/>
          <w:numId w:val="9"/>
        </w:numPr>
        <w:rPr>
          <w:rFonts w:ascii="Arial" w:cs="Arial" w:eastAsia="Arial" w:hAnsi="Arial"/>
          <w:sz w:val="12"/>
          <w:szCs w:val="12"/>
          <w:color w:val="auto"/>
        </w:rPr>
      </w:pPr>
      <w:r>
        <w:rPr>
          <w:rFonts w:ascii="Arial" w:cs="Arial" w:eastAsia="Arial" w:hAnsi="Arial"/>
          <w:sz w:val="12"/>
          <w:szCs w:val="12"/>
          <w:color w:val="auto"/>
        </w:rPr>
        <w:t>For the six months ended June 30, 2015 and 2014, the effect of severe winter weather, defined as a catastrophe, reduced contingent ceding commission revenue by $1,280,521 and $517,269, respectively. For the three months ended June 30, 2015 and 2014, the effect of severe winter weather, defined as a catastrophe, reduced contingent ceding commission revenue by $165,363 and $-0-, respectively.</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4" w:right="199" w:bottom="1440" w:gutter="0" w:footer="0" w:header="0"/>
        </w:sectPr>
      </w:pPr>
    </w:p>
    <w:bookmarkStart w:id="52" w:name="page53"/>
    <w:bookmarkEnd w:id="52"/>
    <w:p>
      <w:pPr>
        <w:ind w:left="8" w:hanging="8"/>
        <w:spacing w:after="0" w:line="276" w:lineRule="auto"/>
        <w:tabs>
          <w:tab w:leader="none" w:pos="185"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six months ended June 30, 2015 and 2014 includes the sum of net catastrophe losses and loss adjustment expenses of $2,012,361 and $941,027, respectively, resulting from severe winter weather. For the three months ended June 30, 2015 and 2014 includes the sum of net catastrophe losses and loss adjustment expenses of $173,953 and $-0-, respectively, resulting from severe winter weather.</w:t>
      </w:r>
    </w:p>
    <w:p>
      <w:pPr>
        <w:spacing w:after="0" w:line="132" w:lineRule="exact"/>
        <w:rPr>
          <w:rFonts w:ascii="Arial" w:cs="Arial" w:eastAsia="Arial" w:hAnsi="Arial"/>
          <w:sz w:val="12"/>
          <w:szCs w:val="12"/>
          <w:color w:val="auto"/>
        </w:rPr>
      </w:pPr>
    </w:p>
    <w:p>
      <w:pPr>
        <w:jc w:val="both"/>
        <w:ind w:left="8" w:hanging="8"/>
        <w:spacing w:after="0" w:line="259" w:lineRule="auto"/>
        <w:tabs>
          <w:tab w:leader="none" w:pos="178"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six months ended June 30, 2015 and 2014, the effect of catastrophe loss from severe winter weather on our net combined ratio only includes the direct effects of loss and loss adjustment expenses and ceding commission revenue and does not include the indirect effects of a $351,593 and $163,673, respectively, decrease in other underwriting expenses. For the three months ended June 30, 2015 and 2014, the effect of catastrophe loss from severe winter weather on our net combined ratio only includes the direct effects of loss and loss adjustment expenses and ceding commission revenue and does not include the indirect effects of a $226,244 and $-0-, respectively, decrease in other underwriting expenses.</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Investments</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Portfolio Summary</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presents a breakdown of the amortized cost, aggregate fair value and unrealized gains and losses by investment type as of June 30, 2015 and December 31, 2014:</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u w:val="single" w:color="auto"/>
          <w:color w:val="auto"/>
        </w:rPr>
        <w:t>Available-for-Sale Securities</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rPr>
              <w:t>June 30, 2015</w:t>
            </w: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96"/>
        </w:trPr>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5"/>
              </w:rPr>
              <w:t>Cost or</w:t>
            </w:r>
          </w:p>
        </w:tc>
        <w:tc>
          <w:tcPr>
            <w:tcW w:w="20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2"/>
              </w:rPr>
              <w:t>Gross</w:t>
            </w:r>
          </w:p>
        </w:tc>
        <w:tc>
          <w:tcPr>
            <w:tcW w:w="200" w:type="dxa"/>
            <w:vAlign w:val="bottom"/>
          </w:tcPr>
          <w:p>
            <w:pPr>
              <w:spacing w:after="0"/>
              <w:rPr>
                <w:sz w:val="17"/>
                <w:szCs w:val="17"/>
                <w:color w:val="auto"/>
              </w:rPr>
            </w:pPr>
          </w:p>
        </w:tc>
        <w:tc>
          <w:tcPr>
            <w:tcW w:w="2580" w:type="dxa"/>
            <w:vAlign w:val="bottom"/>
            <w:gridSpan w:val="6"/>
          </w:tcPr>
          <w:p>
            <w:pPr>
              <w:jc w:val="right"/>
              <w:ind w:right="1000"/>
              <w:spacing w:after="0"/>
              <w:rPr>
                <w:sz w:val="20"/>
                <w:szCs w:val="20"/>
                <w:color w:val="auto"/>
              </w:rPr>
            </w:pPr>
            <w:r>
              <w:rPr>
                <w:rFonts w:ascii="Arial" w:cs="Arial" w:eastAsia="Arial" w:hAnsi="Arial"/>
                <w:sz w:val="10"/>
                <w:szCs w:val="10"/>
                <w:b w:val="1"/>
                <w:bCs w:val="1"/>
                <w:color w:val="auto"/>
              </w:rPr>
              <w:t>Gross Unrealized Losses</w:t>
            </w:r>
          </w:p>
        </w:tc>
        <w:tc>
          <w:tcPr>
            <w:tcW w:w="220" w:type="dxa"/>
            <w:vAlign w:val="bottom"/>
          </w:tcPr>
          <w:p>
            <w:pPr>
              <w:spacing w:after="0"/>
              <w:rPr>
                <w:sz w:val="17"/>
                <w:szCs w:val="17"/>
                <w:color w:val="auto"/>
              </w:rPr>
            </w:pPr>
          </w:p>
        </w:tc>
        <w:tc>
          <w:tcPr>
            <w:tcW w:w="920" w:type="dxa"/>
            <w:vAlign w:val="bottom"/>
          </w:tcPr>
          <w:p>
            <w:pPr>
              <w:jc w:val="center"/>
              <w:ind w:right="164"/>
              <w:spacing w:after="0"/>
              <w:rPr>
                <w:sz w:val="20"/>
                <w:szCs w:val="20"/>
                <w:color w:val="auto"/>
              </w:rPr>
            </w:pPr>
            <w:r>
              <w:rPr>
                <w:rFonts w:ascii="Arial" w:cs="Arial" w:eastAsia="Arial" w:hAnsi="Arial"/>
                <w:sz w:val="10"/>
                <w:szCs w:val="10"/>
                <w:b w:val="1"/>
                <w:bCs w:val="1"/>
                <w:color w:val="auto"/>
                <w:w w:val="84"/>
              </w:rPr>
              <w:t>Aggregate</w:t>
            </w:r>
          </w:p>
        </w:tc>
        <w:tc>
          <w:tcPr>
            <w:tcW w:w="2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 of</w:t>
            </w:r>
          </w:p>
        </w:tc>
      </w:tr>
      <w:tr>
        <w:trPr>
          <w:trHeight w:val="122"/>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line="107" w:lineRule="exact"/>
              <w:rPr>
                <w:sz w:val="20"/>
                <w:szCs w:val="20"/>
                <w:color w:val="auto"/>
              </w:rPr>
            </w:pPr>
            <w:r>
              <w:rPr>
                <w:rFonts w:ascii="Arial" w:cs="Arial" w:eastAsia="Arial" w:hAnsi="Arial"/>
                <w:sz w:val="10"/>
                <w:szCs w:val="10"/>
                <w:b w:val="1"/>
                <w:bCs w:val="1"/>
                <w:color w:val="auto"/>
                <w:w w:val="85"/>
              </w:rPr>
              <w:t>Amortized</w:t>
            </w:r>
          </w:p>
        </w:tc>
        <w:tc>
          <w:tcPr>
            <w:tcW w:w="200" w:type="dxa"/>
            <w:vAlign w:val="bottom"/>
          </w:tcPr>
          <w:p>
            <w:pPr>
              <w:spacing w:after="0"/>
              <w:rPr>
                <w:sz w:val="10"/>
                <w:szCs w:val="10"/>
                <w:color w:val="auto"/>
              </w:rPr>
            </w:pPr>
          </w:p>
        </w:tc>
        <w:tc>
          <w:tcPr>
            <w:tcW w:w="1180" w:type="dxa"/>
            <w:vAlign w:val="bottom"/>
            <w:gridSpan w:val="2"/>
          </w:tcPr>
          <w:p>
            <w:pPr>
              <w:jc w:val="center"/>
              <w:ind w:right="420"/>
              <w:spacing w:after="0" w:line="107" w:lineRule="exact"/>
              <w:rPr>
                <w:sz w:val="20"/>
                <w:szCs w:val="20"/>
                <w:color w:val="auto"/>
              </w:rPr>
            </w:pPr>
            <w:r>
              <w:rPr>
                <w:rFonts w:ascii="Arial" w:cs="Arial" w:eastAsia="Arial" w:hAnsi="Arial"/>
                <w:sz w:val="10"/>
                <w:szCs w:val="10"/>
                <w:b w:val="1"/>
                <w:bCs w:val="1"/>
                <w:color w:val="auto"/>
                <w:w w:val="86"/>
              </w:rPr>
              <w:t>Unrealized</w:t>
            </w: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85"/>
              </w:rPr>
              <w:t>Less than 12</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203"/>
              <w:spacing w:after="0"/>
              <w:rPr>
                <w:sz w:val="20"/>
                <w:szCs w:val="20"/>
                <w:color w:val="auto"/>
              </w:rPr>
            </w:pPr>
            <w:r>
              <w:rPr>
                <w:rFonts w:ascii="Arial" w:cs="Arial" w:eastAsia="Arial" w:hAnsi="Arial"/>
                <w:sz w:val="10"/>
                <w:szCs w:val="10"/>
                <w:b w:val="1"/>
                <w:bCs w:val="1"/>
                <w:color w:val="auto"/>
                <w:w w:val="87"/>
              </w:rPr>
              <w:t>More than 12</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64"/>
              <w:spacing w:after="0" w:line="107" w:lineRule="exact"/>
              <w:rPr>
                <w:sz w:val="20"/>
                <w:szCs w:val="20"/>
                <w:color w:val="auto"/>
              </w:rPr>
            </w:pPr>
            <w:r>
              <w:rPr>
                <w:rFonts w:ascii="Arial" w:cs="Arial" w:eastAsia="Arial" w:hAnsi="Arial"/>
                <w:sz w:val="10"/>
                <w:szCs w:val="10"/>
                <w:b w:val="1"/>
                <w:bCs w:val="1"/>
                <w:color w:val="auto"/>
                <w:w w:val="97"/>
              </w:rPr>
              <w:t>Fair</w:t>
            </w:r>
          </w:p>
        </w:tc>
        <w:tc>
          <w:tcPr>
            <w:tcW w:w="220" w:type="dxa"/>
            <w:vAlign w:val="bottom"/>
          </w:tcPr>
          <w:p>
            <w:pPr>
              <w:spacing w:after="0"/>
              <w:rPr>
                <w:sz w:val="10"/>
                <w:szCs w:val="10"/>
                <w:color w:val="auto"/>
              </w:rPr>
            </w:pPr>
          </w:p>
        </w:tc>
        <w:tc>
          <w:tcPr>
            <w:tcW w:w="1240" w:type="dxa"/>
            <w:vAlign w:val="bottom"/>
            <w:gridSpan w:val="2"/>
          </w:tcPr>
          <w:p>
            <w:pPr>
              <w:jc w:val="center"/>
              <w:ind w:right="120"/>
              <w:spacing w:after="0" w:line="107" w:lineRule="exact"/>
              <w:rPr>
                <w:sz w:val="20"/>
                <w:szCs w:val="20"/>
                <w:color w:val="auto"/>
              </w:rPr>
            </w:pPr>
            <w:r>
              <w:rPr>
                <w:rFonts w:ascii="Arial" w:cs="Arial" w:eastAsia="Arial" w:hAnsi="Arial"/>
                <w:sz w:val="10"/>
                <w:szCs w:val="10"/>
                <w:b w:val="1"/>
                <w:bCs w:val="1"/>
                <w:color w:val="auto"/>
                <w:w w:val="86"/>
              </w:rPr>
              <w:t>Fair</w:t>
            </w:r>
          </w:p>
        </w:tc>
      </w:tr>
      <w:tr>
        <w:trPr>
          <w:trHeight w:val="120"/>
        </w:trPr>
        <w:tc>
          <w:tcPr>
            <w:tcW w:w="3220" w:type="dxa"/>
            <w:vAlign w:val="bottom"/>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2"/>
              </w:rPr>
              <w:t>Cos</w:t>
            </w:r>
            <w:r>
              <w:rPr>
                <w:rFonts w:ascii="Arial" w:cs="Arial" w:eastAsia="Arial" w:hAnsi="Arial"/>
                <w:sz w:val="10"/>
                <w:szCs w:val="10"/>
                <w:color w:val="auto"/>
                <w:w w:val="82"/>
              </w:rPr>
              <w:t>t</w:t>
            </w:r>
          </w:p>
        </w:tc>
        <w:tc>
          <w:tcPr>
            <w:tcW w:w="20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6"/>
              </w:rPr>
              <w:t>Gains</w:t>
            </w:r>
          </w:p>
        </w:tc>
        <w:tc>
          <w:tcPr>
            <w:tcW w:w="20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4"/>
              </w:rPr>
              <w:t>Months</w:t>
            </w:r>
          </w:p>
        </w:tc>
        <w:tc>
          <w:tcPr>
            <w:tcW w:w="220" w:type="dxa"/>
            <w:vAlign w:val="bottom"/>
          </w:tcPr>
          <w:p>
            <w:pPr>
              <w:spacing w:after="0"/>
              <w:rPr>
                <w:sz w:val="10"/>
                <w:szCs w:val="10"/>
                <w:color w:val="auto"/>
              </w:rPr>
            </w:pPr>
          </w:p>
        </w:tc>
        <w:tc>
          <w:tcPr>
            <w:tcW w:w="920" w:type="dxa"/>
            <w:vAlign w:val="bottom"/>
          </w:tcPr>
          <w:p>
            <w:pPr>
              <w:jc w:val="center"/>
              <w:ind w:right="164"/>
              <w:spacing w:after="0"/>
              <w:rPr>
                <w:sz w:val="20"/>
                <w:szCs w:val="20"/>
                <w:color w:val="auto"/>
              </w:rPr>
            </w:pPr>
            <w:r>
              <w:rPr>
                <w:rFonts w:ascii="Arial" w:cs="Arial" w:eastAsia="Arial" w:hAnsi="Arial"/>
                <w:sz w:val="10"/>
                <w:szCs w:val="10"/>
                <w:b w:val="1"/>
                <w:bCs w:val="1"/>
                <w:color w:val="auto"/>
                <w:w w:val="82"/>
              </w:rPr>
              <w:t>Value</w:t>
            </w:r>
          </w:p>
        </w:tc>
        <w:tc>
          <w:tcPr>
            <w:tcW w:w="22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Value</w:t>
            </w:r>
          </w:p>
        </w:tc>
      </w:tr>
      <w:tr>
        <w:trPr>
          <w:trHeight w:val="142"/>
        </w:trPr>
        <w:tc>
          <w:tcPr>
            <w:tcW w:w="3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Political subdivisions of States,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Territories and Possessions</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13,544,367</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296,651</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(62,414)</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13,778,604</w:t>
            </w:r>
          </w:p>
        </w:tc>
        <w:tc>
          <w:tcPr>
            <w:tcW w:w="1460" w:type="dxa"/>
            <w:vAlign w:val="bottom"/>
            <w:gridSpan w:val="3"/>
          </w:tcPr>
          <w:p>
            <w:pPr>
              <w:jc w:val="right"/>
              <w:ind w:right="20"/>
              <w:spacing w:after="0"/>
              <w:rPr>
                <w:sz w:val="20"/>
                <w:szCs w:val="20"/>
                <w:color w:val="auto"/>
              </w:rPr>
            </w:pPr>
            <w:r>
              <w:rPr>
                <w:rFonts w:ascii="Arial" w:cs="Arial" w:eastAsia="Arial" w:hAnsi="Arial"/>
                <w:sz w:val="12"/>
                <w:szCs w:val="12"/>
                <w:color w:val="auto"/>
              </w:rPr>
              <w:t>20.8%</w:t>
            </w:r>
          </w:p>
        </w:tc>
      </w:tr>
      <w:tr>
        <w:trPr>
          <w:trHeight w:val="144"/>
        </w:trPr>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Corporate and other bonds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Industrial and miscellaneous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38,471,232</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624,272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(191,871)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(10,736)</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38,892,897</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58.8%</w:t>
            </w:r>
          </w:p>
        </w:tc>
      </w:tr>
      <w:tr>
        <w:trPr>
          <w:trHeight w:val="144"/>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Residential mortgage backed</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140"/>
              <w:spacing w:after="0"/>
              <w:rPr>
                <w:sz w:val="20"/>
                <w:szCs w:val="20"/>
                <w:color w:val="auto"/>
              </w:rPr>
            </w:pPr>
            <w:r>
              <w:rPr>
                <w:rFonts w:ascii="Arial" w:cs="Arial" w:eastAsia="Arial" w:hAnsi="Arial"/>
                <w:sz w:val="12"/>
                <w:szCs w:val="12"/>
                <w:color w:val="auto"/>
              </w:rPr>
              <w:t>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4,192,192</w:t>
            </w:r>
          </w:p>
        </w:tc>
        <w:tc>
          <w:tcPr>
            <w:tcW w:w="2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30,439</w:t>
            </w: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(42,038)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4,180,593</w:t>
            </w:r>
          </w:p>
        </w:tc>
        <w:tc>
          <w:tcPr>
            <w:tcW w:w="1460" w:type="dxa"/>
            <w:vAlign w:val="bottom"/>
            <w:gridSpan w:val="3"/>
          </w:tcPr>
          <w:p>
            <w:pPr>
              <w:jc w:val="right"/>
              <w:ind w:right="20"/>
              <w:spacing w:after="0"/>
              <w:rPr>
                <w:sz w:val="20"/>
                <w:szCs w:val="20"/>
                <w:color w:val="auto"/>
              </w:rPr>
            </w:pPr>
            <w:r>
              <w:rPr>
                <w:rFonts w:ascii="Arial" w:cs="Arial" w:eastAsia="Arial" w:hAnsi="Arial"/>
                <w:sz w:val="12"/>
                <w:szCs w:val="12"/>
                <w:color w:val="auto"/>
              </w:rPr>
              <w:t>6.3%</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3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fixed-maturity securities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56,207,791</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951,362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(296,323)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(10,736)</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56,852,094</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85.9%</w:t>
            </w: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Equity 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9,028,208</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450,855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(159,518)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(44,093)</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9,275,452</w:t>
            </w:r>
          </w:p>
        </w:tc>
        <w:tc>
          <w:tcPr>
            <w:tcW w:w="1460" w:type="dxa"/>
            <w:vAlign w:val="bottom"/>
            <w:gridSpan w:val="3"/>
          </w:tcPr>
          <w:p>
            <w:pPr>
              <w:jc w:val="right"/>
              <w:ind w:right="20"/>
              <w:spacing w:after="0"/>
              <w:rPr>
                <w:sz w:val="20"/>
                <w:szCs w:val="20"/>
                <w:color w:val="auto"/>
              </w:rPr>
            </w:pPr>
            <w:r>
              <w:rPr>
                <w:rFonts w:ascii="Arial" w:cs="Arial" w:eastAsia="Arial" w:hAnsi="Arial"/>
                <w:sz w:val="12"/>
                <w:szCs w:val="12"/>
                <w:color w:val="auto"/>
              </w:rPr>
              <w:t>14.1%</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65,235,999</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1,402,217</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(455,841)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(54,829)</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66,127,546</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100.0%</w:t>
            </w: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37"/>
        </w:trPr>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December 31, 2014</w:t>
            </w: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6"/>
        </w:trPr>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5"/>
              </w:rPr>
              <w:t>Cost or</w:t>
            </w:r>
          </w:p>
        </w:tc>
        <w:tc>
          <w:tcPr>
            <w:tcW w:w="20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2"/>
              </w:rPr>
              <w:t>Gross</w:t>
            </w:r>
          </w:p>
        </w:tc>
        <w:tc>
          <w:tcPr>
            <w:tcW w:w="200" w:type="dxa"/>
            <w:vAlign w:val="bottom"/>
          </w:tcPr>
          <w:p>
            <w:pPr>
              <w:spacing w:after="0"/>
              <w:rPr>
                <w:sz w:val="17"/>
                <w:szCs w:val="17"/>
                <w:color w:val="auto"/>
              </w:rPr>
            </w:pPr>
          </w:p>
        </w:tc>
        <w:tc>
          <w:tcPr>
            <w:tcW w:w="2580" w:type="dxa"/>
            <w:vAlign w:val="bottom"/>
            <w:gridSpan w:val="6"/>
          </w:tcPr>
          <w:p>
            <w:pPr>
              <w:jc w:val="right"/>
              <w:ind w:right="1000"/>
              <w:spacing w:after="0"/>
              <w:rPr>
                <w:sz w:val="20"/>
                <w:szCs w:val="20"/>
                <w:color w:val="auto"/>
              </w:rPr>
            </w:pPr>
            <w:r>
              <w:rPr>
                <w:rFonts w:ascii="Arial" w:cs="Arial" w:eastAsia="Arial" w:hAnsi="Arial"/>
                <w:sz w:val="10"/>
                <w:szCs w:val="10"/>
                <w:b w:val="1"/>
                <w:bCs w:val="1"/>
                <w:color w:val="auto"/>
              </w:rPr>
              <w:t>Gross Unrealized Losses</w:t>
            </w:r>
          </w:p>
        </w:tc>
        <w:tc>
          <w:tcPr>
            <w:tcW w:w="220" w:type="dxa"/>
            <w:vAlign w:val="bottom"/>
          </w:tcPr>
          <w:p>
            <w:pPr>
              <w:spacing w:after="0"/>
              <w:rPr>
                <w:sz w:val="17"/>
                <w:szCs w:val="17"/>
                <w:color w:val="auto"/>
              </w:rPr>
            </w:pPr>
          </w:p>
        </w:tc>
        <w:tc>
          <w:tcPr>
            <w:tcW w:w="920" w:type="dxa"/>
            <w:vAlign w:val="bottom"/>
          </w:tcPr>
          <w:p>
            <w:pPr>
              <w:jc w:val="center"/>
              <w:ind w:right="164"/>
              <w:spacing w:after="0"/>
              <w:rPr>
                <w:sz w:val="20"/>
                <w:szCs w:val="20"/>
                <w:color w:val="auto"/>
              </w:rPr>
            </w:pPr>
            <w:r>
              <w:rPr>
                <w:rFonts w:ascii="Arial" w:cs="Arial" w:eastAsia="Arial" w:hAnsi="Arial"/>
                <w:sz w:val="10"/>
                <w:szCs w:val="10"/>
                <w:b w:val="1"/>
                <w:bCs w:val="1"/>
                <w:color w:val="auto"/>
                <w:w w:val="84"/>
              </w:rPr>
              <w:t>Aggregate</w:t>
            </w:r>
          </w:p>
        </w:tc>
        <w:tc>
          <w:tcPr>
            <w:tcW w:w="2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 of</w:t>
            </w:r>
          </w:p>
        </w:tc>
      </w:tr>
      <w:tr>
        <w:trPr>
          <w:trHeight w:val="122"/>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line="107" w:lineRule="exact"/>
              <w:rPr>
                <w:sz w:val="20"/>
                <w:szCs w:val="20"/>
                <w:color w:val="auto"/>
              </w:rPr>
            </w:pPr>
            <w:r>
              <w:rPr>
                <w:rFonts w:ascii="Arial" w:cs="Arial" w:eastAsia="Arial" w:hAnsi="Arial"/>
                <w:sz w:val="10"/>
                <w:szCs w:val="10"/>
                <w:b w:val="1"/>
                <w:bCs w:val="1"/>
                <w:color w:val="auto"/>
                <w:w w:val="85"/>
              </w:rPr>
              <w:t>Amortized</w:t>
            </w:r>
          </w:p>
        </w:tc>
        <w:tc>
          <w:tcPr>
            <w:tcW w:w="200" w:type="dxa"/>
            <w:vAlign w:val="bottom"/>
          </w:tcPr>
          <w:p>
            <w:pPr>
              <w:spacing w:after="0"/>
              <w:rPr>
                <w:sz w:val="10"/>
                <w:szCs w:val="10"/>
                <w:color w:val="auto"/>
              </w:rPr>
            </w:pPr>
          </w:p>
        </w:tc>
        <w:tc>
          <w:tcPr>
            <w:tcW w:w="1180" w:type="dxa"/>
            <w:vAlign w:val="bottom"/>
            <w:gridSpan w:val="2"/>
          </w:tcPr>
          <w:p>
            <w:pPr>
              <w:jc w:val="center"/>
              <w:ind w:right="420"/>
              <w:spacing w:after="0" w:line="107" w:lineRule="exact"/>
              <w:rPr>
                <w:sz w:val="20"/>
                <w:szCs w:val="20"/>
                <w:color w:val="auto"/>
              </w:rPr>
            </w:pPr>
            <w:r>
              <w:rPr>
                <w:rFonts w:ascii="Arial" w:cs="Arial" w:eastAsia="Arial" w:hAnsi="Arial"/>
                <w:sz w:val="10"/>
                <w:szCs w:val="10"/>
                <w:b w:val="1"/>
                <w:bCs w:val="1"/>
                <w:color w:val="auto"/>
                <w:w w:val="86"/>
              </w:rPr>
              <w:t>Unrealized</w:t>
            </w: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85"/>
              </w:rPr>
              <w:t>Less than 12</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203"/>
              <w:spacing w:after="0"/>
              <w:rPr>
                <w:sz w:val="20"/>
                <w:szCs w:val="20"/>
                <w:color w:val="auto"/>
              </w:rPr>
            </w:pPr>
            <w:r>
              <w:rPr>
                <w:rFonts w:ascii="Arial" w:cs="Arial" w:eastAsia="Arial" w:hAnsi="Arial"/>
                <w:sz w:val="10"/>
                <w:szCs w:val="10"/>
                <w:b w:val="1"/>
                <w:bCs w:val="1"/>
                <w:color w:val="auto"/>
                <w:w w:val="87"/>
              </w:rPr>
              <w:t>More than 12</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64"/>
              <w:spacing w:after="0" w:line="107" w:lineRule="exact"/>
              <w:rPr>
                <w:sz w:val="20"/>
                <w:szCs w:val="20"/>
                <w:color w:val="auto"/>
              </w:rPr>
            </w:pPr>
            <w:r>
              <w:rPr>
                <w:rFonts w:ascii="Arial" w:cs="Arial" w:eastAsia="Arial" w:hAnsi="Arial"/>
                <w:sz w:val="10"/>
                <w:szCs w:val="10"/>
                <w:b w:val="1"/>
                <w:bCs w:val="1"/>
                <w:color w:val="auto"/>
                <w:w w:val="97"/>
              </w:rPr>
              <w:t>Fair</w:t>
            </w:r>
          </w:p>
        </w:tc>
        <w:tc>
          <w:tcPr>
            <w:tcW w:w="220" w:type="dxa"/>
            <w:vAlign w:val="bottom"/>
          </w:tcPr>
          <w:p>
            <w:pPr>
              <w:spacing w:after="0"/>
              <w:rPr>
                <w:sz w:val="10"/>
                <w:szCs w:val="10"/>
                <w:color w:val="auto"/>
              </w:rPr>
            </w:pPr>
          </w:p>
        </w:tc>
        <w:tc>
          <w:tcPr>
            <w:tcW w:w="1240" w:type="dxa"/>
            <w:vAlign w:val="bottom"/>
            <w:gridSpan w:val="2"/>
          </w:tcPr>
          <w:p>
            <w:pPr>
              <w:jc w:val="center"/>
              <w:ind w:right="120"/>
              <w:spacing w:after="0" w:line="107" w:lineRule="exact"/>
              <w:rPr>
                <w:sz w:val="20"/>
                <w:szCs w:val="20"/>
                <w:color w:val="auto"/>
              </w:rPr>
            </w:pPr>
            <w:r>
              <w:rPr>
                <w:rFonts w:ascii="Arial" w:cs="Arial" w:eastAsia="Arial" w:hAnsi="Arial"/>
                <w:sz w:val="10"/>
                <w:szCs w:val="10"/>
                <w:b w:val="1"/>
                <w:bCs w:val="1"/>
                <w:color w:val="auto"/>
                <w:w w:val="86"/>
              </w:rPr>
              <w:t>Fair</w:t>
            </w:r>
          </w:p>
        </w:tc>
      </w:tr>
      <w:tr>
        <w:trPr>
          <w:trHeight w:val="120"/>
        </w:trPr>
        <w:tc>
          <w:tcPr>
            <w:tcW w:w="3220" w:type="dxa"/>
            <w:vAlign w:val="bottom"/>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2"/>
              </w:rPr>
              <w:t>Cos</w:t>
            </w:r>
            <w:r>
              <w:rPr>
                <w:rFonts w:ascii="Arial" w:cs="Arial" w:eastAsia="Arial" w:hAnsi="Arial"/>
                <w:sz w:val="10"/>
                <w:szCs w:val="10"/>
                <w:color w:val="auto"/>
                <w:w w:val="82"/>
              </w:rPr>
              <w:t>t</w:t>
            </w:r>
          </w:p>
        </w:tc>
        <w:tc>
          <w:tcPr>
            <w:tcW w:w="20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6"/>
              </w:rPr>
              <w:t>Gains</w:t>
            </w:r>
          </w:p>
        </w:tc>
        <w:tc>
          <w:tcPr>
            <w:tcW w:w="200" w:type="dxa"/>
            <w:vAlign w:val="bottom"/>
          </w:tcPr>
          <w:p>
            <w:pPr>
              <w:spacing w:after="0"/>
              <w:rPr>
                <w:sz w:val="10"/>
                <w:szCs w:val="1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4"/>
              </w:rPr>
              <w:t>Months</w:t>
            </w:r>
          </w:p>
        </w:tc>
        <w:tc>
          <w:tcPr>
            <w:tcW w:w="220" w:type="dxa"/>
            <w:vAlign w:val="bottom"/>
          </w:tcPr>
          <w:p>
            <w:pPr>
              <w:spacing w:after="0"/>
              <w:rPr>
                <w:sz w:val="10"/>
                <w:szCs w:val="10"/>
                <w:color w:val="auto"/>
              </w:rPr>
            </w:pPr>
          </w:p>
        </w:tc>
        <w:tc>
          <w:tcPr>
            <w:tcW w:w="920" w:type="dxa"/>
            <w:vAlign w:val="bottom"/>
          </w:tcPr>
          <w:p>
            <w:pPr>
              <w:jc w:val="center"/>
              <w:ind w:right="164"/>
              <w:spacing w:after="0"/>
              <w:rPr>
                <w:sz w:val="20"/>
                <w:szCs w:val="20"/>
                <w:color w:val="auto"/>
              </w:rPr>
            </w:pPr>
            <w:r>
              <w:rPr>
                <w:rFonts w:ascii="Arial" w:cs="Arial" w:eastAsia="Arial" w:hAnsi="Arial"/>
                <w:sz w:val="10"/>
                <w:szCs w:val="10"/>
                <w:b w:val="1"/>
                <w:bCs w:val="1"/>
                <w:color w:val="auto"/>
                <w:w w:val="82"/>
              </w:rPr>
              <w:t>Value</w:t>
            </w:r>
          </w:p>
        </w:tc>
        <w:tc>
          <w:tcPr>
            <w:tcW w:w="22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9"/>
              </w:rPr>
              <w:t>Value</w:t>
            </w:r>
          </w:p>
        </w:tc>
      </w:tr>
      <w:tr>
        <w:trPr>
          <w:trHeight w:val="142"/>
        </w:trPr>
        <w:tc>
          <w:tcPr>
            <w:tcW w:w="3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Political subdivisions of States,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Territories and Possessions</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13,862,141</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412,490</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(23,813)</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(6,379)</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14,244,439</w:t>
            </w:r>
          </w:p>
        </w:tc>
        <w:tc>
          <w:tcPr>
            <w:tcW w:w="1460" w:type="dxa"/>
            <w:vAlign w:val="bottom"/>
            <w:gridSpan w:val="3"/>
          </w:tcPr>
          <w:p>
            <w:pPr>
              <w:jc w:val="right"/>
              <w:ind w:right="20"/>
              <w:spacing w:after="0"/>
              <w:rPr>
                <w:sz w:val="20"/>
                <w:szCs w:val="20"/>
                <w:color w:val="auto"/>
              </w:rPr>
            </w:pPr>
            <w:r>
              <w:rPr>
                <w:rFonts w:ascii="Arial" w:cs="Arial" w:eastAsia="Arial" w:hAnsi="Arial"/>
                <w:sz w:val="12"/>
                <w:szCs w:val="12"/>
                <w:color w:val="auto"/>
              </w:rPr>
              <w:t>24.1%</w:t>
            </w:r>
          </w:p>
        </w:tc>
      </w:tr>
      <w:tr>
        <w:trPr>
          <w:trHeight w:val="144"/>
        </w:trPr>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Corporate and other bonds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Industrial and miscellaneous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36,221,300</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803,440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(118,092)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(30,228)</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36,876,420</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62.4%</w:t>
            </w:r>
          </w:p>
        </w:tc>
      </w:tr>
      <w:tr>
        <w:trPr>
          <w:trHeight w:val="20"/>
        </w:trPr>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220" w:type="dxa"/>
            <w:vAlign w:val="bottom"/>
          </w:tcPr>
          <w:p>
            <w:pPr>
              <w:ind w:left="120"/>
              <w:spacing w:after="0"/>
              <w:rPr>
                <w:sz w:val="20"/>
                <w:szCs w:val="20"/>
                <w:color w:val="auto"/>
              </w:rPr>
            </w:pPr>
            <w:r>
              <w:rPr>
                <w:rFonts w:ascii="Arial" w:cs="Arial" w:eastAsia="Arial" w:hAnsi="Arial"/>
                <w:sz w:val="12"/>
                <w:szCs w:val="12"/>
                <w:color w:val="auto"/>
              </w:rPr>
              <w:t>Total fixed-maturity securities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50,083,441</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1,215,930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(141,905)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(36,607)</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51,120,859</w:t>
            </w:r>
          </w:p>
        </w:tc>
        <w:tc>
          <w:tcPr>
            <w:tcW w:w="1460" w:type="dxa"/>
            <w:vAlign w:val="bottom"/>
            <w:gridSpan w:val="3"/>
          </w:tcPr>
          <w:p>
            <w:pPr>
              <w:jc w:val="right"/>
              <w:ind w:right="20"/>
              <w:spacing w:after="0"/>
              <w:rPr>
                <w:sz w:val="20"/>
                <w:szCs w:val="20"/>
                <w:color w:val="auto"/>
              </w:rPr>
            </w:pPr>
            <w:r>
              <w:rPr>
                <w:rFonts w:ascii="Arial" w:cs="Arial" w:eastAsia="Arial" w:hAnsi="Arial"/>
                <w:sz w:val="12"/>
                <w:szCs w:val="12"/>
                <w:color w:val="auto"/>
              </w:rPr>
              <w:t>86.4%</w:t>
            </w: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Securities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7,621,309</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464,130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(2,647)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(65,063)</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8,017,729</w:t>
            </w: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13.6%</w:t>
            </w:r>
          </w:p>
        </w:tc>
      </w:tr>
      <w:tr>
        <w:trPr>
          <w:trHeight w:val="20"/>
        </w:trPr>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220" w:type="dxa"/>
            <w:vAlign w:val="bottom"/>
          </w:tcPr>
          <w:p>
            <w:pPr>
              <w:ind w:left="20"/>
              <w:spacing w:after="0"/>
              <w:rPr>
                <w:sz w:val="20"/>
                <w:szCs w:val="20"/>
                <w:color w:val="auto"/>
              </w:rPr>
            </w:pPr>
            <w:r>
              <w:rPr>
                <w:rFonts w:ascii="Arial" w:cs="Arial" w:eastAsia="Arial" w:hAnsi="Arial"/>
                <w:sz w:val="12"/>
                <w:szCs w:val="12"/>
                <w:color w:val="auto"/>
              </w:rPr>
              <w:t>Total</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57,704,750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1,680,060</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(144,552)</w:t>
            </w: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(101,670)</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59,138,588</w:t>
            </w:r>
          </w:p>
        </w:tc>
        <w:tc>
          <w:tcPr>
            <w:tcW w:w="1460" w:type="dxa"/>
            <w:vAlign w:val="bottom"/>
            <w:gridSpan w:val="3"/>
          </w:tcPr>
          <w:p>
            <w:pPr>
              <w:jc w:val="right"/>
              <w:ind w:right="20"/>
              <w:spacing w:after="0"/>
              <w:rPr>
                <w:sz w:val="20"/>
                <w:szCs w:val="20"/>
                <w:color w:val="auto"/>
              </w:rPr>
            </w:pPr>
            <w:r>
              <w:rPr>
                <w:rFonts w:ascii="Arial" w:cs="Arial" w:eastAsia="Arial" w:hAnsi="Arial"/>
                <w:sz w:val="12"/>
                <w:szCs w:val="12"/>
                <w:color w:val="auto"/>
              </w:rPr>
              <w:t>100.0%</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1"/>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24"/>
              <w:spacing w:after="0"/>
              <w:rPr>
                <w:sz w:val="20"/>
                <w:szCs w:val="20"/>
                <w:color w:val="auto"/>
              </w:rPr>
            </w:pPr>
            <w:r>
              <w:rPr>
                <w:rFonts w:ascii="Arial" w:cs="Arial" w:eastAsia="Arial" w:hAnsi="Arial"/>
                <w:sz w:val="12"/>
                <w:szCs w:val="12"/>
                <w:color w:val="auto"/>
              </w:rPr>
              <w:t>51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
        </w:trPr>
        <w:tc>
          <w:tcPr>
            <w:tcW w:w="32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53" w:name="page54"/>
    <w:bookmarkEnd w:id="53"/>
    <w:p>
      <w:pPr>
        <w:ind w:left="420"/>
        <w:spacing w:after="0"/>
        <w:rPr>
          <w:sz w:val="20"/>
          <w:szCs w:val="20"/>
          <w:color w:val="auto"/>
        </w:rPr>
      </w:pPr>
      <w:r>
        <w:rPr>
          <w:rFonts w:ascii="Arial" w:cs="Arial" w:eastAsia="Arial" w:hAnsi="Arial"/>
          <w:sz w:val="12"/>
          <w:szCs w:val="12"/>
          <w:u w:val="single" w:color="auto"/>
          <w:color w:val="auto"/>
        </w:rPr>
        <w:t>Held-to-Maturity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5"/>
          </w:tcPr>
          <w:p>
            <w:pPr>
              <w:jc w:val="center"/>
              <w:ind w:left="585"/>
              <w:spacing w:after="0"/>
              <w:rPr>
                <w:sz w:val="20"/>
                <w:szCs w:val="20"/>
                <w:color w:val="auto"/>
              </w:rPr>
            </w:pPr>
            <w:r>
              <w:rPr>
                <w:rFonts w:ascii="Arial" w:cs="Arial" w:eastAsia="Arial" w:hAnsi="Arial"/>
                <w:sz w:val="10"/>
                <w:szCs w:val="10"/>
                <w:b w:val="1"/>
                <w:bCs w:val="1"/>
                <w:color w:val="auto"/>
                <w:w w:val="82"/>
              </w:rPr>
              <w:t>June 30, 2015</w:t>
            </w: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96"/>
        </w:trPr>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5"/>
              </w:rPr>
              <w:t>Cost or</w:t>
            </w:r>
          </w:p>
        </w:tc>
        <w:tc>
          <w:tcPr>
            <w:tcW w:w="200" w:type="dxa"/>
            <w:vAlign w:val="bottom"/>
          </w:tcPr>
          <w:p>
            <w:pPr>
              <w:spacing w:after="0"/>
              <w:rPr>
                <w:sz w:val="17"/>
                <w:szCs w:val="17"/>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82"/>
              </w:rPr>
              <w:t>Gross</w:t>
            </w:r>
          </w:p>
        </w:tc>
        <w:tc>
          <w:tcPr>
            <w:tcW w:w="200" w:type="dxa"/>
            <w:vAlign w:val="bottom"/>
          </w:tcPr>
          <w:p>
            <w:pPr>
              <w:spacing w:after="0"/>
              <w:rPr>
                <w:sz w:val="17"/>
                <w:szCs w:val="17"/>
                <w:color w:val="auto"/>
              </w:rPr>
            </w:pPr>
          </w:p>
        </w:tc>
        <w:tc>
          <w:tcPr>
            <w:tcW w:w="2580" w:type="dxa"/>
            <w:vAlign w:val="bottom"/>
            <w:gridSpan w:val="7"/>
          </w:tcPr>
          <w:p>
            <w:pPr>
              <w:jc w:val="right"/>
              <w:ind w:right="1000"/>
              <w:spacing w:after="0"/>
              <w:rPr>
                <w:sz w:val="20"/>
                <w:szCs w:val="20"/>
                <w:color w:val="auto"/>
              </w:rPr>
            </w:pPr>
            <w:r>
              <w:rPr>
                <w:rFonts w:ascii="Arial" w:cs="Arial" w:eastAsia="Arial" w:hAnsi="Arial"/>
                <w:sz w:val="10"/>
                <w:szCs w:val="10"/>
                <w:b w:val="1"/>
                <w:bCs w:val="1"/>
                <w:color w:val="auto"/>
              </w:rPr>
              <w:t>Gross Unrealized Losses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 of</w:t>
            </w:r>
          </w:p>
        </w:tc>
      </w:tr>
      <w:tr>
        <w:trPr>
          <w:trHeight w:val="122"/>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line="107" w:lineRule="exact"/>
              <w:rPr>
                <w:sz w:val="20"/>
                <w:szCs w:val="20"/>
                <w:color w:val="auto"/>
              </w:rPr>
            </w:pPr>
            <w:r>
              <w:rPr>
                <w:rFonts w:ascii="Arial" w:cs="Arial" w:eastAsia="Arial" w:hAnsi="Arial"/>
                <w:sz w:val="10"/>
                <w:szCs w:val="10"/>
                <w:b w:val="1"/>
                <w:bCs w:val="1"/>
                <w:color w:val="auto"/>
                <w:w w:val="85"/>
              </w:rPr>
              <w:t>Amortized</w:t>
            </w:r>
          </w:p>
        </w:tc>
        <w:tc>
          <w:tcPr>
            <w:tcW w:w="200" w:type="dxa"/>
            <w:vAlign w:val="bottom"/>
          </w:tcPr>
          <w:p>
            <w:pPr>
              <w:spacing w:after="0"/>
              <w:rPr>
                <w:sz w:val="10"/>
                <w:szCs w:val="10"/>
                <w:color w:val="auto"/>
              </w:rPr>
            </w:pPr>
          </w:p>
        </w:tc>
        <w:tc>
          <w:tcPr>
            <w:tcW w:w="1180" w:type="dxa"/>
            <w:vAlign w:val="bottom"/>
            <w:gridSpan w:val="3"/>
          </w:tcPr>
          <w:p>
            <w:pPr>
              <w:jc w:val="center"/>
              <w:ind w:right="420"/>
              <w:spacing w:after="0" w:line="107" w:lineRule="exact"/>
              <w:rPr>
                <w:sz w:val="20"/>
                <w:szCs w:val="20"/>
                <w:color w:val="auto"/>
              </w:rPr>
            </w:pPr>
            <w:r>
              <w:rPr>
                <w:rFonts w:ascii="Arial" w:cs="Arial" w:eastAsia="Arial" w:hAnsi="Arial"/>
                <w:sz w:val="10"/>
                <w:szCs w:val="10"/>
                <w:b w:val="1"/>
                <w:bCs w:val="1"/>
                <w:color w:val="auto"/>
                <w:w w:val="86"/>
              </w:rPr>
              <w:t>Unrealized</w:t>
            </w: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320"/>
              <w:spacing w:after="0"/>
              <w:rPr>
                <w:sz w:val="20"/>
                <w:szCs w:val="20"/>
                <w:color w:val="auto"/>
              </w:rPr>
            </w:pPr>
            <w:r>
              <w:rPr>
                <w:rFonts w:ascii="Arial" w:cs="Arial" w:eastAsia="Arial" w:hAnsi="Arial"/>
                <w:sz w:val="10"/>
                <w:szCs w:val="10"/>
                <w:b w:val="1"/>
                <w:bCs w:val="1"/>
                <w:color w:val="auto"/>
                <w:w w:val="85"/>
              </w:rPr>
              <w:t>Less than 12</w:t>
            </w: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83"/>
              <w:spacing w:after="0"/>
              <w:rPr>
                <w:sz w:val="20"/>
                <w:szCs w:val="20"/>
                <w:color w:val="auto"/>
              </w:rPr>
            </w:pPr>
            <w:r>
              <w:rPr>
                <w:rFonts w:ascii="Arial" w:cs="Arial" w:eastAsia="Arial" w:hAnsi="Arial"/>
                <w:sz w:val="10"/>
                <w:szCs w:val="10"/>
                <w:b w:val="1"/>
                <w:bCs w:val="1"/>
                <w:color w:val="auto"/>
                <w:w w:val="87"/>
              </w:rPr>
              <w:t>More than 12</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right="144"/>
              <w:spacing w:after="0" w:line="107" w:lineRule="exact"/>
              <w:rPr>
                <w:sz w:val="20"/>
                <w:szCs w:val="20"/>
                <w:color w:val="auto"/>
              </w:rPr>
            </w:pPr>
            <w:r>
              <w:rPr>
                <w:rFonts w:ascii="Arial" w:cs="Arial" w:eastAsia="Arial" w:hAnsi="Arial"/>
                <w:sz w:val="10"/>
                <w:szCs w:val="10"/>
                <w:b w:val="1"/>
                <w:bCs w:val="1"/>
                <w:color w:val="auto"/>
                <w:w w:val="97"/>
              </w:rPr>
              <w:t>Fair</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2"/>
          </w:tcPr>
          <w:p>
            <w:pPr>
              <w:jc w:val="center"/>
              <w:ind w:right="420"/>
              <w:spacing w:after="0" w:line="107" w:lineRule="exact"/>
              <w:rPr>
                <w:sz w:val="20"/>
                <w:szCs w:val="20"/>
                <w:color w:val="auto"/>
              </w:rPr>
            </w:pPr>
            <w:r>
              <w:rPr>
                <w:rFonts w:ascii="Arial" w:cs="Arial" w:eastAsia="Arial" w:hAnsi="Arial"/>
                <w:sz w:val="10"/>
                <w:szCs w:val="10"/>
                <w:b w:val="1"/>
                <w:bCs w:val="1"/>
                <w:color w:val="auto"/>
                <w:w w:val="86"/>
              </w:rPr>
              <w:t>Fair</w:t>
            </w:r>
          </w:p>
        </w:tc>
      </w:tr>
      <w:tr>
        <w:trPr>
          <w:trHeight w:val="120"/>
        </w:trPr>
        <w:tc>
          <w:tcPr>
            <w:tcW w:w="3220" w:type="dxa"/>
            <w:vAlign w:val="bottom"/>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2"/>
              </w:rPr>
              <w:t>Cos</w:t>
            </w:r>
            <w:r>
              <w:rPr>
                <w:rFonts w:ascii="Arial" w:cs="Arial" w:eastAsia="Arial" w:hAnsi="Arial"/>
                <w:sz w:val="10"/>
                <w:szCs w:val="10"/>
                <w:color w:val="auto"/>
                <w:w w:val="82"/>
              </w:rPr>
              <w:t>t</w:t>
            </w:r>
          </w:p>
        </w:tc>
        <w:tc>
          <w:tcPr>
            <w:tcW w:w="200" w:type="dxa"/>
            <w:vAlign w:val="bottom"/>
          </w:tcPr>
          <w:p>
            <w:pPr>
              <w:spacing w:after="0"/>
              <w:rPr>
                <w:sz w:val="10"/>
                <w:szCs w:val="10"/>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86"/>
              </w:rPr>
              <w:t>Gains</w:t>
            </w:r>
          </w:p>
        </w:tc>
        <w:tc>
          <w:tcPr>
            <w:tcW w:w="200" w:type="dxa"/>
            <w:vAlign w:val="bottom"/>
          </w:tcPr>
          <w:p>
            <w:pPr>
              <w:spacing w:after="0"/>
              <w:rPr>
                <w:sz w:val="10"/>
                <w:szCs w:val="10"/>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89"/>
              </w:rPr>
              <w:t>Months</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4"/>
              </w:rPr>
              <w:t>Months</w:t>
            </w:r>
          </w:p>
        </w:tc>
        <w:tc>
          <w:tcPr>
            <w:tcW w:w="200" w:type="dxa"/>
            <w:vAlign w:val="bottom"/>
          </w:tcPr>
          <w:p>
            <w:pPr>
              <w:spacing w:after="0"/>
              <w:rPr>
                <w:sz w:val="10"/>
                <w:szCs w:val="10"/>
                <w:color w:val="auto"/>
              </w:rPr>
            </w:pPr>
          </w:p>
        </w:tc>
        <w:tc>
          <w:tcPr>
            <w:tcW w:w="940" w:type="dxa"/>
            <w:vAlign w:val="bottom"/>
          </w:tcPr>
          <w:p>
            <w:pPr>
              <w:jc w:val="center"/>
              <w:ind w:right="144"/>
              <w:spacing w:after="0"/>
              <w:rPr>
                <w:sz w:val="20"/>
                <w:szCs w:val="20"/>
                <w:color w:val="auto"/>
              </w:rPr>
            </w:pPr>
            <w:r>
              <w:rPr>
                <w:rFonts w:ascii="Arial" w:cs="Arial" w:eastAsia="Arial" w:hAnsi="Arial"/>
                <w:sz w:val="10"/>
                <w:szCs w:val="10"/>
                <w:b w:val="1"/>
                <w:bCs w:val="1"/>
                <w:color w:val="auto"/>
                <w:w w:val="82"/>
              </w:rPr>
              <w:t>Value</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9"/>
              </w:rPr>
              <w:t>Value</w:t>
            </w:r>
          </w:p>
        </w:tc>
      </w:tr>
      <w:tr>
        <w:trPr>
          <w:trHeight w:val="142"/>
        </w:trPr>
        <w:tc>
          <w:tcPr>
            <w:tcW w:w="3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Treasury securities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606,371</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128,547</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734,918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14.0%</w:t>
            </w:r>
          </w:p>
        </w:tc>
      </w:tr>
      <w:tr>
        <w:trPr>
          <w:trHeight w:val="144"/>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Political subdivisions of States,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Territories and Possessions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1,415,423</w:t>
            </w:r>
          </w:p>
        </w:tc>
        <w:tc>
          <w:tcPr>
            <w:tcW w:w="20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34,784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(47,642)</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1,402,565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26.7%</w:t>
            </w:r>
          </w:p>
        </w:tc>
      </w:tr>
      <w:tr>
        <w:trPr>
          <w:trHeight w:val="144"/>
        </w:trPr>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Corporate and other bonds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Industrial and miscellaneous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3,113,758</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63,724</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(56,404)</w:t>
            </w:r>
          </w:p>
        </w:tc>
        <w:tc>
          <w:tcPr>
            <w:tcW w:w="1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3,121,078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59.3%</w:t>
            </w:r>
          </w:p>
        </w:tc>
      </w:tr>
      <w:tr>
        <w:trPr>
          <w:trHeight w:val="142"/>
        </w:trPr>
        <w:tc>
          <w:tcPr>
            <w:tcW w:w="3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5,135,552</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227,055</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(56,404)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(47,642)</w:t>
            </w:r>
          </w:p>
        </w:tc>
        <w:tc>
          <w:tcPr>
            <w:tcW w:w="20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5,258,561</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100.0%</w:t>
            </w: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82"/>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center"/>
              <w:ind w:left="585"/>
              <w:spacing w:after="0"/>
              <w:rPr>
                <w:sz w:val="20"/>
                <w:szCs w:val="20"/>
                <w:color w:val="auto"/>
              </w:rPr>
            </w:pPr>
            <w:r>
              <w:rPr>
                <w:rFonts w:ascii="Arial" w:cs="Arial" w:eastAsia="Arial" w:hAnsi="Arial"/>
                <w:sz w:val="10"/>
                <w:szCs w:val="10"/>
                <w:b w:val="1"/>
                <w:bCs w:val="1"/>
                <w:color w:val="auto"/>
                <w:w w:val="86"/>
              </w:rPr>
              <w:t>December 31, 2014</w:t>
            </w: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5"/>
              </w:rPr>
              <w:t>Cost or</w:t>
            </w:r>
          </w:p>
        </w:tc>
        <w:tc>
          <w:tcPr>
            <w:tcW w:w="200" w:type="dxa"/>
            <w:vAlign w:val="bottom"/>
          </w:tcPr>
          <w:p>
            <w:pPr>
              <w:spacing w:after="0"/>
              <w:rPr>
                <w:sz w:val="17"/>
                <w:szCs w:val="17"/>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82"/>
              </w:rPr>
              <w:t>Gross</w:t>
            </w:r>
          </w:p>
        </w:tc>
        <w:tc>
          <w:tcPr>
            <w:tcW w:w="200" w:type="dxa"/>
            <w:vAlign w:val="bottom"/>
          </w:tcPr>
          <w:p>
            <w:pPr>
              <w:spacing w:after="0"/>
              <w:rPr>
                <w:sz w:val="17"/>
                <w:szCs w:val="17"/>
                <w:color w:val="auto"/>
              </w:rPr>
            </w:pPr>
          </w:p>
        </w:tc>
        <w:tc>
          <w:tcPr>
            <w:tcW w:w="2580" w:type="dxa"/>
            <w:vAlign w:val="bottom"/>
            <w:gridSpan w:val="7"/>
          </w:tcPr>
          <w:p>
            <w:pPr>
              <w:jc w:val="right"/>
              <w:ind w:right="1000"/>
              <w:spacing w:after="0"/>
              <w:rPr>
                <w:sz w:val="20"/>
                <w:szCs w:val="20"/>
                <w:color w:val="auto"/>
              </w:rPr>
            </w:pPr>
            <w:r>
              <w:rPr>
                <w:rFonts w:ascii="Arial" w:cs="Arial" w:eastAsia="Arial" w:hAnsi="Arial"/>
                <w:sz w:val="10"/>
                <w:szCs w:val="10"/>
                <w:b w:val="1"/>
                <w:bCs w:val="1"/>
                <w:color w:val="auto"/>
              </w:rPr>
              <w:t>Gross Unrealized Losses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 of</w:t>
            </w:r>
          </w:p>
        </w:tc>
      </w:tr>
      <w:tr>
        <w:trPr>
          <w:trHeight w:val="122"/>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line="107" w:lineRule="exact"/>
              <w:rPr>
                <w:sz w:val="20"/>
                <w:szCs w:val="20"/>
                <w:color w:val="auto"/>
              </w:rPr>
            </w:pPr>
            <w:r>
              <w:rPr>
                <w:rFonts w:ascii="Arial" w:cs="Arial" w:eastAsia="Arial" w:hAnsi="Arial"/>
                <w:sz w:val="10"/>
                <w:szCs w:val="10"/>
                <w:b w:val="1"/>
                <w:bCs w:val="1"/>
                <w:color w:val="auto"/>
                <w:w w:val="85"/>
              </w:rPr>
              <w:t>Amortized</w:t>
            </w:r>
          </w:p>
        </w:tc>
        <w:tc>
          <w:tcPr>
            <w:tcW w:w="200" w:type="dxa"/>
            <w:vAlign w:val="bottom"/>
          </w:tcPr>
          <w:p>
            <w:pPr>
              <w:spacing w:after="0"/>
              <w:rPr>
                <w:sz w:val="10"/>
                <w:szCs w:val="10"/>
                <w:color w:val="auto"/>
              </w:rPr>
            </w:pPr>
          </w:p>
        </w:tc>
        <w:tc>
          <w:tcPr>
            <w:tcW w:w="1180" w:type="dxa"/>
            <w:vAlign w:val="bottom"/>
            <w:gridSpan w:val="3"/>
          </w:tcPr>
          <w:p>
            <w:pPr>
              <w:jc w:val="center"/>
              <w:ind w:right="420"/>
              <w:spacing w:after="0" w:line="107" w:lineRule="exact"/>
              <w:rPr>
                <w:sz w:val="20"/>
                <w:szCs w:val="20"/>
                <w:color w:val="auto"/>
              </w:rPr>
            </w:pPr>
            <w:r>
              <w:rPr>
                <w:rFonts w:ascii="Arial" w:cs="Arial" w:eastAsia="Arial" w:hAnsi="Arial"/>
                <w:sz w:val="10"/>
                <w:szCs w:val="10"/>
                <w:b w:val="1"/>
                <w:bCs w:val="1"/>
                <w:color w:val="auto"/>
                <w:w w:val="86"/>
              </w:rPr>
              <w:t>Unrealized</w:t>
            </w: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320"/>
              <w:spacing w:after="0"/>
              <w:rPr>
                <w:sz w:val="20"/>
                <w:szCs w:val="20"/>
                <w:color w:val="auto"/>
              </w:rPr>
            </w:pPr>
            <w:r>
              <w:rPr>
                <w:rFonts w:ascii="Arial" w:cs="Arial" w:eastAsia="Arial" w:hAnsi="Arial"/>
                <w:sz w:val="10"/>
                <w:szCs w:val="10"/>
                <w:b w:val="1"/>
                <w:bCs w:val="1"/>
                <w:color w:val="auto"/>
                <w:w w:val="85"/>
              </w:rPr>
              <w:t>Less than 12</w:t>
            </w: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83"/>
              <w:spacing w:after="0"/>
              <w:rPr>
                <w:sz w:val="20"/>
                <w:szCs w:val="20"/>
                <w:color w:val="auto"/>
              </w:rPr>
            </w:pPr>
            <w:r>
              <w:rPr>
                <w:rFonts w:ascii="Arial" w:cs="Arial" w:eastAsia="Arial" w:hAnsi="Arial"/>
                <w:sz w:val="10"/>
                <w:szCs w:val="10"/>
                <w:b w:val="1"/>
                <w:bCs w:val="1"/>
                <w:color w:val="auto"/>
                <w:w w:val="87"/>
              </w:rPr>
              <w:t>More than 12</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right="144"/>
              <w:spacing w:after="0" w:line="107" w:lineRule="exact"/>
              <w:rPr>
                <w:sz w:val="20"/>
                <w:szCs w:val="20"/>
                <w:color w:val="auto"/>
              </w:rPr>
            </w:pPr>
            <w:r>
              <w:rPr>
                <w:rFonts w:ascii="Arial" w:cs="Arial" w:eastAsia="Arial" w:hAnsi="Arial"/>
                <w:sz w:val="10"/>
                <w:szCs w:val="10"/>
                <w:b w:val="1"/>
                <w:bCs w:val="1"/>
                <w:color w:val="auto"/>
                <w:w w:val="97"/>
              </w:rPr>
              <w:t>Fair</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2"/>
          </w:tcPr>
          <w:p>
            <w:pPr>
              <w:jc w:val="center"/>
              <w:ind w:right="420"/>
              <w:spacing w:after="0" w:line="107" w:lineRule="exact"/>
              <w:rPr>
                <w:sz w:val="20"/>
                <w:szCs w:val="20"/>
                <w:color w:val="auto"/>
              </w:rPr>
            </w:pPr>
            <w:r>
              <w:rPr>
                <w:rFonts w:ascii="Arial" w:cs="Arial" w:eastAsia="Arial" w:hAnsi="Arial"/>
                <w:sz w:val="10"/>
                <w:szCs w:val="10"/>
                <w:b w:val="1"/>
                <w:bCs w:val="1"/>
                <w:color w:val="auto"/>
                <w:w w:val="86"/>
              </w:rPr>
              <w:t>Fair</w:t>
            </w:r>
          </w:p>
        </w:tc>
      </w:tr>
      <w:tr>
        <w:trPr>
          <w:trHeight w:val="120"/>
        </w:trPr>
        <w:tc>
          <w:tcPr>
            <w:tcW w:w="3220" w:type="dxa"/>
            <w:vAlign w:val="bottom"/>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2"/>
              </w:rPr>
              <w:t>Cos</w:t>
            </w:r>
            <w:r>
              <w:rPr>
                <w:rFonts w:ascii="Arial" w:cs="Arial" w:eastAsia="Arial" w:hAnsi="Arial"/>
                <w:sz w:val="10"/>
                <w:szCs w:val="10"/>
                <w:color w:val="auto"/>
                <w:w w:val="82"/>
              </w:rPr>
              <w:t>t</w:t>
            </w:r>
          </w:p>
        </w:tc>
        <w:tc>
          <w:tcPr>
            <w:tcW w:w="200" w:type="dxa"/>
            <w:vAlign w:val="bottom"/>
          </w:tcPr>
          <w:p>
            <w:pPr>
              <w:spacing w:after="0"/>
              <w:rPr>
                <w:sz w:val="10"/>
                <w:szCs w:val="10"/>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86"/>
              </w:rPr>
              <w:t>Gains</w:t>
            </w:r>
          </w:p>
        </w:tc>
        <w:tc>
          <w:tcPr>
            <w:tcW w:w="200" w:type="dxa"/>
            <w:vAlign w:val="bottom"/>
          </w:tcPr>
          <w:p>
            <w:pPr>
              <w:spacing w:after="0"/>
              <w:rPr>
                <w:sz w:val="10"/>
                <w:szCs w:val="10"/>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89"/>
              </w:rPr>
              <w:t>Months</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4"/>
              </w:rPr>
              <w:t>Months</w:t>
            </w:r>
          </w:p>
        </w:tc>
        <w:tc>
          <w:tcPr>
            <w:tcW w:w="200" w:type="dxa"/>
            <w:vAlign w:val="bottom"/>
          </w:tcPr>
          <w:p>
            <w:pPr>
              <w:spacing w:after="0"/>
              <w:rPr>
                <w:sz w:val="10"/>
                <w:szCs w:val="10"/>
                <w:color w:val="auto"/>
              </w:rPr>
            </w:pPr>
          </w:p>
        </w:tc>
        <w:tc>
          <w:tcPr>
            <w:tcW w:w="940" w:type="dxa"/>
            <w:vAlign w:val="bottom"/>
          </w:tcPr>
          <w:p>
            <w:pPr>
              <w:jc w:val="center"/>
              <w:ind w:right="144"/>
              <w:spacing w:after="0"/>
              <w:rPr>
                <w:sz w:val="20"/>
                <w:szCs w:val="20"/>
                <w:color w:val="auto"/>
              </w:rPr>
            </w:pPr>
            <w:r>
              <w:rPr>
                <w:rFonts w:ascii="Arial" w:cs="Arial" w:eastAsia="Arial" w:hAnsi="Arial"/>
                <w:sz w:val="10"/>
                <w:szCs w:val="10"/>
                <w:b w:val="1"/>
                <w:bCs w:val="1"/>
                <w:color w:val="auto"/>
                <w:w w:val="82"/>
              </w:rPr>
              <w:t>Value</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9"/>
              </w:rPr>
              <w:t>Value</w:t>
            </w:r>
          </w:p>
        </w:tc>
      </w:tr>
      <w:tr>
        <w:trPr>
          <w:trHeight w:val="142"/>
        </w:trPr>
        <w:tc>
          <w:tcPr>
            <w:tcW w:w="3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U.S. Treasury securities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606,353</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183,200</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789,553</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14.6%</w:t>
            </w:r>
          </w:p>
        </w:tc>
      </w:tr>
      <w:tr>
        <w:trPr>
          <w:trHeight w:val="144"/>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Political subdivisions of States,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Territories and Possessions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1,413,303</w:t>
            </w:r>
          </w:p>
        </w:tc>
        <w:tc>
          <w:tcPr>
            <w:tcW w:w="20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49,981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(12,247)</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1,451,037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26.9%</w:t>
            </w:r>
          </w:p>
        </w:tc>
      </w:tr>
      <w:tr>
        <w:trPr>
          <w:trHeight w:val="144"/>
        </w:trPr>
        <w:tc>
          <w:tcPr>
            <w:tcW w:w="3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Corporate and other bonds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Industrial and miscellaneous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3,109,079</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98,306</w:t>
            </w: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(52,921)</w:t>
            </w:r>
          </w:p>
        </w:tc>
        <w:tc>
          <w:tcPr>
            <w:tcW w:w="1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3,154,464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58.5%</w:t>
            </w:r>
          </w:p>
        </w:tc>
      </w:tr>
      <w:tr>
        <w:trPr>
          <w:trHeight w:val="142"/>
        </w:trPr>
        <w:tc>
          <w:tcPr>
            <w:tcW w:w="3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5,128,735</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331,487</w:t>
            </w: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(52,921)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(12,247)</w:t>
            </w:r>
          </w:p>
        </w:tc>
        <w:tc>
          <w:tcPr>
            <w:tcW w:w="200" w:type="dxa"/>
            <w:vAlign w:val="bottom"/>
            <w:shd w:val="clear" w:color="auto" w:fill="CCEEFF"/>
          </w:tcPr>
          <w:p>
            <w:pPr>
              <w:jc w:val="right"/>
              <w:ind w:right="9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5,395,054</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100.0%</w:t>
            </w: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8880" w:type="dxa"/>
            <w:vAlign w:val="bottom"/>
            <w:gridSpan w:val="17"/>
          </w:tcPr>
          <w:p>
            <w:pPr>
              <w:spacing w:after="0"/>
              <w:rPr>
                <w:sz w:val="20"/>
                <w:szCs w:val="20"/>
                <w:color w:val="auto"/>
              </w:rPr>
            </w:pPr>
            <w:r>
              <w:rPr>
                <w:rFonts w:ascii="Arial" w:cs="Arial" w:eastAsia="Arial" w:hAnsi="Arial"/>
                <w:sz w:val="12"/>
                <w:szCs w:val="12"/>
                <w:color w:val="auto"/>
                <w:w w:val="95"/>
              </w:rPr>
              <w:t>U.S. Treasury securities included in held-to-maturity securities are held in trust pursuant to the New York State Department of Financial Services’ minimum funds requirement.</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06"/>
        </w:trPr>
        <w:tc>
          <w:tcPr>
            <w:tcW w:w="10020" w:type="dxa"/>
            <w:vAlign w:val="bottom"/>
            <w:gridSpan w:val="19"/>
          </w:tcPr>
          <w:p>
            <w:pPr>
              <w:spacing w:after="0"/>
              <w:rPr>
                <w:sz w:val="20"/>
                <w:szCs w:val="20"/>
                <w:color w:val="auto"/>
              </w:rPr>
            </w:pPr>
            <w:r>
              <w:rPr>
                <w:rFonts w:ascii="Arial" w:cs="Arial" w:eastAsia="Arial" w:hAnsi="Arial"/>
                <w:sz w:val="12"/>
                <w:szCs w:val="12"/>
                <w:color w:val="auto"/>
                <w:w w:val="97"/>
              </w:rPr>
              <w:t>A summary of the amortized cost and fair value of the Company’s investments in held-to-maturity securities by contractual maturity as of June 30, 2015 and December 31, 2014 is shown below:</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center"/>
              <w:ind w:left="605"/>
              <w:spacing w:after="0"/>
              <w:rPr>
                <w:sz w:val="20"/>
                <w:szCs w:val="20"/>
                <w:color w:val="auto"/>
              </w:rPr>
            </w:pPr>
            <w:r>
              <w:rPr>
                <w:rFonts w:ascii="Arial" w:cs="Arial" w:eastAsia="Arial" w:hAnsi="Arial"/>
                <w:sz w:val="10"/>
                <w:szCs w:val="10"/>
                <w:b w:val="1"/>
                <w:bCs w:val="1"/>
                <w:color w:val="auto"/>
                <w:w w:val="86"/>
              </w:rPr>
              <w:t>June 30, 2015</w:t>
            </w:r>
          </w:p>
        </w:tc>
        <w:tc>
          <w:tcPr>
            <w:tcW w:w="8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December 31, 2014</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2"/>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0"/>
                <w:szCs w:val="10"/>
                <w:b w:val="1"/>
                <w:bCs w:val="1"/>
                <w:color w:val="auto"/>
              </w:rPr>
              <w:t>Amortized</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right="164"/>
              <w:spacing w:after="0"/>
              <w:rPr>
                <w:sz w:val="20"/>
                <w:szCs w:val="20"/>
                <w:color w:val="auto"/>
              </w:rPr>
            </w:pPr>
            <w:r>
              <w:rPr>
                <w:rFonts w:ascii="Arial" w:cs="Arial" w:eastAsia="Arial" w:hAnsi="Arial"/>
                <w:sz w:val="10"/>
                <w:szCs w:val="10"/>
                <w:b w:val="1"/>
                <w:bCs w:val="1"/>
                <w:color w:val="auto"/>
                <w:w w:val="89"/>
              </w:rPr>
              <w:t>Amortized</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3220" w:type="dxa"/>
            <w:vAlign w:val="bottom"/>
          </w:tcPr>
          <w:p>
            <w:pPr>
              <w:ind w:left="20"/>
              <w:spacing w:after="0"/>
              <w:rPr>
                <w:sz w:val="20"/>
                <w:szCs w:val="20"/>
                <w:color w:val="auto"/>
              </w:rPr>
            </w:pPr>
            <w:r>
              <w:rPr>
                <w:rFonts w:ascii="Arial" w:cs="Arial" w:eastAsia="Arial" w:hAnsi="Arial"/>
                <w:sz w:val="10"/>
                <w:szCs w:val="10"/>
                <w:b w:val="1"/>
                <w:bCs w:val="1"/>
                <w:color w:val="auto"/>
              </w:rPr>
              <w:t>Remaining Time to Maturit</w:t>
            </w:r>
            <w:r>
              <w:rPr>
                <w:rFonts w:ascii="Arial" w:cs="Arial" w:eastAsia="Arial" w:hAnsi="Arial"/>
                <w:sz w:val="10"/>
                <w:szCs w:val="10"/>
                <w:color w:val="auto"/>
              </w:rPr>
              <w:t>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0"/>
                <w:szCs w:val="10"/>
                <w:b w:val="1"/>
                <w:bCs w:val="1"/>
                <w:color w:val="auto"/>
              </w:rPr>
              <w:t>Cost</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Fair Value</w:t>
            </w:r>
          </w:p>
        </w:tc>
        <w:tc>
          <w:tcPr>
            <w:tcW w:w="200" w:type="dxa"/>
            <w:vAlign w:val="bottom"/>
          </w:tcPr>
          <w:p>
            <w:pPr>
              <w:spacing w:after="0"/>
              <w:rPr>
                <w:sz w:val="10"/>
                <w:szCs w:val="10"/>
                <w:color w:val="auto"/>
              </w:rPr>
            </w:pPr>
          </w:p>
        </w:tc>
        <w:tc>
          <w:tcPr>
            <w:tcW w:w="940" w:type="dxa"/>
            <w:vAlign w:val="bottom"/>
          </w:tcPr>
          <w:p>
            <w:pPr>
              <w:jc w:val="center"/>
              <w:ind w:right="164"/>
              <w:spacing w:after="0"/>
              <w:rPr>
                <w:sz w:val="20"/>
                <w:szCs w:val="20"/>
                <w:color w:val="auto"/>
              </w:rPr>
            </w:pPr>
            <w:r>
              <w:rPr>
                <w:rFonts w:ascii="Arial" w:cs="Arial" w:eastAsia="Arial" w:hAnsi="Arial"/>
                <w:sz w:val="10"/>
                <w:szCs w:val="10"/>
                <w:b w:val="1"/>
                <w:bCs w:val="1"/>
                <w:color w:val="auto"/>
                <w:w w:val="89"/>
              </w:rPr>
              <w:t>Cost</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Fair Value</w:t>
            </w:r>
          </w:p>
        </w:tc>
      </w:tr>
      <w:tr>
        <w:trPr>
          <w:trHeight w:val="142"/>
        </w:trPr>
        <w:tc>
          <w:tcPr>
            <w:tcW w:w="3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Less than one year</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118"/>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jc w:val="right"/>
              <w:ind w:right="118"/>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One to five years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Five to ten years</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4,034,068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4,010,908</w:t>
            </w:r>
          </w:p>
        </w:tc>
        <w:tc>
          <w:tcPr>
            <w:tcW w:w="26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3,522,927</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3,563,401</w:t>
            </w:r>
          </w:p>
        </w:tc>
        <w:tc>
          <w:tcPr>
            <w:tcW w:w="120" w:type="dxa"/>
            <w:vAlign w:val="bottom"/>
            <w:shd w:val="clear" w:color="auto" w:fill="CCEEFF"/>
          </w:tcPr>
          <w:p>
            <w:pPr>
              <w:spacing w:after="0"/>
              <w:rPr>
                <w:sz w:val="12"/>
                <w:szCs w:val="12"/>
                <w:color w:val="auto"/>
              </w:rPr>
            </w:pPr>
          </w:p>
        </w:tc>
      </w:tr>
      <w:tr>
        <w:trPr>
          <w:trHeight w:val="144"/>
        </w:trPr>
        <w:tc>
          <w:tcPr>
            <w:tcW w:w="3220" w:type="dxa"/>
            <w:vAlign w:val="bottom"/>
          </w:tcPr>
          <w:p>
            <w:pPr>
              <w:ind w:left="20"/>
              <w:spacing w:after="0"/>
              <w:rPr>
                <w:sz w:val="20"/>
                <w:szCs w:val="20"/>
                <w:color w:val="auto"/>
              </w:rPr>
            </w:pPr>
            <w:r>
              <w:rPr>
                <w:rFonts w:ascii="Arial" w:cs="Arial" w:eastAsia="Arial" w:hAnsi="Arial"/>
                <w:sz w:val="12"/>
                <w:szCs w:val="12"/>
                <w:color w:val="auto"/>
              </w:rPr>
              <w:t>More than 10 years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1,101,484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1,247,653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1,605,808</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1,831,653</w:t>
            </w:r>
          </w:p>
        </w:tc>
        <w:tc>
          <w:tcPr>
            <w:tcW w:w="120" w:type="dxa"/>
            <w:vAlign w:val="bottom"/>
          </w:tcPr>
          <w:p>
            <w:pPr>
              <w:spacing w:after="0"/>
              <w:rPr>
                <w:sz w:val="12"/>
                <w:szCs w:val="12"/>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32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jc w:val="right"/>
              <w:ind w:right="118"/>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5,135,552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5,258,561</w:t>
            </w:r>
          </w:p>
        </w:tc>
        <w:tc>
          <w:tcPr>
            <w:tcW w:w="260" w:type="dxa"/>
            <w:vAlign w:val="bottom"/>
            <w:tcBorders>
              <w:left w:val="single" w:sz="8" w:color="CCEEFF"/>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jc w:val="right"/>
              <w:ind w:right="118"/>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5,128,735</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5,395,054</w:t>
            </w:r>
          </w:p>
        </w:tc>
        <w:tc>
          <w:tcPr>
            <w:tcW w:w="120" w:type="dxa"/>
            <w:vAlign w:val="bottom"/>
            <w:shd w:val="clear" w:color="auto" w:fill="CCEEFF"/>
          </w:tcPr>
          <w:p>
            <w:pPr>
              <w:spacing w:after="0"/>
              <w:rPr>
                <w:sz w:val="15"/>
                <w:szCs w:val="15"/>
                <w:color w:val="auto"/>
              </w:rPr>
            </w:pPr>
          </w:p>
        </w:tc>
      </w:tr>
      <w:tr>
        <w:trPr>
          <w:trHeight w:val="381"/>
        </w:trPr>
        <w:tc>
          <w:tcPr>
            <w:tcW w:w="3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jc w:val="right"/>
              <w:ind w:right="25"/>
              <w:spacing w:after="0"/>
              <w:rPr>
                <w:sz w:val="20"/>
                <w:szCs w:val="20"/>
                <w:color w:val="auto"/>
              </w:rPr>
            </w:pPr>
            <w:r>
              <w:rPr>
                <w:rFonts w:ascii="Arial" w:cs="Arial" w:eastAsia="Arial" w:hAnsi="Arial"/>
                <w:sz w:val="12"/>
                <w:szCs w:val="12"/>
                <w:color w:val="auto"/>
              </w:rPr>
              <w:t>52</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32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54" w:name="page55"/>
    <w:bookmarkEnd w:id="54"/>
    <w:p>
      <w:pPr>
        <w:ind w:left="420"/>
        <w:spacing w:after="0"/>
        <w:rPr>
          <w:sz w:val="20"/>
          <w:szCs w:val="20"/>
          <w:color w:val="auto"/>
        </w:rPr>
      </w:pPr>
      <w:r>
        <w:rPr>
          <w:rFonts w:ascii="Arial" w:cs="Arial" w:eastAsia="Arial" w:hAnsi="Arial"/>
          <w:sz w:val="12"/>
          <w:szCs w:val="12"/>
          <w:b w:val="1"/>
          <w:bCs w:val="1"/>
          <w:i w:val="1"/>
          <w:iCs w:val="1"/>
          <w:color w:val="auto"/>
        </w:rPr>
        <w:t>Credit Rating of Fixed-Maturity Securities</w:t>
      </w:r>
    </w:p>
    <w:p>
      <w:pPr>
        <w:spacing w:after="0" w:line="16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The table below summarizes the credit quality of our available-for-sale fixed-maturity securities as of June 30, 2015 and December 31, 2014 as rated by Standard &amp; Poor’s (or, if unavailable from Standard &amp; Poor’s, then Moody’s or Fitch):</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340" w:type="dxa"/>
            <w:vAlign w:val="bottom"/>
            <w:gridSpan w:val="3"/>
          </w:tcPr>
          <w:p>
            <w:pPr>
              <w:jc w:val="right"/>
              <w:ind w:right="1760"/>
              <w:spacing w:after="0"/>
              <w:rPr>
                <w:sz w:val="20"/>
                <w:szCs w:val="20"/>
                <w:color w:val="auto"/>
              </w:rPr>
            </w:pPr>
            <w:r>
              <w:rPr>
                <w:rFonts w:ascii="Arial" w:cs="Arial" w:eastAsia="Arial" w:hAnsi="Arial"/>
                <w:sz w:val="10"/>
                <w:szCs w:val="10"/>
                <w:b w:val="1"/>
                <w:bCs w:val="1"/>
                <w:color w:val="auto"/>
                <w:w w:val="86"/>
              </w:rPr>
              <w:t>June 30, 2015</w:t>
            </w: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December 31, 2014</w:t>
            </w: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tcPr>
          <w:p>
            <w:pPr>
              <w:jc w:val="center"/>
              <w:spacing w:after="0" w:line="83" w:lineRule="exact"/>
              <w:rPr>
                <w:sz w:val="20"/>
                <w:szCs w:val="20"/>
                <w:color w:val="auto"/>
              </w:rPr>
            </w:pPr>
            <w:r>
              <w:rPr>
                <w:rFonts w:ascii="Arial" w:cs="Arial" w:eastAsia="Arial" w:hAnsi="Arial"/>
                <w:sz w:val="8"/>
                <w:szCs w:val="8"/>
                <w:b w:val="1"/>
                <w:bCs w:val="1"/>
                <w:color w:val="auto"/>
              </w:rPr>
              <w:t>Percentage of</w:t>
            </w: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jc w:val="center"/>
              <w:spacing w:after="0" w:line="83" w:lineRule="exact"/>
              <w:rPr>
                <w:sz w:val="20"/>
                <w:szCs w:val="20"/>
                <w:color w:val="auto"/>
              </w:rPr>
            </w:pPr>
            <w:r>
              <w:rPr>
                <w:rFonts w:ascii="Arial" w:cs="Arial" w:eastAsia="Arial" w:hAnsi="Arial"/>
                <w:sz w:val="8"/>
                <w:szCs w:val="8"/>
                <w:b w:val="1"/>
                <w:bCs w:val="1"/>
                <w:color w:val="auto"/>
              </w:rPr>
              <w:t>Percentage of</w:t>
            </w: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gridSpan w:val="2"/>
          </w:tcPr>
          <w:p>
            <w:pPr>
              <w:jc w:val="right"/>
              <w:ind w:right="461"/>
              <w:spacing w:after="0"/>
              <w:rPr>
                <w:sz w:val="20"/>
                <w:szCs w:val="20"/>
                <w:color w:val="auto"/>
              </w:rPr>
            </w:pPr>
            <w:r>
              <w:rPr>
                <w:rFonts w:ascii="Arial" w:cs="Arial" w:eastAsia="Arial" w:hAnsi="Arial"/>
                <w:sz w:val="10"/>
                <w:szCs w:val="10"/>
                <w:b w:val="1"/>
                <w:bCs w:val="1"/>
                <w:color w:val="auto"/>
              </w:rPr>
              <w:t>Fair Market</w:t>
            </w:r>
          </w:p>
        </w:tc>
        <w:tc>
          <w:tcPr>
            <w:tcW w:w="900" w:type="dxa"/>
            <w:vAlign w:val="bottom"/>
          </w:tcPr>
          <w:p>
            <w:pPr>
              <w:spacing w:after="0"/>
              <w:rPr>
                <w:sz w:val="10"/>
                <w:szCs w:val="1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Fair Market</w:t>
            </w:r>
          </w:p>
        </w:tc>
        <w:tc>
          <w:tcPr>
            <w:tcW w:w="800" w:type="dxa"/>
            <w:vAlign w:val="bottom"/>
          </w:tcPr>
          <w:p>
            <w:pPr>
              <w:spacing w:after="0"/>
              <w:rPr>
                <w:sz w:val="10"/>
                <w:szCs w:val="10"/>
                <w:color w:val="auto"/>
              </w:rPr>
            </w:pPr>
          </w:p>
        </w:tc>
        <w:tc>
          <w:tcPr>
            <w:tcW w:w="2420" w:type="dxa"/>
            <w:vAlign w:val="bottom"/>
            <w:gridSpan w:val="3"/>
          </w:tcPr>
          <w:p>
            <w:pPr>
              <w:jc w:val="right"/>
              <w:ind w:right="1420"/>
              <w:spacing w:after="0"/>
              <w:rPr>
                <w:sz w:val="20"/>
                <w:szCs w:val="20"/>
                <w:color w:val="auto"/>
              </w:rPr>
            </w:pPr>
            <w:r>
              <w:rPr>
                <w:rFonts w:ascii="Arial" w:cs="Arial" w:eastAsia="Arial" w:hAnsi="Arial"/>
                <w:sz w:val="10"/>
                <w:szCs w:val="10"/>
                <w:b w:val="1"/>
                <w:bCs w:val="1"/>
                <w:color w:val="auto"/>
              </w:rPr>
              <w:t>Fair Market</w:t>
            </w:r>
          </w:p>
        </w:tc>
        <w:tc>
          <w:tcPr>
            <w:tcW w:w="14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Fair Market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Value</w:t>
            </w:r>
          </w:p>
        </w:tc>
        <w:tc>
          <w:tcPr>
            <w:tcW w:w="900" w:type="dxa"/>
            <w:vAlign w:val="bottom"/>
          </w:tcPr>
          <w:p>
            <w:pPr>
              <w:spacing w:after="0"/>
              <w:rPr>
                <w:sz w:val="11"/>
                <w:szCs w:val="1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Value</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Value</w:t>
            </w:r>
          </w:p>
        </w:tc>
        <w:tc>
          <w:tcPr>
            <w:tcW w:w="940" w:type="dxa"/>
            <w:vAlign w:val="bottom"/>
          </w:tcPr>
          <w:p>
            <w:pPr>
              <w:spacing w:after="0"/>
              <w:rPr>
                <w:sz w:val="11"/>
                <w:szCs w:val="1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Value</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620" w:type="dxa"/>
            <w:vAlign w:val="bottom"/>
            <w:gridSpan w:val="3"/>
          </w:tcPr>
          <w:p>
            <w:pPr>
              <w:spacing w:after="0"/>
              <w:rPr>
                <w:sz w:val="20"/>
                <w:szCs w:val="20"/>
                <w:color w:val="auto"/>
              </w:rPr>
            </w:pPr>
            <w:r>
              <w:rPr>
                <w:rFonts w:ascii="Arial" w:cs="Arial" w:eastAsia="Arial" w:hAnsi="Arial"/>
                <w:sz w:val="12"/>
                <w:szCs w:val="12"/>
                <w:b w:val="1"/>
                <w:bCs w:val="1"/>
                <w:color w:val="auto"/>
              </w:rPr>
              <w:t>Rating</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U.S. Treasury securities</w:t>
            </w:r>
          </w:p>
        </w:tc>
        <w:tc>
          <w:tcPr>
            <w:tcW w:w="56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0.0</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Corporate and municipal bonds</w:t>
            </w:r>
          </w:p>
        </w:tc>
        <w:tc>
          <w:tcPr>
            <w:tcW w:w="5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gridSpan w:val="2"/>
          </w:tcPr>
          <w:p>
            <w:pPr>
              <w:ind w:left="80"/>
              <w:spacing w:after="0"/>
              <w:rPr>
                <w:sz w:val="20"/>
                <w:szCs w:val="20"/>
                <w:color w:val="auto"/>
              </w:rPr>
            </w:pPr>
            <w:r>
              <w:rPr>
                <w:rFonts w:ascii="Arial" w:cs="Arial" w:eastAsia="Arial" w:hAnsi="Arial"/>
                <w:sz w:val="12"/>
                <w:szCs w:val="12"/>
                <w:color w:val="auto"/>
              </w:rPr>
              <w:t>AAA</w:t>
            </w:r>
          </w:p>
        </w:tc>
        <w:tc>
          <w:tcPr>
            <w:tcW w:w="5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2,482,267</w:t>
            </w:r>
          </w:p>
        </w:tc>
        <w:tc>
          <w:tcPr>
            <w:tcW w:w="2340" w:type="dxa"/>
            <w:vAlign w:val="bottom"/>
            <w:gridSpan w:val="3"/>
          </w:tcPr>
          <w:p>
            <w:pPr>
              <w:jc w:val="right"/>
              <w:ind w:right="200"/>
              <w:spacing w:after="0"/>
              <w:rPr>
                <w:sz w:val="20"/>
                <w:szCs w:val="20"/>
                <w:color w:val="auto"/>
              </w:rPr>
            </w:pPr>
            <w:r>
              <w:rPr>
                <w:rFonts w:ascii="Arial" w:cs="Arial" w:eastAsia="Arial" w:hAnsi="Arial"/>
                <w:sz w:val="12"/>
                <w:szCs w:val="12"/>
                <w:color w:val="auto"/>
              </w:rPr>
              <w:t>4.5</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2,779,539</w:t>
            </w:r>
          </w:p>
        </w:tc>
        <w:tc>
          <w:tcPr>
            <w:tcW w:w="9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5.5</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AA</w:t>
            </w:r>
          </w:p>
        </w:tc>
        <w:tc>
          <w:tcPr>
            <w:tcW w:w="5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9,917,957</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17.4</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9,826,545</w:t>
            </w:r>
          </w:p>
        </w:tc>
        <w:tc>
          <w:tcPr>
            <w:tcW w:w="9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19.2</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gridSpan w:val="2"/>
          </w:tcPr>
          <w:p>
            <w:pPr>
              <w:ind w:left="80"/>
              <w:spacing w:after="0"/>
              <w:rPr>
                <w:sz w:val="20"/>
                <w:szCs w:val="20"/>
                <w:color w:val="auto"/>
              </w:rPr>
            </w:pPr>
            <w:r>
              <w:rPr>
                <w:rFonts w:ascii="Arial" w:cs="Arial" w:eastAsia="Arial" w:hAnsi="Arial"/>
                <w:sz w:val="12"/>
                <w:szCs w:val="12"/>
                <w:color w:val="auto"/>
              </w:rPr>
              <w:t>A</w:t>
            </w:r>
          </w:p>
        </w:tc>
        <w:tc>
          <w:tcPr>
            <w:tcW w:w="5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13,884,150</w:t>
            </w:r>
          </w:p>
        </w:tc>
        <w:tc>
          <w:tcPr>
            <w:tcW w:w="2340" w:type="dxa"/>
            <w:vAlign w:val="bottom"/>
            <w:gridSpan w:val="3"/>
          </w:tcPr>
          <w:p>
            <w:pPr>
              <w:jc w:val="right"/>
              <w:ind w:right="200"/>
              <w:spacing w:after="0"/>
              <w:rPr>
                <w:sz w:val="20"/>
                <w:szCs w:val="20"/>
                <w:color w:val="auto"/>
              </w:rPr>
            </w:pPr>
            <w:r>
              <w:rPr>
                <w:rFonts w:ascii="Arial" w:cs="Arial" w:eastAsia="Arial" w:hAnsi="Arial"/>
                <w:sz w:val="12"/>
                <w:szCs w:val="12"/>
                <w:color w:val="auto"/>
              </w:rPr>
              <w:t>24.4</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860" w:type="dxa"/>
            <w:vAlign w:val="bottom"/>
            <w:gridSpan w:val="2"/>
          </w:tcPr>
          <w:p>
            <w:pPr>
              <w:jc w:val="right"/>
              <w:ind w:right="940"/>
              <w:spacing w:after="0"/>
              <w:rPr>
                <w:sz w:val="20"/>
                <w:szCs w:val="20"/>
                <w:color w:val="auto"/>
              </w:rPr>
            </w:pPr>
            <w:r>
              <w:rPr>
                <w:rFonts w:ascii="Arial" w:cs="Arial" w:eastAsia="Arial" w:hAnsi="Arial"/>
                <w:sz w:val="12"/>
                <w:szCs w:val="12"/>
                <w:color w:val="auto"/>
              </w:rPr>
              <w:t>13,954,036</w:t>
            </w: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27.3</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BBB</w:t>
            </w:r>
          </w:p>
        </w:tc>
        <w:tc>
          <w:tcPr>
            <w:tcW w:w="5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26,387,128</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46.4</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24,560,739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48.0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Borders>
              <w:top w:val="single" w:sz="8" w:color="CCEEFF"/>
            </w:tcBorders>
            <w:gridSpan w:val="2"/>
          </w:tcPr>
          <w:p>
            <w:pPr>
              <w:ind w:left="180"/>
              <w:spacing w:after="0" w:line="133" w:lineRule="exact"/>
              <w:rPr>
                <w:sz w:val="20"/>
                <w:szCs w:val="20"/>
                <w:color w:val="auto"/>
              </w:rPr>
            </w:pPr>
            <w:r>
              <w:rPr>
                <w:rFonts w:ascii="Arial" w:cs="Arial" w:eastAsia="Arial" w:hAnsi="Arial"/>
                <w:sz w:val="12"/>
                <w:szCs w:val="12"/>
                <w:color w:val="auto"/>
              </w:rPr>
              <w:t>Total corporate and municipal</w:t>
            </w:r>
          </w:p>
        </w:tc>
        <w:tc>
          <w:tcPr>
            <w:tcW w:w="5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3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0" w:type="dxa"/>
            <w:vAlign w:val="bottom"/>
            <w:gridSpan w:val="2"/>
          </w:tcPr>
          <w:p>
            <w:pPr>
              <w:ind w:left="180"/>
              <w:spacing w:after="0"/>
              <w:rPr>
                <w:sz w:val="20"/>
                <w:szCs w:val="20"/>
                <w:color w:val="auto"/>
              </w:rPr>
            </w:pPr>
            <w:r>
              <w:rPr>
                <w:rFonts w:ascii="Arial" w:cs="Arial" w:eastAsia="Arial" w:hAnsi="Arial"/>
                <w:sz w:val="12"/>
                <w:szCs w:val="12"/>
                <w:color w:val="auto"/>
              </w:rPr>
              <w:t>bonds</w:t>
            </w:r>
          </w:p>
        </w:tc>
        <w:tc>
          <w:tcPr>
            <w:tcW w:w="5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52,671,502</w:t>
            </w:r>
          </w:p>
        </w:tc>
        <w:tc>
          <w:tcPr>
            <w:tcW w:w="2340" w:type="dxa"/>
            <w:vAlign w:val="bottom"/>
            <w:gridSpan w:val="3"/>
          </w:tcPr>
          <w:p>
            <w:pPr>
              <w:jc w:val="right"/>
              <w:ind w:right="200"/>
              <w:spacing w:after="0"/>
              <w:rPr>
                <w:sz w:val="20"/>
                <w:szCs w:val="20"/>
                <w:color w:val="auto"/>
              </w:rPr>
            </w:pPr>
            <w:r>
              <w:rPr>
                <w:rFonts w:ascii="Arial" w:cs="Arial" w:eastAsia="Arial" w:hAnsi="Arial"/>
                <w:sz w:val="12"/>
                <w:szCs w:val="12"/>
                <w:color w:val="auto"/>
              </w:rPr>
              <w:t>92.7</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860" w:type="dxa"/>
            <w:vAlign w:val="bottom"/>
            <w:gridSpan w:val="2"/>
          </w:tcPr>
          <w:p>
            <w:pPr>
              <w:jc w:val="right"/>
              <w:ind w:right="940"/>
              <w:spacing w:after="0"/>
              <w:rPr>
                <w:sz w:val="20"/>
                <w:szCs w:val="20"/>
                <w:color w:val="auto"/>
              </w:rPr>
            </w:pPr>
            <w:r>
              <w:rPr>
                <w:rFonts w:ascii="Arial" w:cs="Arial" w:eastAsia="Arial" w:hAnsi="Arial"/>
                <w:sz w:val="12"/>
                <w:szCs w:val="12"/>
                <w:color w:val="auto"/>
              </w:rPr>
              <w:t>51,120,859</w:t>
            </w: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00" w:type="dxa"/>
            <w:vAlign w:val="bottom"/>
            <w:gridSpan w:val="2"/>
          </w:tcPr>
          <w:p>
            <w:pPr>
              <w:spacing w:after="0" w:line="136" w:lineRule="exact"/>
              <w:rPr>
                <w:sz w:val="20"/>
                <w:szCs w:val="20"/>
                <w:color w:val="auto"/>
              </w:rPr>
            </w:pPr>
            <w:r>
              <w:rPr>
                <w:rFonts w:ascii="Arial" w:cs="Arial" w:eastAsia="Arial" w:hAnsi="Arial"/>
                <w:sz w:val="12"/>
                <w:szCs w:val="12"/>
                <w:color w:val="auto"/>
              </w:rPr>
              <w:t>Residential mortgage backed</w:t>
            </w: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gridSpan w:val="3"/>
          </w:tcPr>
          <w:p>
            <w:pPr>
              <w:spacing w:after="0"/>
              <w:rPr>
                <w:sz w:val="20"/>
                <w:szCs w:val="20"/>
                <w:color w:val="auto"/>
              </w:rPr>
            </w:pPr>
            <w:r>
              <w:rPr>
                <w:rFonts w:ascii="Arial" w:cs="Arial" w:eastAsia="Arial" w:hAnsi="Arial"/>
                <w:sz w:val="12"/>
                <w:szCs w:val="12"/>
                <w:color w:val="auto"/>
              </w:rPr>
              <w:t>securities</w:t>
            </w: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CCC</w:t>
            </w:r>
          </w:p>
        </w:tc>
        <w:tc>
          <w:tcPr>
            <w:tcW w:w="5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698,211</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1.2</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0" w:type="dxa"/>
            <w:vAlign w:val="bottom"/>
            <w:gridSpan w:val="2"/>
          </w:tcPr>
          <w:p>
            <w:pPr>
              <w:ind w:left="80"/>
              <w:spacing w:after="0"/>
              <w:rPr>
                <w:sz w:val="20"/>
                <w:szCs w:val="20"/>
                <w:color w:val="auto"/>
              </w:rPr>
            </w:pPr>
            <w:r>
              <w:rPr>
                <w:rFonts w:ascii="Arial" w:cs="Arial" w:eastAsia="Arial" w:hAnsi="Arial"/>
                <w:sz w:val="12"/>
                <w:szCs w:val="12"/>
                <w:color w:val="auto"/>
              </w:rPr>
              <w:t>D</w:t>
            </w:r>
          </w:p>
        </w:tc>
        <w:tc>
          <w:tcPr>
            <w:tcW w:w="5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3,482,381</w:t>
            </w:r>
          </w:p>
        </w:tc>
        <w:tc>
          <w:tcPr>
            <w:tcW w:w="2340" w:type="dxa"/>
            <w:vAlign w:val="bottom"/>
            <w:gridSpan w:val="3"/>
          </w:tcPr>
          <w:p>
            <w:pPr>
              <w:jc w:val="right"/>
              <w:ind w:right="200"/>
              <w:spacing w:after="0"/>
              <w:rPr>
                <w:sz w:val="20"/>
                <w:szCs w:val="20"/>
                <w:color w:val="auto"/>
              </w:rPr>
            </w:pPr>
            <w:r>
              <w:rPr>
                <w:rFonts w:ascii="Arial" w:cs="Arial" w:eastAsia="Arial" w:hAnsi="Arial"/>
                <w:sz w:val="12"/>
                <w:szCs w:val="12"/>
                <w:color w:val="auto"/>
              </w:rPr>
              <w:t>6.1</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2"/>
                <w:szCs w:val="1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2"/>
                <w:szCs w:val="12"/>
                <w:color w:val="auto"/>
              </w:rPr>
              <w:t>0.0</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gridSpan w:val="2"/>
            <w:shd w:val="clear" w:color="auto" w:fill="CCEEFF"/>
          </w:tcPr>
          <w:p>
            <w:pPr>
              <w:ind w:left="180"/>
              <w:spacing w:after="0" w:line="133" w:lineRule="exact"/>
              <w:rPr>
                <w:sz w:val="20"/>
                <w:szCs w:val="20"/>
                <w:color w:val="auto"/>
              </w:rPr>
            </w:pPr>
            <w:r>
              <w:rPr>
                <w:rFonts w:ascii="Arial" w:cs="Arial" w:eastAsia="Arial" w:hAnsi="Arial"/>
                <w:sz w:val="12"/>
                <w:szCs w:val="12"/>
                <w:color w:val="auto"/>
              </w:rPr>
              <w:t>Total residential mortgage</w:t>
            </w:r>
          </w:p>
        </w:tc>
        <w:tc>
          <w:tcPr>
            <w:tcW w:w="5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right w:val="single" w:sz="8" w:color="CCEEFF"/>
            </w:tcBorders>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backed securities</w:t>
            </w:r>
          </w:p>
        </w:tc>
        <w:tc>
          <w:tcPr>
            <w:tcW w:w="56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4,180,592</w:t>
            </w:r>
          </w:p>
        </w:tc>
        <w:tc>
          <w:tcPr>
            <w:tcW w:w="23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7.3</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6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560" w:type="dxa"/>
            <w:vAlign w:val="bottom"/>
            <w:shd w:val="clear" w:color="auto" w:fill="CCEEFF"/>
          </w:tcPr>
          <w:p>
            <w:pPr>
              <w:jc w:val="right"/>
              <w:ind w:right="24"/>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56,852,094</w:t>
            </w:r>
          </w:p>
        </w:tc>
        <w:tc>
          <w:tcPr>
            <w:tcW w:w="9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100.0</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51,120,859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summarizes the average yield by type of fixed-maturity security as of June 30, 2015 and December 31, 2014: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20" w:type="dxa"/>
            <w:vAlign w:val="bottom"/>
            <w:gridSpan w:val="3"/>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June 30, 2015</w:t>
            </w:r>
          </w:p>
        </w:tc>
        <w:tc>
          <w:tcPr>
            <w:tcW w:w="124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rPr>
              <w:t>December 31, 2014</w:t>
            </w:r>
          </w:p>
        </w:tc>
      </w:tr>
      <w:tr>
        <w:trPr>
          <w:trHeight w:val="142"/>
        </w:trPr>
        <w:tc>
          <w:tcPr>
            <w:tcW w:w="83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2"/>
                <w:szCs w:val="12"/>
                <w:color w:val="auto"/>
              </w:rPr>
              <w:t>U.S. Treasury securities and</w:t>
            </w: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320" w:type="dxa"/>
            <w:vAlign w:val="bottom"/>
            <w:gridSpan w:val="3"/>
          </w:tcPr>
          <w:p>
            <w:pPr>
              <w:ind w:left="20"/>
              <w:spacing w:after="0"/>
              <w:rPr>
                <w:sz w:val="20"/>
                <w:szCs w:val="20"/>
                <w:color w:val="auto"/>
              </w:rPr>
            </w:pPr>
            <w:r>
              <w:rPr>
                <w:rFonts w:ascii="Arial" w:cs="Arial" w:eastAsia="Arial" w:hAnsi="Arial"/>
                <w:sz w:val="12"/>
                <w:szCs w:val="12"/>
                <w:color w:val="auto"/>
              </w:rPr>
              <w:t>obligations of U.S. government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corporations and agencies</w:t>
            </w:r>
          </w:p>
        </w:tc>
        <w:tc>
          <w:tcPr>
            <w:tcW w:w="1920" w:type="dxa"/>
            <w:vAlign w:val="bottom"/>
            <w:gridSpan w:val="6"/>
            <w:shd w:val="clear" w:color="auto" w:fill="CCEEFF"/>
          </w:tcPr>
          <w:p>
            <w:pPr>
              <w:jc w:val="right"/>
              <w:ind w:right="140"/>
              <w:spacing w:after="0"/>
              <w:rPr>
                <w:sz w:val="20"/>
                <w:szCs w:val="20"/>
                <w:color w:val="auto"/>
              </w:rPr>
            </w:pPr>
            <w:r>
              <w:rPr>
                <w:rFonts w:ascii="Arial" w:cs="Arial" w:eastAsia="Arial" w:hAnsi="Arial"/>
                <w:sz w:val="12"/>
                <w:szCs w:val="12"/>
                <w:color w:val="auto"/>
              </w:rPr>
              <w:t>3.53%</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3.29%</w:t>
            </w:r>
          </w:p>
        </w:tc>
      </w:tr>
      <w:tr>
        <w:trPr>
          <w:trHeight w:val="144"/>
        </w:trPr>
        <w:tc>
          <w:tcPr>
            <w:tcW w:w="6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Political subdivisions of States,</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320" w:type="dxa"/>
            <w:vAlign w:val="bottom"/>
            <w:gridSpan w:val="3"/>
          </w:tcPr>
          <w:p>
            <w:pPr>
              <w:ind w:left="20"/>
              <w:spacing w:after="0"/>
              <w:rPr>
                <w:sz w:val="20"/>
                <w:szCs w:val="20"/>
                <w:color w:val="auto"/>
              </w:rPr>
            </w:pPr>
            <w:r>
              <w:rPr>
                <w:rFonts w:ascii="Arial" w:cs="Arial" w:eastAsia="Arial" w:hAnsi="Arial"/>
                <w:sz w:val="12"/>
                <w:szCs w:val="12"/>
                <w:color w:val="auto"/>
              </w:rPr>
              <w:t>Territories and Possessions</w:t>
            </w:r>
          </w:p>
        </w:tc>
        <w:tc>
          <w:tcPr>
            <w:tcW w:w="1920" w:type="dxa"/>
            <w:vAlign w:val="bottom"/>
            <w:gridSpan w:val="6"/>
          </w:tcPr>
          <w:p>
            <w:pPr>
              <w:jc w:val="right"/>
              <w:ind w:right="140"/>
              <w:spacing w:after="0"/>
              <w:rPr>
                <w:sz w:val="20"/>
                <w:szCs w:val="20"/>
                <w:color w:val="auto"/>
              </w:rPr>
            </w:pPr>
            <w:r>
              <w:rPr>
                <w:rFonts w:ascii="Arial" w:cs="Arial" w:eastAsia="Arial" w:hAnsi="Arial"/>
                <w:sz w:val="12"/>
                <w:szCs w:val="12"/>
                <w:color w:val="auto"/>
              </w:rPr>
              <w:t>3.81%</w:t>
            </w:r>
          </w:p>
        </w:tc>
        <w:tc>
          <w:tcPr>
            <w:tcW w:w="1240" w:type="dxa"/>
            <w:vAlign w:val="bottom"/>
            <w:gridSpan w:val="3"/>
          </w:tcPr>
          <w:p>
            <w:pPr>
              <w:jc w:val="right"/>
              <w:ind w:right="20"/>
              <w:spacing w:after="0"/>
              <w:rPr>
                <w:sz w:val="20"/>
                <w:szCs w:val="20"/>
                <w:color w:val="auto"/>
              </w:rPr>
            </w:pPr>
            <w:r>
              <w:rPr>
                <w:rFonts w:ascii="Arial" w:cs="Arial" w:eastAsia="Arial" w:hAnsi="Arial"/>
                <w:sz w:val="12"/>
                <w:szCs w:val="12"/>
                <w:color w:val="auto"/>
              </w:rPr>
              <w:t>3.77%</w:t>
            </w:r>
          </w:p>
        </w:tc>
      </w:tr>
      <w:tr>
        <w:trPr>
          <w:trHeight w:val="144"/>
        </w:trPr>
        <w:tc>
          <w:tcPr>
            <w:tcW w:w="6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320" w:type="dxa"/>
            <w:vAlign w:val="bottom"/>
            <w:gridSpan w:val="3"/>
          </w:tcPr>
          <w:p>
            <w:pPr>
              <w:ind w:left="20"/>
              <w:spacing w:after="0"/>
              <w:rPr>
                <w:sz w:val="20"/>
                <w:szCs w:val="20"/>
                <w:color w:val="auto"/>
              </w:rPr>
            </w:pPr>
            <w:r>
              <w:rPr>
                <w:rFonts w:ascii="Arial" w:cs="Arial" w:eastAsia="Arial" w:hAnsi="Arial"/>
                <w:sz w:val="12"/>
                <w:szCs w:val="12"/>
                <w:color w:val="auto"/>
              </w:rPr>
              <w:t>Corporate and other bonds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Industrial and miscellaneous</w:t>
            </w:r>
          </w:p>
        </w:tc>
        <w:tc>
          <w:tcPr>
            <w:tcW w:w="1920" w:type="dxa"/>
            <w:vAlign w:val="bottom"/>
            <w:gridSpan w:val="6"/>
            <w:shd w:val="clear" w:color="auto" w:fill="CCEEFF"/>
          </w:tcPr>
          <w:p>
            <w:pPr>
              <w:jc w:val="right"/>
              <w:ind w:right="140"/>
              <w:spacing w:after="0"/>
              <w:rPr>
                <w:sz w:val="20"/>
                <w:szCs w:val="20"/>
                <w:color w:val="auto"/>
              </w:rPr>
            </w:pPr>
            <w:r>
              <w:rPr>
                <w:rFonts w:ascii="Arial" w:cs="Arial" w:eastAsia="Arial" w:hAnsi="Arial"/>
                <w:sz w:val="12"/>
                <w:szCs w:val="12"/>
                <w:color w:val="auto"/>
              </w:rPr>
              <w:t>4.23%</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4.20%</w:t>
            </w:r>
          </w:p>
        </w:tc>
      </w:tr>
      <w:tr>
        <w:trPr>
          <w:trHeight w:val="144"/>
        </w:trPr>
        <w:tc>
          <w:tcPr>
            <w:tcW w:w="6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Residential mortgage backed securities</w:t>
            </w:r>
          </w:p>
        </w:tc>
        <w:tc>
          <w:tcPr>
            <w:tcW w:w="1920" w:type="dxa"/>
            <w:vAlign w:val="bottom"/>
            <w:gridSpan w:val="6"/>
            <w:shd w:val="clear" w:color="auto" w:fill="CCEEFF"/>
          </w:tcPr>
          <w:p>
            <w:pPr>
              <w:jc w:val="right"/>
              <w:ind w:right="140"/>
              <w:spacing w:after="0"/>
              <w:rPr>
                <w:sz w:val="20"/>
                <w:szCs w:val="20"/>
                <w:color w:val="auto"/>
              </w:rPr>
            </w:pPr>
            <w:r>
              <w:rPr>
                <w:rFonts w:ascii="Arial" w:cs="Arial" w:eastAsia="Arial" w:hAnsi="Arial"/>
                <w:sz w:val="12"/>
                <w:szCs w:val="12"/>
                <w:color w:val="auto"/>
              </w:rPr>
              <w:t>6.40%</w:t>
            </w: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n/a</w:t>
            </w:r>
          </w:p>
        </w:tc>
      </w:tr>
      <w:tr>
        <w:trPr>
          <w:trHeight w:val="144"/>
        </w:trPr>
        <w:tc>
          <w:tcPr>
            <w:tcW w:w="6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1920" w:type="dxa"/>
            <w:vAlign w:val="bottom"/>
            <w:gridSpan w:val="6"/>
            <w:shd w:val="clear" w:color="auto" w:fill="CCEEFF"/>
          </w:tcPr>
          <w:p>
            <w:pPr>
              <w:jc w:val="right"/>
              <w:ind w:right="140"/>
              <w:spacing w:after="0"/>
              <w:rPr>
                <w:sz w:val="20"/>
                <w:szCs w:val="20"/>
                <w:color w:val="auto"/>
              </w:rPr>
            </w:pPr>
            <w:r>
              <w:rPr>
                <w:rFonts w:ascii="Arial" w:cs="Arial" w:eastAsia="Arial" w:hAnsi="Arial"/>
                <w:sz w:val="12"/>
                <w:szCs w:val="12"/>
                <w:color w:val="auto"/>
              </w:rPr>
              <w:t>4.26%</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4.06%</w:t>
            </w:r>
          </w:p>
        </w:tc>
      </w:tr>
      <w:tr>
        <w:trPr>
          <w:trHeight w:val="306"/>
        </w:trPr>
        <w:tc>
          <w:tcPr>
            <w:tcW w:w="8320" w:type="dxa"/>
            <w:vAlign w:val="bottom"/>
            <w:gridSpan w:val="3"/>
          </w:tcPr>
          <w:p>
            <w:pPr>
              <w:ind w:left="420"/>
              <w:spacing w:after="0"/>
              <w:rPr>
                <w:sz w:val="20"/>
                <w:szCs w:val="20"/>
                <w:color w:val="auto"/>
              </w:rPr>
            </w:pPr>
            <w:r>
              <w:rPr>
                <w:rFonts w:ascii="Arial" w:cs="Arial" w:eastAsia="Arial" w:hAnsi="Arial"/>
                <w:sz w:val="12"/>
                <w:szCs w:val="12"/>
                <w:color w:val="auto"/>
                <w:w w:val="93"/>
              </w:rPr>
              <w:t>The table below lists the weighted average maturity and effective duration in years on our fixed-maturity securities as of June 30, 2015 and December 31, 2014: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7"/>
        </w:trPr>
        <w:tc>
          <w:tcPr>
            <w:tcW w:w="6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December</w:t>
            </w:r>
          </w:p>
        </w:tc>
      </w:tr>
      <w:tr>
        <w:trPr>
          <w:trHeight w:val="114"/>
        </w:trPr>
        <w:tc>
          <w:tcPr>
            <w:tcW w:w="6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Borders>
              <w:bottom w:val="single" w:sz="8" w:color="auto"/>
            </w:tcBorders>
          </w:tcPr>
          <w:p>
            <w:pPr>
              <w:ind w:left="420"/>
              <w:spacing w:after="0" w:line="114" w:lineRule="exact"/>
              <w:rPr>
                <w:sz w:val="20"/>
                <w:szCs w:val="20"/>
                <w:color w:val="auto"/>
              </w:rPr>
            </w:pPr>
            <w:r>
              <w:rPr>
                <w:rFonts w:ascii="Arial" w:cs="Arial" w:eastAsia="Arial" w:hAnsi="Arial"/>
                <w:sz w:val="10"/>
                <w:szCs w:val="10"/>
                <w:b w:val="1"/>
                <w:bCs w:val="1"/>
                <w:color w:val="auto"/>
              </w:rPr>
              <w:t>June 30, 2015</w:t>
            </w: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264"/>
              <w:spacing w:after="0" w:line="114" w:lineRule="exact"/>
              <w:rPr>
                <w:sz w:val="20"/>
                <w:szCs w:val="20"/>
                <w:color w:val="auto"/>
              </w:rPr>
            </w:pPr>
            <w:r>
              <w:rPr>
                <w:rFonts w:ascii="Arial" w:cs="Arial" w:eastAsia="Arial" w:hAnsi="Arial"/>
                <w:sz w:val="10"/>
                <w:szCs w:val="10"/>
                <w:b w:val="1"/>
                <w:bCs w:val="1"/>
                <w:color w:val="auto"/>
              </w:rPr>
              <w:t>31, 2014</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42"/>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Weighted average effective maturity</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6.5</w:t>
            </w:r>
          </w:p>
        </w:tc>
        <w:tc>
          <w:tcPr>
            <w:tcW w:w="120" w:type="dxa"/>
            <w:vAlign w:val="bottom"/>
            <w:shd w:val="clear" w:color="auto" w:fill="CCEEFF"/>
          </w:tcPr>
          <w:p>
            <w:pPr>
              <w:spacing w:after="0"/>
              <w:rPr>
                <w:sz w:val="12"/>
                <w:szCs w:val="12"/>
                <w:color w:val="auto"/>
              </w:rPr>
            </w:pPr>
          </w:p>
        </w:tc>
      </w:tr>
      <w:tr>
        <w:trPr>
          <w:trHeight w:val="144"/>
        </w:trPr>
        <w:tc>
          <w:tcPr>
            <w:tcW w:w="6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Weighted average final maturity</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7.3</w:t>
            </w:r>
          </w:p>
        </w:tc>
        <w:tc>
          <w:tcPr>
            <w:tcW w:w="120" w:type="dxa"/>
            <w:vAlign w:val="bottom"/>
            <w:shd w:val="clear" w:color="auto" w:fill="CCEEFF"/>
          </w:tcPr>
          <w:p>
            <w:pPr>
              <w:spacing w:after="0"/>
              <w:rPr>
                <w:sz w:val="12"/>
                <w:szCs w:val="12"/>
                <w:color w:val="auto"/>
              </w:rPr>
            </w:pPr>
          </w:p>
        </w:tc>
      </w:tr>
      <w:tr>
        <w:trPr>
          <w:trHeight w:val="144"/>
        </w:trPr>
        <w:tc>
          <w:tcPr>
            <w:tcW w:w="6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Effective duration</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5.7</w:t>
            </w:r>
          </w:p>
        </w:tc>
        <w:tc>
          <w:tcPr>
            <w:tcW w:w="120" w:type="dxa"/>
            <w:vAlign w:val="bottom"/>
            <w:shd w:val="clear" w:color="auto" w:fill="CCEEFF"/>
          </w:tcPr>
          <w:p>
            <w:pPr>
              <w:spacing w:after="0"/>
              <w:rPr>
                <w:sz w:val="12"/>
                <w:szCs w:val="12"/>
                <w:color w:val="auto"/>
              </w:rPr>
            </w:pPr>
          </w:p>
        </w:tc>
      </w:tr>
      <w:tr>
        <w:trPr>
          <w:trHeight w:val="387"/>
        </w:trPr>
        <w:tc>
          <w:tcPr>
            <w:tcW w:w="6740" w:type="dxa"/>
            <w:vAlign w:val="bottom"/>
          </w:tcPr>
          <w:p>
            <w:pPr>
              <w:ind w:left="5680"/>
              <w:spacing w:after="0"/>
              <w:rPr>
                <w:sz w:val="20"/>
                <w:szCs w:val="20"/>
                <w:color w:val="auto"/>
              </w:rPr>
            </w:pPr>
            <w:r>
              <w:rPr>
                <w:rFonts w:ascii="Arial" w:cs="Arial" w:eastAsia="Arial" w:hAnsi="Arial"/>
                <w:sz w:val="12"/>
                <w:szCs w:val="12"/>
                <w:color w:val="auto"/>
              </w:rPr>
              <w:t>53</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
        </w:trPr>
        <w:tc>
          <w:tcPr>
            <w:tcW w:w="674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55" w:name="page56"/>
    <w:bookmarkEnd w:id="55"/>
    <w:p>
      <w:pPr>
        <w:ind w:left="420"/>
        <w:spacing w:after="0"/>
        <w:rPr>
          <w:sz w:val="20"/>
          <w:szCs w:val="20"/>
          <w:color w:val="auto"/>
        </w:rPr>
      </w:pPr>
      <w:r>
        <w:rPr>
          <w:rFonts w:ascii="Arial" w:cs="Arial" w:eastAsia="Arial" w:hAnsi="Arial"/>
          <w:sz w:val="12"/>
          <w:szCs w:val="12"/>
          <w:b w:val="1"/>
          <w:bCs w:val="1"/>
          <w:i w:val="1"/>
          <w:iCs w:val="1"/>
          <w:color w:val="auto"/>
        </w:rPr>
        <w:t>Fair Value Consideration</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As disclosed in Note 4 to the Condensed Consolidated Financial Statements, with respect to “Fair Value Measurements,” we define fair value under GAAP guidance as the price that would be received to sell an asset or paid to transfer a liability in a transaction involving identical or comparable assets or liabilities between market participants (an “exit price”). This GAAP guidance establishes a fair value hierarchy that distinguishes between inputs based on market data from independent sources (“observable inputs”) and a reporting entity’s internal assumptions based upon the best information available when external market data is limited or unavailable (“unobservable inputs”). The fair value hierarchy in GAAP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June 30, 2015 and December 31, 2014, 61% and 63%, respectively, of the investment portfolio recorded at fair value was priced based upon quoted market prices.</w:t>
      </w:r>
    </w:p>
    <w:p>
      <w:pPr>
        <w:spacing w:after="0" w:line="13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more fully described in Note 3 to our Condensed Consolidated Financial Statements, “Investments—Impairment Review,” we completed a detailed review of all our securities in a continuous loss position as of June 30, 2015 and December 31, 2014, and concluded that the unrealized losses in these asset classes are temporary in nature and the result of a decrease in value due to technical spread widening and broader market sentiment, rather than fundamental collateral deterioration.</w:t>
      </w:r>
    </w:p>
    <w:p>
      <w:pPr>
        <w:spacing w:after="0" w:line="141"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The table below summarizes the gross unrealized losses of our fixed-maturity securities available-for-sale and equity securities by length of time the security has continuously been in an unrealized loss position as of June 30, 2015 and December 31, 2014:</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June 30, 2015</w:t>
            </w: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r>
        <w:trPr>
          <w:trHeight w:val="97"/>
        </w:trPr>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jc w:val="center"/>
              <w:spacing w:after="0" w:line="97" w:lineRule="exact"/>
              <w:rPr>
                <w:sz w:val="20"/>
                <w:szCs w:val="20"/>
                <w:color w:val="auto"/>
              </w:rPr>
            </w:pPr>
            <w:r>
              <w:rPr>
                <w:rFonts w:ascii="Arial" w:cs="Arial" w:eastAsia="Arial" w:hAnsi="Arial"/>
                <w:sz w:val="10"/>
                <w:szCs w:val="10"/>
                <w:b w:val="1"/>
                <w:bCs w:val="1"/>
                <w:color w:val="auto"/>
                <w:w w:val="84"/>
              </w:rPr>
              <w:t>Less than 12 months</w:t>
            </w: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ind w:left="40"/>
              <w:spacing w:after="0" w:line="97" w:lineRule="exact"/>
              <w:rPr>
                <w:sz w:val="20"/>
                <w:szCs w:val="20"/>
                <w:color w:val="auto"/>
              </w:rPr>
            </w:pPr>
            <w:r>
              <w:rPr>
                <w:rFonts w:ascii="Arial" w:cs="Arial" w:eastAsia="Arial" w:hAnsi="Arial"/>
                <w:sz w:val="10"/>
                <w:szCs w:val="10"/>
                <w:b w:val="1"/>
                <w:bCs w:val="1"/>
                <w:color w:val="auto"/>
                <w:w w:val="93"/>
              </w:rPr>
              <w:t>12 months or more</w:t>
            </w: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r>
      <w:tr>
        <w:trPr>
          <w:trHeight w:val="83"/>
        </w:trPr>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No. of</w:t>
            </w:r>
          </w:p>
        </w:tc>
        <w:tc>
          <w:tcPr>
            <w:tcW w:w="9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24"/>
        </w:trPr>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60" w:type="dxa"/>
            <w:vAlign w:val="bottom"/>
            <w:gridSpan w:val="2"/>
          </w:tcPr>
          <w:p>
            <w:pPr>
              <w:jc w:val="center"/>
              <w:ind w:right="1480"/>
              <w:spacing w:after="0"/>
              <w:rPr>
                <w:sz w:val="20"/>
                <w:szCs w:val="20"/>
                <w:color w:val="auto"/>
              </w:rPr>
            </w:pPr>
            <w:r>
              <w:rPr>
                <w:rFonts w:ascii="Arial" w:cs="Arial" w:eastAsia="Arial" w:hAnsi="Arial"/>
                <w:sz w:val="10"/>
                <w:szCs w:val="10"/>
                <w:b w:val="1"/>
                <w:bCs w:val="1"/>
                <w:color w:val="auto"/>
                <w:w w:val="97"/>
              </w:rPr>
              <w:t>Fair</w:t>
            </w:r>
          </w:p>
        </w:tc>
        <w:tc>
          <w:tcPr>
            <w:tcW w:w="920" w:type="dxa"/>
            <w:vAlign w:val="bottom"/>
          </w:tcPr>
          <w:p>
            <w:pPr>
              <w:jc w:val="center"/>
              <w:ind w:left="384"/>
              <w:spacing w:after="0"/>
              <w:rPr>
                <w:sz w:val="20"/>
                <w:szCs w:val="20"/>
                <w:color w:val="auto"/>
              </w:rPr>
            </w:pPr>
            <w:r>
              <w:rPr>
                <w:rFonts w:ascii="Arial" w:cs="Arial" w:eastAsia="Arial" w:hAnsi="Arial"/>
                <w:sz w:val="10"/>
                <w:szCs w:val="10"/>
                <w:b w:val="1"/>
                <w:bCs w:val="1"/>
                <w:color w:val="auto"/>
                <w:w w:val="86"/>
              </w:rPr>
              <w:t>Unrealized</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79"/>
              </w:rPr>
              <w:t>Positions</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jc w:val="right"/>
              <w:ind w:right="562"/>
              <w:spacing w:after="0"/>
              <w:rPr>
                <w:sz w:val="20"/>
                <w:szCs w:val="20"/>
                <w:color w:val="auto"/>
              </w:rPr>
            </w:pPr>
            <w:r>
              <w:rPr>
                <w:rFonts w:ascii="Arial" w:cs="Arial" w:eastAsia="Arial" w:hAnsi="Arial"/>
                <w:sz w:val="10"/>
                <w:szCs w:val="10"/>
                <w:b w:val="1"/>
                <w:bCs w:val="1"/>
                <w:color w:val="auto"/>
              </w:rPr>
              <w:t>Fair</w:t>
            </w:r>
          </w:p>
        </w:tc>
        <w:tc>
          <w:tcPr>
            <w:tcW w:w="940" w:type="dxa"/>
            <w:vAlign w:val="bottom"/>
          </w:tcPr>
          <w:p>
            <w:pPr>
              <w:spacing w:after="0"/>
              <w:rPr>
                <w:sz w:val="10"/>
                <w:szCs w:val="10"/>
                <w:color w:val="auto"/>
              </w:rPr>
            </w:pPr>
          </w:p>
        </w:tc>
        <w:tc>
          <w:tcPr>
            <w:tcW w:w="900" w:type="dxa"/>
            <w:vAlign w:val="bottom"/>
          </w:tcPr>
          <w:p>
            <w:pPr>
              <w:ind w:left="420"/>
              <w:spacing w:after="0"/>
              <w:rPr>
                <w:sz w:val="20"/>
                <w:szCs w:val="20"/>
                <w:color w:val="auto"/>
              </w:rPr>
            </w:pPr>
            <w:r>
              <w:rPr>
                <w:rFonts w:ascii="Arial" w:cs="Arial" w:eastAsia="Arial" w:hAnsi="Arial"/>
                <w:sz w:val="10"/>
                <w:szCs w:val="10"/>
                <w:b w:val="1"/>
                <w:bCs w:val="1"/>
                <w:color w:val="auto"/>
                <w:w w:val="90"/>
              </w:rPr>
              <w:t>Unrealized</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4"/>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4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482"/>
              <w:spacing w:after="0"/>
              <w:rPr>
                <w:sz w:val="20"/>
                <w:szCs w:val="20"/>
                <w:color w:val="auto"/>
              </w:rPr>
            </w:pPr>
            <w:r>
              <w:rPr>
                <w:rFonts w:ascii="Arial" w:cs="Arial" w:eastAsia="Arial" w:hAnsi="Arial"/>
                <w:sz w:val="10"/>
                <w:szCs w:val="10"/>
                <w:b w:val="1"/>
                <w:bCs w:val="1"/>
                <w:color w:val="auto"/>
                <w:w w:val="82"/>
              </w:rPr>
              <w:t>Value</w:t>
            </w:r>
          </w:p>
        </w:tc>
        <w:tc>
          <w:tcPr>
            <w:tcW w:w="940" w:type="dxa"/>
            <w:vAlign w:val="bottom"/>
          </w:tcPr>
          <w:p>
            <w:pPr>
              <w:spacing w:after="0"/>
              <w:rPr>
                <w:sz w:val="11"/>
                <w:szCs w:val="11"/>
                <w:color w:val="auto"/>
              </w:rPr>
            </w:pPr>
          </w:p>
        </w:tc>
        <w:tc>
          <w:tcPr>
            <w:tcW w:w="920" w:type="dxa"/>
            <w:vAlign w:val="bottom"/>
            <w:tcBorders>
              <w:bottom w:val="single" w:sz="8" w:color="auto"/>
            </w:tcBorders>
          </w:tcPr>
          <w:p>
            <w:pPr>
              <w:jc w:val="center"/>
              <w:ind w:left="384"/>
              <w:spacing w:after="0"/>
              <w:rPr>
                <w:sz w:val="20"/>
                <w:szCs w:val="20"/>
                <w:color w:val="auto"/>
              </w:rPr>
            </w:pPr>
            <w:r>
              <w:rPr>
                <w:rFonts w:ascii="Arial" w:cs="Arial" w:eastAsia="Arial" w:hAnsi="Arial"/>
                <w:sz w:val="10"/>
                <w:szCs w:val="10"/>
                <w:b w:val="1"/>
                <w:bCs w:val="1"/>
                <w:color w:val="auto"/>
                <w:w w:val="81"/>
              </w:rPr>
              <w:t>Losses</w:t>
            </w: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Held</w:t>
            </w:r>
          </w:p>
        </w:tc>
        <w:tc>
          <w:tcPr>
            <w:tcW w:w="9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w w:val="97"/>
              </w:rPr>
              <w:t>Value</w:t>
            </w:r>
          </w:p>
        </w:tc>
        <w:tc>
          <w:tcPr>
            <w:tcW w:w="940" w:type="dxa"/>
            <w:vAlign w:val="bottom"/>
          </w:tcPr>
          <w:p>
            <w:pPr>
              <w:spacing w:after="0"/>
              <w:rPr>
                <w:sz w:val="11"/>
                <w:szCs w:val="11"/>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0"/>
                <w:szCs w:val="10"/>
                <w:b w:val="1"/>
                <w:bCs w:val="1"/>
                <w:color w:val="auto"/>
              </w:rPr>
              <w:t>Losses</w:t>
            </w: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273"/>
        </w:trPr>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Fixed-</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44"/>
        </w:trPr>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Maturity</w:t>
            </w: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7"/>
        </w:trPr>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11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2"/>
                <w:szCs w:val="12"/>
                <w:color w:val="auto"/>
              </w:rPr>
              <w:t>Political</w:t>
            </w: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subdivisions</w:t>
            </w: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of</w:t>
            </w: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35"/>
        </w:trPr>
        <w:tc>
          <w:tcPr>
            <w:tcW w:w="118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States,</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180" w:type="dxa"/>
            <w:vAlign w:val="bottom"/>
            <w:gridSpan w:val="2"/>
          </w:tcPr>
          <w:p>
            <w:pPr>
              <w:spacing w:after="0"/>
              <w:rPr>
                <w:sz w:val="20"/>
                <w:szCs w:val="20"/>
                <w:color w:val="auto"/>
              </w:rPr>
            </w:pPr>
            <w:r>
              <w:rPr>
                <w:rFonts w:ascii="Arial" w:cs="Arial" w:eastAsia="Arial" w:hAnsi="Arial"/>
                <w:sz w:val="12"/>
                <w:szCs w:val="12"/>
                <w:color w:val="auto"/>
              </w:rPr>
              <w:t>Territories and</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Possessions</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3,175,851</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(62,414</w:t>
            </w: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4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r>
        <w:trPr>
          <w:trHeight w:val="144"/>
        </w:trPr>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11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2"/>
                <w:szCs w:val="12"/>
                <w:color w:val="auto"/>
              </w:rPr>
              <w:t>Corporate</w:t>
            </w: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and other</w:t>
            </w: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35"/>
        </w:trPr>
        <w:tc>
          <w:tcPr>
            <w:tcW w:w="118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bonds</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180" w:type="dxa"/>
            <w:vAlign w:val="bottom"/>
            <w:gridSpan w:val="2"/>
          </w:tcPr>
          <w:p>
            <w:pPr>
              <w:spacing w:after="0"/>
              <w:rPr>
                <w:sz w:val="20"/>
                <w:szCs w:val="20"/>
                <w:color w:val="auto"/>
              </w:rPr>
            </w:pPr>
            <w:r>
              <w:rPr>
                <w:rFonts w:ascii="Arial" w:cs="Arial" w:eastAsia="Arial" w:hAnsi="Arial"/>
                <w:sz w:val="12"/>
                <w:szCs w:val="12"/>
                <w:color w:val="auto"/>
              </w:rPr>
              <w:t>industrial and</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miscellaneous</w:t>
            </w:r>
          </w:p>
        </w:tc>
        <w:tc>
          <w:tcPr>
            <w:tcW w:w="54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13,574,476</w:t>
            </w:r>
          </w:p>
        </w:tc>
        <w:tc>
          <w:tcPr>
            <w:tcW w:w="9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8"/>
              </w:rPr>
              <w:t>(191,871</w:t>
            </w: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479,415</w:t>
            </w:r>
          </w:p>
        </w:tc>
        <w:tc>
          <w:tcPr>
            <w:tcW w:w="9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3"/>
              </w:rPr>
              <w:t>(10,736</w:t>
            </w:r>
          </w:p>
        </w:tc>
      </w:tr>
      <w:tr>
        <w:trPr>
          <w:trHeight w:val="144"/>
        </w:trPr>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11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2"/>
                <w:szCs w:val="12"/>
                <w:color w:val="auto"/>
              </w:rPr>
              <w:t>Residential</w:t>
            </w: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mortgage</w:t>
            </w: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35"/>
        </w:trPr>
        <w:tc>
          <w:tcPr>
            <w:tcW w:w="118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backed</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180" w:type="dxa"/>
            <w:vAlign w:val="bottom"/>
            <w:gridSpan w:val="2"/>
          </w:tcPr>
          <w:p>
            <w:pPr>
              <w:spacing w:after="0"/>
              <w:rPr>
                <w:sz w:val="20"/>
                <w:szCs w:val="20"/>
                <w:color w:val="auto"/>
              </w:rPr>
            </w:pPr>
            <w:r>
              <w:rPr>
                <w:rFonts w:ascii="Arial" w:cs="Arial" w:eastAsia="Arial" w:hAnsi="Arial"/>
                <w:sz w:val="12"/>
                <w:szCs w:val="12"/>
                <w:color w:val="auto"/>
              </w:rPr>
              <w:t>securities</w:t>
            </w:r>
          </w:p>
        </w:tc>
        <w:tc>
          <w:tcPr>
            <w:tcW w:w="540" w:type="dxa"/>
            <w:vAlign w:val="bottom"/>
          </w:tcPr>
          <w:p>
            <w:pPr>
              <w:spacing w:after="0"/>
              <w:rPr>
                <w:sz w:val="13"/>
                <w:szCs w:val="13"/>
                <w:color w:val="auto"/>
              </w:rPr>
            </w:pPr>
          </w:p>
        </w:tc>
        <w:tc>
          <w:tcPr>
            <w:tcW w:w="1860" w:type="dxa"/>
            <w:vAlign w:val="bottom"/>
            <w:gridSpan w:val="2"/>
          </w:tcPr>
          <w:p>
            <w:pPr>
              <w:jc w:val="right"/>
              <w:ind w:right="940"/>
              <w:spacing w:after="0"/>
              <w:rPr>
                <w:sz w:val="20"/>
                <w:szCs w:val="20"/>
                <w:color w:val="auto"/>
              </w:rPr>
            </w:pPr>
            <w:r>
              <w:rPr>
                <w:rFonts w:ascii="Arial" w:cs="Arial" w:eastAsia="Arial" w:hAnsi="Arial"/>
                <w:sz w:val="12"/>
                <w:szCs w:val="12"/>
                <w:color w:val="auto"/>
              </w:rPr>
              <w:t>2,609,538</w:t>
            </w:r>
          </w:p>
        </w:tc>
        <w:tc>
          <w:tcPr>
            <w:tcW w:w="92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(42,038</w:t>
            </w:r>
          </w:p>
        </w:tc>
        <w:tc>
          <w:tcPr>
            <w:tcW w:w="3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11</w:t>
            </w: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r>
      <w:tr>
        <w:trPr>
          <w:trHeight w:val="142"/>
        </w:trPr>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5"/>
        </w:trPr>
        <w:tc>
          <w:tcPr>
            <w:tcW w:w="118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Total fixed-</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180" w:type="dxa"/>
            <w:vAlign w:val="bottom"/>
            <w:gridSpan w:val="2"/>
          </w:tcPr>
          <w:p>
            <w:pPr>
              <w:spacing w:after="0"/>
              <w:rPr>
                <w:sz w:val="20"/>
                <w:szCs w:val="20"/>
                <w:color w:val="auto"/>
              </w:rPr>
            </w:pPr>
            <w:r>
              <w:rPr>
                <w:rFonts w:ascii="Arial" w:cs="Arial" w:eastAsia="Arial" w:hAnsi="Arial"/>
                <w:sz w:val="12"/>
                <w:szCs w:val="12"/>
                <w:color w:val="auto"/>
              </w:rPr>
              <w:t>maturity</w:t>
            </w: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securities</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19,359,865</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8"/>
              </w:rPr>
              <w:t>(296,323</w:t>
            </w: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479,415</w:t>
            </w:r>
          </w:p>
        </w:tc>
        <w:tc>
          <w:tcPr>
            <w:tcW w:w="184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3"/>
              </w:rPr>
              <w:t>(10,736</w:t>
            </w:r>
          </w:p>
        </w:tc>
      </w:tr>
      <w:tr>
        <w:trPr>
          <w:trHeight w:val="142"/>
        </w:trPr>
        <w:tc>
          <w:tcPr>
            <w:tcW w:w="7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r>
      <w:tr>
        <w:trPr>
          <w:trHeight w:val="131"/>
        </w:trPr>
        <w:tc>
          <w:tcPr>
            <w:tcW w:w="118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2"/>
                <w:szCs w:val="12"/>
                <w:b w:val="1"/>
                <w:bCs w:val="1"/>
                <w:color w:val="auto"/>
              </w:rPr>
              <w:t>Equity</w:t>
            </w: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7"/>
        </w:trPr>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Securities:</w:t>
            </w: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35"/>
        </w:trPr>
        <w:tc>
          <w:tcPr>
            <w:tcW w:w="118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Preferred</w:t>
            </w: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3"/>
        </w:trPr>
        <w:tc>
          <w:tcPr>
            <w:tcW w:w="1180" w:type="dxa"/>
            <w:vAlign w:val="bottom"/>
            <w:gridSpan w:val="2"/>
          </w:tcPr>
          <w:p>
            <w:pPr>
              <w:spacing w:after="0"/>
              <w:rPr>
                <w:sz w:val="20"/>
                <w:szCs w:val="20"/>
                <w:color w:val="auto"/>
              </w:rPr>
            </w:pPr>
            <w:r>
              <w:rPr>
                <w:rFonts w:ascii="Arial" w:cs="Arial" w:eastAsia="Arial" w:hAnsi="Arial"/>
                <w:sz w:val="12"/>
                <w:szCs w:val="12"/>
                <w:color w:val="auto"/>
              </w:rPr>
              <w:t>stocks</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860" w:type="dxa"/>
            <w:vAlign w:val="bottom"/>
            <w:gridSpan w:val="2"/>
          </w:tcPr>
          <w:p>
            <w:pPr>
              <w:jc w:val="right"/>
              <w:ind w:right="940"/>
              <w:spacing w:after="0"/>
              <w:rPr>
                <w:sz w:val="20"/>
                <w:szCs w:val="20"/>
                <w:color w:val="auto"/>
              </w:rPr>
            </w:pPr>
            <w:r>
              <w:rPr>
                <w:rFonts w:ascii="Arial" w:cs="Arial" w:eastAsia="Arial" w:hAnsi="Arial"/>
                <w:sz w:val="12"/>
                <w:szCs w:val="12"/>
                <w:color w:val="auto"/>
              </w:rPr>
              <w:t>844,035</w:t>
            </w:r>
          </w:p>
        </w:tc>
        <w:tc>
          <w:tcPr>
            <w:tcW w:w="92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220"/>
              <w:spacing w:after="0"/>
              <w:rPr>
                <w:sz w:val="20"/>
                <w:szCs w:val="20"/>
                <w:color w:val="auto"/>
              </w:rPr>
            </w:pPr>
            <w:r>
              <w:rPr>
                <w:rFonts w:ascii="Arial" w:cs="Arial" w:eastAsia="Arial" w:hAnsi="Arial"/>
                <w:sz w:val="12"/>
                <w:szCs w:val="12"/>
                <w:color w:val="auto"/>
              </w:rPr>
              <w:t>(27,967</w:t>
            </w:r>
          </w:p>
        </w:tc>
        <w:tc>
          <w:tcPr>
            <w:tcW w:w="3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3</w:t>
            </w:r>
          </w:p>
        </w:tc>
        <w:tc>
          <w:tcPr>
            <w:tcW w:w="1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673,075</w:t>
            </w:r>
          </w:p>
        </w:tc>
        <w:tc>
          <w:tcPr>
            <w:tcW w:w="1840" w:type="dxa"/>
            <w:vAlign w:val="bottom"/>
            <w:gridSpan w:val="2"/>
          </w:tcPr>
          <w:p>
            <w:pPr>
              <w:ind w:left="1360"/>
              <w:spacing w:after="0"/>
              <w:rPr>
                <w:sz w:val="20"/>
                <w:szCs w:val="20"/>
                <w:color w:val="auto"/>
              </w:rPr>
            </w:pPr>
            <w:r>
              <w:rPr>
                <w:rFonts w:ascii="Arial" w:cs="Arial" w:eastAsia="Arial" w:hAnsi="Arial"/>
                <w:sz w:val="12"/>
                <w:szCs w:val="12"/>
                <w:color w:val="auto"/>
              </w:rPr>
              <w:t>$</w:t>
            </w:r>
          </w:p>
        </w:tc>
        <w:tc>
          <w:tcPr>
            <w:tcW w:w="440" w:type="dxa"/>
            <w:vAlign w:val="bottom"/>
            <w:gridSpan w:val="3"/>
          </w:tcPr>
          <w:p>
            <w:pPr>
              <w:jc w:val="right"/>
              <w:ind w:right="40"/>
              <w:spacing w:after="0"/>
              <w:rPr>
                <w:sz w:val="20"/>
                <w:szCs w:val="20"/>
                <w:color w:val="auto"/>
              </w:rPr>
            </w:pPr>
            <w:r>
              <w:rPr>
                <w:rFonts w:ascii="Arial" w:cs="Arial" w:eastAsia="Arial" w:hAnsi="Arial"/>
                <w:sz w:val="12"/>
                <w:szCs w:val="12"/>
                <w:color w:val="auto"/>
                <w:w w:val="93"/>
              </w:rPr>
              <w:t>(29,016</w:t>
            </w:r>
          </w:p>
        </w:tc>
      </w:tr>
      <w:tr>
        <w:trPr>
          <w:trHeight w:val="135"/>
        </w:trPr>
        <w:tc>
          <w:tcPr>
            <w:tcW w:w="11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2"/>
                <w:szCs w:val="12"/>
                <w:color w:val="auto"/>
              </w:rPr>
              <w:t>Common</w:t>
            </w: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stocks</w:t>
            </w:r>
          </w:p>
        </w:tc>
        <w:tc>
          <w:tcPr>
            <w:tcW w:w="54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2,159,808</w:t>
            </w:r>
          </w:p>
        </w:tc>
        <w:tc>
          <w:tcPr>
            <w:tcW w:w="9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8"/>
              </w:rPr>
              <w:t>(131,551</w:t>
            </w: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254,100</w:t>
            </w:r>
          </w:p>
        </w:tc>
        <w:tc>
          <w:tcPr>
            <w:tcW w:w="9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3"/>
              </w:rPr>
              <w:t>(15,077</w:t>
            </w:r>
          </w:p>
        </w:tc>
      </w:tr>
      <w:tr>
        <w:trPr>
          <w:trHeight w:val="142"/>
        </w:trPr>
        <w:tc>
          <w:tcPr>
            <w:tcW w:w="7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r>
      <w:tr>
        <w:trPr>
          <w:trHeight w:val="135"/>
        </w:trPr>
        <w:tc>
          <w:tcPr>
            <w:tcW w:w="11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2"/>
                <w:szCs w:val="12"/>
                <w:color w:val="auto"/>
              </w:rPr>
              <w:t>Total equity</w:t>
            </w: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securities</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3,003,843</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8"/>
              </w:rPr>
              <w:t>(159,518</w:t>
            </w: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927,175</w:t>
            </w:r>
          </w:p>
        </w:tc>
        <w:tc>
          <w:tcPr>
            <w:tcW w:w="184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3"/>
              </w:rPr>
              <w:t>(44,093</w:t>
            </w:r>
          </w:p>
        </w:tc>
      </w:tr>
      <w:tr>
        <w:trPr>
          <w:trHeight w:val="142"/>
        </w:trPr>
        <w:tc>
          <w:tcPr>
            <w:tcW w:w="7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r>
      <w:tr>
        <w:trPr>
          <w:trHeight w:val="184"/>
        </w:trPr>
        <w:tc>
          <w:tcPr>
            <w:tcW w:w="1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22,363,708</w:t>
            </w:r>
          </w:p>
        </w:tc>
        <w:tc>
          <w:tcPr>
            <w:tcW w:w="9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8"/>
              </w:rPr>
              <w:t>(455,841</w:t>
            </w: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1,406,590</w:t>
            </w:r>
          </w:p>
        </w:tc>
        <w:tc>
          <w:tcPr>
            <w:tcW w:w="184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3"/>
              </w:rPr>
              <w:t>(54,829</w:t>
            </w:r>
          </w:p>
        </w:tc>
      </w:tr>
      <w:tr>
        <w:trPr>
          <w:trHeight w:val="543"/>
        </w:trPr>
        <w:tc>
          <w:tcPr>
            <w:tcW w:w="7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jc w:val="right"/>
              <w:ind w:right="20"/>
              <w:spacing w:after="0"/>
              <w:rPr>
                <w:sz w:val="20"/>
                <w:szCs w:val="20"/>
                <w:color w:val="auto"/>
              </w:rPr>
            </w:pPr>
            <w:r>
              <w:rPr>
                <w:rFonts w:ascii="Arial" w:cs="Arial" w:eastAsia="Arial" w:hAnsi="Arial"/>
                <w:sz w:val="12"/>
                <w:szCs w:val="12"/>
                <w:color w:val="auto"/>
              </w:rPr>
              <w:t>55</w:t>
            </w:r>
          </w:p>
        </w:tc>
        <w:tc>
          <w:tcPr>
            <w:tcW w:w="1020" w:type="dxa"/>
            <w:vAlign w:val="bottom"/>
            <w:tcBorders>
              <w:top w:val="single" w:sz="8" w:color="auto"/>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r>
        <w:trPr>
          <w:trHeight w:val="76"/>
        </w:trPr>
        <w:tc>
          <w:tcPr>
            <w:tcW w:w="7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40"/>
          </w:cols>
          <w:pgMar w:left="220" w:top="430" w:right="1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15"/>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0"/>
                <w:szCs w:val="10"/>
                <w:b w:val="1"/>
                <w:bCs w:val="1"/>
                <w:color w:val="auto"/>
              </w:rPr>
              <w:t>December 31, 2014</w:t>
            </w: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3"/>
          </w:tcPr>
          <w:p>
            <w:pPr>
              <w:jc w:val="center"/>
              <w:ind w:right="240"/>
              <w:spacing w:after="0" w:line="97" w:lineRule="exact"/>
              <w:rPr>
                <w:sz w:val="20"/>
                <w:szCs w:val="20"/>
                <w:color w:val="auto"/>
              </w:rPr>
            </w:pPr>
            <w:r>
              <w:rPr>
                <w:rFonts w:ascii="Arial" w:cs="Arial" w:eastAsia="Arial" w:hAnsi="Arial"/>
                <w:sz w:val="10"/>
                <w:szCs w:val="10"/>
                <w:b w:val="1"/>
                <w:bCs w:val="1"/>
                <w:color w:val="auto"/>
                <w:w w:val="84"/>
              </w:rPr>
              <w:t>Less than 12 months</w:t>
            </w: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jc w:val="right"/>
              <w:ind w:right="300"/>
              <w:spacing w:after="0" w:line="97" w:lineRule="exact"/>
              <w:rPr>
                <w:sz w:val="20"/>
                <w:szCs w:val="20"/>
                <w:color w:val="auto"/>
              </w:rPr>
            </w:pPr>
            <w:r>
              <w:rPr>
                <w:rFonts w:ascii="Arial" w:cs="Arial" w:eastAsia="Arial" w:hAnsi="Arial"/>
                <w:sz w:val="10"/>
                <w:szCs w:val="10"/>
                <w:b w:val="1"/>
                <w:bCs w:val="1"/>
                <w:color w:val="auto"/>
                <w:w w:val="84"/>
              </w:rPr>
              <w:t>12 months or more</w:t>
            </w: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140"/>
              <w:spacing w:after="0" w:line="97" w:lineRule="exact"/>
              <w:rPr>
                <w:sz w:val="20"/>
                <w:szCs w:val="20"/>
                <w:color w:val="auto"/>
              </w:rPr>
            </w:pPr>
            <w:r>
              <w:rPr>
                <w:rFonts w:ascii="Arial" w:cs="Arial" w:eastAsia="Arial" w:hAnsi="Arial"/>
                <w:sz w:val="10"/>
                <w:szCs w:val="10"/>
                <w:b w:val="1"/>
                <w:bCs w:val="1"/>
                <w:color w:val="auto"/>
                <w:w w:val="83"/>
              </w:rPr>
              <w:t>Total</w:t>
            </w:r>
          </w:p>
        </w:tc>
        <w:tc>
          <w:tcPr>
            <w:tcW w:w="7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No. of</w:t>
            </w: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No. of</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center"/>
              <w:ind w:right="84"/>
              <w:spacing w:after="0" w:line="83" w:lineRule="exact"/>
              <w:rPr>
                <w:sz w:val="20"/>
                <w:szCs w:val="20"/>
                <w:color w:val="auto"/>
              </w:rPr>
            </w:pPr>
            <w:r>
              <w:rPr>
                <w:rFonts w:ascii="Arial" w:cs="Arial" w:eastAsia="Arial" w:hAnsi="Arial"/>
                <w:sz w:val="8"/>
                <w:szCs w:val="8"/>
                <w:b w:val="1"/>
                <w:bCs w:val="1"/>
                <w:color w:val="auto"/>
              </w:rPr>
              <w:t>Aggregate</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323"/>
              <w:spacing w:after="0"/>
              <w:rPr>
                <w:sz w:val="20"/>
                <w:szCs w:val="20"/>
                <w:color w:val="auto"/>
              </w:rPr>
            </w:pPr>
            <w:r>
              <w:rPr>
                <w:rFonts w:ascii="Arial" w:cs="Arial" w:eastAsia="Arial" w:hAnsi="Arial"/>
                <w:sz w:val="10"/>
                <w:szCs w:val="10"/>
                <w:b w:val="1"/>
                <w:bCs w:val="1"/>
                <w:color w:val="auto"/>
              </w:rPr>
              <w:t>Fair</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6"/>
              </w:rPr>
              <w:t>Unrealized</w:t>
            </w:r>
          </w:p>
        </w:tc>
        <w:tc>
          <w:tcPr>
            <w:tcW w:w="94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79"/>
              </w:rPr>
              <w:t>Positions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7"/>
              </w:rPr>
              <w:t>Fair</w:t>
            </w:r>
          </w:p>
        </w:tc>
        <w:tc>
          <w:tcPr>
            <w:tcW w:w="60" w:type="dxa"/>
            <w:vAlign w:val="bottom"/>
          </w:tcPr>
          <w:p>
            <w:pPr>
              <w:spacing w:after="0"/>
              <w:rPr>
                <w:sz w:val="10"/>
                <w:szCs w:val="1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Unrealized</w:t>
            </w:r>
          </w:p>
        </w:tc>
        <w:tc>
          <w:tcPr>
            <w:tcW w:w="10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79"/>
              </w:rPr>
              <w:t>Positions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84"/>
              <w:spacing w:after="0"/>
              <w:rPr>
                <w:sz w:val="20"/>
                <w:szCs w:val="20"/>
                <w:color w:val="auto"/>
              </w:rPr>
            </w:pPr>
            <w:r>
              <w:rPr>
                <w:rFonts w:ascii="Arial" w:cs="Arial" w:eastAsia="Arial" w:hAnsi="Arial"/>
                <w:sz w:val="10"/>
                <w:szCs w:val="10"/>
                <w:b w:val="1"/>
                <w:bCs w:val="1"/>
                <w:color w:val="auto"/>
                <w:w w:val="97"/>
              </w:rPr>
              <w:t>Fair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6"/>
              </w:rPr>
              <w:t>Unrealized</w:t>
            </w:r>
          </w:p>
        </w:tc>
        <w:tc>
          <w:tcPr>
            <w:tcW w:w="0" w:type="dxa"/>
            <w:vAlign w:val="bottom"/>
          </w:tcPr>
          <w:p>
            <w:pPr>
              <w:spacing w:after="0"/>
              <w:rPr>
                <w:sz w:val="1"/>
                <w:szCs w:val="1"/>
                <w:color w:val="auto"/>
              </w:rPr>
            </w:pPr>
          </w:p>
        </w:tc>
      </w:tr>
      <w:tr>
        <w:trPr>
          <w:trHeight w:val="134"/>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Value</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81"/>
              </w:rPr>
              <w:t>Losses</w:t>
            </w:r>
          </w:p>
        </w:tc>
        <w:tc>
          <w:tcPr>
            <w:tcW w:w="24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Held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44"/>
              <w:spacing w:after="0"/>
              <w:rPr>
                <w:sz w:val="20"/>
                <w:szCs w:val="20"/>
                <w:color w:val="auto"/>
              </w:rPr>
            </w:pPr>
            <w:r>
              <w:rPr>
                <w:rFonts w:ascii="Arial" w:cs="Arial" w:eastAsia="Arial" w:hAnsi="Arial"/>
                <w:sz w:val="10"/>
                <w:szCs w:val="10"/>
                <w:b w:val="1"/>
                <w:bCs w:val="1"/>
                <w:color w:val="auto"/>
                <w:w w:val="89"/>
              </w:rPr>
              <w:t>Value</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Losses</w:t>
            </w:r>
          </w:p>
        </w:tc>
        <w:tc>
          <w:tcPr>
            <w:tcW w:w="200" w:type="dxa"/>
            <w:vAlign w:val="bottom"/>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Held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4"/>
              <w:spacing w:after="0"/>
              <w:rPr>
                <w:sz w:val="20"/>
                <w:szCs w:val="20"/>
                <w:color w:val="auto"/>
              </w:rPr>
            </w:pPr>
            <w:r>
              <w:rPr>
                <w:rFonts w:ascii="Arial" w:cs="Arial" w:eastAsia="Arial" w:hAnsi="Arial"/>
                <w:sz w:val="10"/>
                <w:szCs w:val="10"/>
                <w:b w:val="1"/>
                <w:bCs w:val="1"/>
                <w:color w:val="auto"/>
                <w:w w:val="82"/>
              </w:rPr>
              <w:t>Value</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75"/>
              </w:rPr>
              <w:t>Losses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420" w:type="dxa"/>
            <w:vAlign w:val="bottom"/>
            <w:gridSpan w:val="2"/>
          </w:tcPr>
          <w:p>
            <w:pPr>
              <w:ind w:left="20"/>
              <w:spacing w:after="0"/>
              <w:rPr>
                <w:sz w:val="20"/>
                <w:szCs w:val="20"/>
                <w:color w:val="auto"/>
              </w:rPr>
            </w:pPr>
            <w:r>
              <w:rPr>
                <w:rFonts w:ascii="Arial" w:cs="Arial" w:eastAsia="Arial" w:hAnsi="Arial"/>
                <w:sz w:val="12"/>
                <w:szCs w:val="12"/>
                <w:b w:val="1"/>
                <w:bCs w:val="1"/>
                <w:color w:val="auto"/>
              </w:rPr>
              <w:t>Fixed-Maturity Securities: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Political subdivisions of</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States, Territories and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Possessions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3,013,648</w:t>
            </w: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(23,813)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126,658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(6,379)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3,140,306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(30,192)</w:t>
            </w: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Corporate and other</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bonds industrial and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miscellaneous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6,325,579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(118,092)</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714,640</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(30,228)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7,040,219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(148,320)</w:t>
            </w: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fixed-maturity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securities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9,339,227</w:t>
            </w:r>
          </w:p>
        </w:tc>
        <w:tc>
          <w:tcPr>
            <w:tcW w:w="38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(141,905)</w:t>
            </w:r>
          </w:p>
        </w:tc>
        <w:tc>
          <w:tcPr>
            <w:tcW w:w="920" w:type="dxa"/>
            <w:vAlign w:val="bottom"/>
          </w:tcPr>
          <w:p>
            <w:pPr>
              <w:jc w:val="right"/>
              <w:spacing w:after="0"/>
              <w:rPr>
                <w:sz w:val="20"/>
                <w:szCs w:val="20"/>
                <w:color w:val="auto"/>
              </w:rPr>
            </w:pPr>
            <w:r>
              <w:rPr>
                <w:rFonts w:ascii="Arial" w:cs="Arial" w:eastAsia="Arial" w:hAnsi="Arial"/>
                <w:sz w:val="12"/>
                <w:szCs w:val="12"/>
                <w:color w:val="auto"/>
              </w:rPr>
              <w:t>24</w:t>
            </w:r>
          </w:p>
        </w:tc>
        <w:tc>
          <w:tcPr>
            <w:tcW w:w="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841,298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(36,607)</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10,180,525</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(178,512)</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b w:val="1"/>
                <w:bCs w:val="1"/>
                <w:color w:val="auto"/>
              </w:rPr>
              <w:t>Equity Securities: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Preferred stocks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656,325</w:t>
            </w: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(2,647)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1,448,376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(62,886)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2,104,701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(65,533)</w:t>
            </w: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Common stocks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267,000</w:t>
            </w:r>
          </w:p>
        </w:tc>
        <w:tc>
          <w:tcPr>
            <w:tcW w:w="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(2,177)</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267,000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(2,177)</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Total equity securities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656,325</w:t>
            </w:r>
          </w:p>
        </w:tc>
        <w:tc>
          <w:tcPr>
            <w:tcW w:w="38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(2,647)</w:t>
            </w: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1,715,376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(65,063)</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7</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2,371,701</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(67,710)</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ind w:left="20"/>
              <w:spacing w:after="0"/>
              <w:rPr>
                <w:sz w:val="20"/>
                <w:szCs w:val="20"/>
                <w:color w:val="auto"/>
              </w:rPr>
            </w:pPr>
            <w:r>
              <w:rPr>
                <w:rFonts w:ascii="Arial" w:cs="Arial" w:eastAsia="Arial" w:hAnsi="Arial"/>
                <w:sz w:val="12"/>
                <w:szCs w:val="12"/>
                <w:color w:val="auto"/>
              </w:rPr>
              <w:t>Total</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9,995,552</w:t>
            </w:r>
          </w:p>
        </w:tc>
        <w:tc>
          <w:tcPr>
            <w:tcW w:w="38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(144,552)</w:t>
            </w:r>
          </w:p>
        </w:tc>
        <w:tc>
          <w:tcPr>
            <w:tcW w:w="920" w:type="dxa"/>
            <w:vAlign w:val="bottom"/>
          </w:tcPr>
          <w:p>
            <w:pPr>
              <w:jc w:val="right"/>
              <w:spacing w:after="0"/>
              <w:rPr>
                <w:sz w:val="20"/>
                <w:szCs w:val="20"/>
                <w:color w:val="auto"/>
              </w:rPr>
            </w:pPr>
            <w:r>
              <w:rPr>
                <w:rFonts w:ascii="Arial" w:cs="Arial" w:eastAsia="Arial" w:hAnsi="Arial"/>
                <w:sz w:val="12"/>
                <w:szCs w:val="12"/>
                <w:color w:val="auto"/>
              </w:rPr>
              <w:t>25</w:t>
            </w:r>
          </w:p>
        </w:tc>
        <w:tc>
          <w:tcPr>
            <w:tcW w:w="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2,556,674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(101,670)</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10</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12,552,226</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(246,222)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vMerge w:val="restart"/>
          </w:tcPr>
          <w:p>
            <w:pPr>
              <w:jc w:val="right"/>
              <w:ind w:right="40"/>
              <w:spacing w:after="0"/>
              <w:rPr>
                <w:sz w:val="20"/>
                <w:szCs w:val="20"/>
                <w:color w:val="auto"/>
              </w:rPr>
            </w:pPr>
            <w:r>
              <w:rPr>
                <w:rFonts w:ascii="Arial" w:cs="Arial" w:eastAsia="Arial" w:hAnsi="Arial"/>
                <w:sz w:val="12"/>
                <w:szCs w:val="12"/>
                <w:color w:val="auto"/>
                <w:w w:val="74"/>
              </w:rPr>
              <w:t>56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3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30" w:right="199" w:bottom="1440" w:gutter="0" w:footer="0" w:header="0"/>
        </w:sectPr>
      </w:pPr>
    </w:p>
    <w:bookmarkStart w:id="58" w:name="page59"/>
    <w:bookmarkEnd w:id="58"/>
    <w:p>
      <w:pPr>
        <w:jc w:val="both"/>
        <w:ind w:firstLine="432"/>
        <w:spacing w:after="0" w:line="259" w:lineRule="auto"/>
        <w:rPr>
          <w:sz w:val="20"/>
          <w:szCs w:val="20"/>
          <w:color w:val="auto"/>
        </w:rPr>
      </w:pPr>
      <w:r>
        <w:rPr>
          <w:rFonts w:ascii="Arial" w:cs="Arial" w:eastAsia="Arial" w:hAnsi="Arial"/>
          <w:sz w:val="12"/>
          <w:szCs w:val="12"/>
          <w:color w:val="auto"/>
        </w:rPr>
        <w:t>There were 70 securities at June 30, 2015 that accounted for the gross unrealized loss, none of which were deemed by us to be other than temporarily impaired. There were 35 securities at December 31, 2014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Cash Flows</w:t>
      </w:r>
    </w:p>
    <w:p>
      <w:pPr>
        <w:spacing w:after="0" w:line="168"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0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Through the quarter ended March 31, 2015, the primary sources of cash flow for our holding company operations were in connection with the fee income we received from premium finance. On March 27, 2015, we received $350,000 in connection with the early termination of the agreement that generated placement fees in our premium finance business (see Note 12 to the Condensed Consolidated Financial Statements). We also receive cash dividends from KICO, subject to statutory restrictions. For the six months ended June 30, 2015, KICO paid dividends of $800,000 to us.</w:t>
      </w:r>
    </w:p>
    <w:p>
      <w:pPr>
        <w:spacing w:after="0" w:line="30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We have an agreement with a bank for a $600,000 line of credit to be used for general corporate needs. The principal balance is payable on demand, and must be reduced to zero for a minimum of 30 consecutive days during each year of the term of the credit line. There were no borrowings on the credit line during the six months ended June 30, 2015, and the outstanding principal balance was $-0- as of June 30, 2015.</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the aforementioned is insufficient to cover our holding company cash requirements, we will seek to obtain additional financing.</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59" w:name="page60"/>
    <w:bookmarkEnd w:id="59"/>
    <w:p>
      <w:pPr>
        <w:ind w:left="420"/>
        <w:spacing w:after="0"/>
        <w:rPr>
          <w:sz w:val="20"/>
          <w:szCs w:val="20"/>
          <w:color w:val="auto"/>
        </w:rPr>
      </w:pPr>
      <w:r>
        <w:rPr>
          <w:rFonts w:ascii="Arial" w:cs="Arial" w:eastAsia="Arial" w:hAnsi="Arial"/>
          <w:sz w:val="12"/>
          <w:szCs w:val="12"/>
          <w:color w:val="auto"/>
        </w:rPr>
        <w:t>Cash flow and liquidity are categorized into three sources: (1) operating activities; (2) investing activities; and (3) financing activities, which are shown in the following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6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Six Months Ended June 30,</w:t>
            </w:r>
          </w:p>
        </w:tc>
        <w:tc>
          <w:tcPr>
            <w:tcW w:w="46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2015</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2014</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42"/>
        </w:trPr>
        <w:tc>
          <w:tcPr>
            <w:tcW w:w="6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4"/>
        </w:trPr>
        <w:tc>
          <w:tcPr>
            <w:tcW w:w="6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provided by (used in):</w:t>
            </w: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4"/>
        </w:trPr>
        <w:tc>
          <w:tcPr>
            <w:tcW w:w="6560" w:type="dxa"/>
            <w:vAlign w:val="bottom"/>
          </w:tcPr>
          <w:p>
            <w:pPr>
              <w:ind w:left="20"/>
              <w:spacing w:after="0"/>
              <w:rPr>
                <w:sz w:val="20"/>
                <w:szCs w:val="20"/>
                <w:color w:val="auto"/>
              </w:rPr>
            </w:pPr>
            <w:r>
              <w:rPr>
                <w:rFonts w:ascii="Arial" w:cs="Arial" w:eastAsia="Arial" w:hAnsi="Arial"/>
                <w:sz w:val="12"/>
                <w:szCs w:val="12"/>
                <w:color w:val="auto"/>
              </w:rPr>
              <w:t>Operating activities</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3,356,300</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4,394,295</w:t>
            </w:r>
          </w:p>
        </w:tc>
        <w:tc>
          <w:tcPr>
            <w:tcW w:w="260" w:type="dxa"/>
            <w:vAlign w:val="bottom"/>
          </w:tcPr>
          <w:p>
            <w:pPr>
              <w:spacing w:after="0"/>
              <w:rPr>
                <w:sz w:val="12"/>
                <w:szCs w:val="12"/>
                <w:color w:val="auto"/>
              </w:rPr>
            </w:pPr>
          </w:p>
        </w:tc>
      </w:tr>
      <w:tr>
        <w:trPr>
          <w:trHeight w:val="144"/>
        </w:trPr>
        <w:tc>
          <w:tcPr>
            <w:tcW w:w="6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Investing activities</w:t>
            </w: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(8,372,005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(16,891,128</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60" w:type="dxa"/>
            <w:vAlign w:val="bottom"/>
          </w:tcPr>
          <w:p>
            <w:pPr>
              <w:ind w:left="20"/>
              <w:spacing w:after="0"/>
              <w:rPr>
                <w:sz w:val="20"/>
                <w:szCs w:val="20"/>
                <w:color w:val="auto"/>
              </w:rPr>
            </w:pPr>
            <w:r>
              <w:rPr>
                <w:rFonts w:ascii="Arial" w:cs="Arial" w:eastAsia="Arial" w:hAnsi="Arial"/>
                <w:sz w:val="12"/>
                <w:szCs w:val="12"/>
                <w:color w:val="auto"/>
              </w:rPr>
              <w:t>Financing activities</w:t>
            </w:r>
          </w:p>
        </w:tc>
        <w:tc>
          <w:tcPr>
            <w:tcW w:w="4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(958,776</w:t>
            </w:r>
          </w:p>
        </w:tc>
        <w:tc>
          <w:tcPr>
            <w:tcW w:w="200" w:type="dxa"/>
            <w:vAlign w:val="bottom"/>
          </w:tcPr>
          <w:p>
            <w:pPr>
              <w:spacing w:after="0"/>
              <w:rPr>
                <w:sz w:val="12"/>
                <w:szCs w:val="12"/>
                <w:color w:val="auto"/>
              </w:rPr>
            </w:pPr>
          </w:p>
        </w:tc>
        <w:tc>
          <w:tcPr>
            <w:tcW w:w="7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(601,424</w:t>
            </w:r>
          </w:p>
        </w:tc>
        <w:tc>
          <w:tcPr>
            <w:tcW w:w="2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5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decrease in cash and cash equivalents</w:t>
            </w: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(5,974,481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(13,098,257</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60" w:type="dxa"/>
            <w:vAlign w:val="bottom"/>
          </w:tcPr>
          <w:p>
            <w:pPr>
              <w:ind w:left="20"/>
              <w:spacing w:after="0"/>
              <w:rPr>
                <w:sz w:val="20"/>
                <w:szCs w:val="20"/>
                <w:color w:val="auto"/>
              </w:rPr>
            </w:pPr>
            <w:r>
              <w:rPr>
                <w:rFonts w:ascii="Arial" w:cs="Arial" w:eastAsia="Arial" w:hAnsi="Arial"/>
                <w:sz w:val="12"/>
                <w:szCs w:val="12"/>
                <w:color w:val="auto"/>
              </w:rPr>
              <w:t>Cash and cash equivalents, beginning of period</w:t>
            </w:r>
          </w:p>
        </w:tc>
        <w:tc>
          <w:tcPr>
            <w:tcW w:w="4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9,906,878</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19,922,506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82"/>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 end of period</w:t>
            </w:r>
          </w:p>
        </w:tc>
        <w:tc>
          <w:tcPr>
            <w:tcW w:w="4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3,932,397</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6,824,249</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r>
    </w:tbl>
    <w:p>
      <w:pPr>
        <w:spacing w:after="0" w:line="15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Net cash provided by operating activities was $3,356,000 in 2015 as compared to $4,394,000 provided in 2014. The $1,038,000 decrease in cash flows provided by operating activities in 2015 was primarily a result of an increase cash arising from net fluctuations in assets and liabilities relating to operating activities of KICO as affected by the growth in its operations which are described above, partially offset by an increase in net income (adjusted for non-cash items) of $1,833,000.</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Net cash used in investing activities was $8,372,000 in 2015 compared to $16,891,000 used in 2014. The $8,519,000 decrease in cash used in investing activities is the result of a $13,679,000 decrease in acquisitions of invested assets, offset by a $5,086,000 increase in sales of invested assets.</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Net cash used in financing activities was $959,000 in 2015 compared to $601,000 used in 2014. The $358,000 increase in cash flows used in financing activities is a result of the $204,000 purchase of treasury stock in 2015, compared to $23,000 purchased in 2014 and a $150,000 increase in dividends paid due to additional shares outstanding in 2015 and an increase in the dividend rate.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Reinsurance</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Our quota share reinsurance treaty in effect for the six months ended June 30, 2015 for our personal lines business, which primarily consists of homeowners’ policies, was covered under the July 1, 2014/June 30, 2015 treaty year. We did not renew our expiring commercial lines quota share reinsurance treaty on July 1, 2014. Our quota share reinsurance treaties in effect for the six months ended June 30, 2014 for both our personal lines business and commercial lines business were covered under the July 1, 2013/June 30, 2014 treaty year. Our personal lines quota share treaty that covered the July 1, 2013/June 30, 2014 treaty year was a two year treaty that expired on June 30, 2015. Effective as of July 1, 2014, we had the option to increase the quota share percentage from 75% to a maximum of 85% or decrease the quota share percentage from 75% to a minimum of 55% by giving no less than 30 days advance notice. On May 12, 2014, we notified the personal lines reinsurers of our election to reduce the ceding percentage in the personal lines quota share treaty from 75% to 55% effective July 1, 2014. In addition to the change in the personal lines quota share treaty discussed above, we entered into new annual treaties with different terms effective July 1, 2015. Our treaties for the July 1, 2013/June 30, 2014, July 1, 2014/June 30, 2015 and July 1, 2015/June 30, 2016 treaty years provide for the following material terms: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60" w:name="page61"/>
    <w:bookmarkEnd w:id="60"/>
    <w:tbl>
      <w:tblPr>
        <w:tblLayout w:type="fixed"/>
        <w:tblInd w:w="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0"/>
                <w:szCs w:val="10"/>
                <w:b w:val="1"/>
                <w:bCs w:val="1"/>
                <w:color w:val="auto"/>
                <w:w w:val="88"/>
              </w:rPr>
              <w:t>Treaty Year</w:t>
            </w: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tcPr>
          <w:p>
            <w:pPr>
              <w:jc w:val="center"/>
              <w:ind w:right="420"/>
              <w:spacing w:after="0" w:line="83" w:lineRule="exact"/>
              <w:rPr>
                <w:sz w:val="20"/>
                <w:szCs w:val="20"/>
                <w:color w:val="auto"/>
              </w:rPr>
            </w:pPr>
            <w:r>
              <w:rPr>
                <w:rFonts w:ascii="Arial" w:cs="Arial" w:eastAsia="Arial" w:hAnsi="Arial"/>
                <w:sz w:val="8"/>
                <w:szCs w:val="8"/>
                <w:b w:val="1"/>
                <w:bCs w:val="1"/>
                <w:color w:val="auto"/>
              </w:rPr>
              <w:t>July 1, 2015</w:t>
            </w:r>
          </w:p>
        </w:tc>
        <w:tc>
          <w:tcPr>
            <w:tcW w:w="180" w:type="dxa"/>
            <w:vAlign w:val="bottom"/>
          </w:tcPr>
          <w:p>
            <w:pPr>
              <w:spacing w:after="0"/>
              <w:rPr>
                <w:sz w:val="7"/>
                <w:szCs w:val="7"/>
                <w:color w:val="auto"/>
              </w:rPr>
            </w:pPr>
          </w:p>
        </w:tc>
        <w:tc>
          <w:tcPr>
            <w:tcW w:w="1200" w:type="dxa"/>
            <w:vAlign w:val="bottom"/>
            <w:gridSpan w:val="2"/>
          </w:tcPr>
          <w:p>
            <w:pPr>
              <w:jc w:val="center"/>
              <w:ind w:right="420"/>
              <w:spacing w:after="0" w:line="83" w:lineRule="exact"/>
              <w:rPr>
                <w:sz w:val="20"/>
                <w:szCs w:val="20"/>
                <w:color w:val="auto"/>
              </w:rPr>
            </w:pPr>
            <w:r>
              <w:rPr>
                <w:rFonts w:ascii="Arial" w:cs="Arial" w:eastAsia="Arial" w:hAnsi="Arial"/>
                <w:sz w:val="8"/>
                <w:szCs w:val="8"/>
                <w:b w:val="1"/>
                <w:bCs w:val="1"/>
                <w:color w:val="auto"/>
              </w:rPr>
              <w:t>July 1, 2014</w:t>
            </w:r>
          </w:p>
        </w:tc>
        <w:tc>
          <w:tcPr>
            <w:tcW w:w="160" w:type="dxa"/>
            <w:vAlign w:val="bottom"/>
          </w:tcPr>
          <w:p>
            <w:pPr>
              <w:spacing w:after="0"/>
              <w:rPr>
                <w:sz w:val="7"/>
                <w:szCs w:val="7"/>
                <w:color w:val="auto"/>
              </w:rPr>
            </w:pPr>
          </w:p>
        </w:tc>
        <w:tc>
          <w:tcPr>
            <w:tcW w:w="960" w:type="dxa"/>
            <w:vAlign w:val="bottom"/>
          </w:tcPr>
          <w:p>
            <w:pPr>
              <w:jc w:val="center"/>
              <w:ind w:right="101"/>
              <w:spacing w:after="0" w:line="83" w:lineRule="exact"/>
              <w:rPr>
                <w:sz w:val="20"/>
                <w:szCs w:val="20"/>
                <w:color w:val="auto"/>
              </w:rPr>
            </w:pPr>
            <w:r>
              <w:rPr>
                <w:rFonts w:ascii="Arial" w:cs="Arial" w:eastAsia="Arial" w:hAnsi="Arial"/>
                <w:sz w:val="8"/>
                <w:szCs w:val="8"/>
                <w:b w:val="1"/>
                <w:bCs w:val="1"/>
                <w:color w:val="auto"/>
              </w:rPr>
              <w:t>July 1, 2013</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4"/>
              </w:rPr>
              <w:t>to</w:t>
            </w:r>
          </w:p>
        </w:tc>
        <w:tc>
          <w:tcPr>
            <w:tcW w:w="180" w:type="dxa"/>
            <w:vAlign w:val="bottom"/>
          </w:tcPr>
          <w:p>
            <w:pPr>
              <w:spacing w:after="0"/>
              <w:rPr>
                <w:sz w:val="10"/>
                <w:szCs w:val="1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4"/>
              </w:rPr>
              <w:t>to</w:t>
            </w:r>
          </w:p>
        </w:tc>
        <w:tc>
          <w:tcPr>
            <w:tcW w:w="16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4"/>
              </w:rPr>
              <w:t>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4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rPr>
              <w:t>Line of Busines</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w w:val="86"/>
              </w:rPr>
              <w:t>June 30, 2016</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86"/>
              </w:rPr>
              <w:t>June 30, 2015</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86"/>
              </w:rPr>
              <w:t>June 30, 2014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360" w:type="dxa"/>
            <w:vAlign w:val="bottom"/>
            <w:gridSpan w:val="5"/>
          </w:tcPr>
          <w:p>
            <w:pPr>
              <w:spacing w:after="0"/>
              <w:rPr>
                <w:sz w:val="20"/>
                <w:szCs w:val="20"/>
                <w:color w:val="auto"/>
              </w:rPr>
            </w:pPr>
            <w:r>
              <w:rPr>
                <w:rFonts w:ascii="Arial" w:cs="Arial" w:eastAsia="Arial" w:hAnsi="Arial"/>
                <w:sz w:val="12"/>
                <w:szCs w:val="12"/>
                <w:color w:val="auto"/>
              </w:rPr>
              <w:t>Personal Lines: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73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Homeowners, dwelling fire and canine legal liability</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120"/>
              <w:spacing w:after="0"/>
              <w:rPr>
                <w:sz w:val="20"/>
                <w:szCs w:val="20"/>
                <w:color w:val="auto"/>
              </w:rPr>
            </w:pPr>
            <w:r>
              <w:rPr>
                <w:rFonts w:ascii="Arial" w:cs="Arial" w:eastAsia="Arial" w:hAnsi="Arial"/>
                <w:sz w:val="12"/>
                <w:szCs w:val="12"/>
                <w:color w:val="auto"/>
              </w:rPr>
              <w:t>Quota share treaty: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Percent ceded</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55%</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220"/>
              <w:spacing w:after="0"/>
              <w:rPr>
                <w:sz w:val="20"/>
                <w:szCs w:val="20"/>
                <w:color w:val="auto"/>
              </w:rPr>
            </w:pPr>
            <w:r>
              <w:rPr>
                <w:rFonts w:ascii="Arial" w:cs="Arial" w:eastAsia="Arial" w:hAnsi="Arial"/>
                <w:sz w:val="12"/>
                <w:szCs w:val="12"/>
                <w:color w:val="auto"/>
              </w:rPr>
              <w:t>Risk retained</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450,000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360,000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300,000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Losses per occurrence subject to quota share reinsurance coverage</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750,000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120"/>
              <w:spacing w:after="0"/>
              <w:rPr>
                <w:sz w:val="20"/>
                <w:szCs w:val="20"/>
                <w:color w:val="auto"/>
              </w:rPr>
            </w:pPr>
            <w:r>
              <w:rPr>
                <w:rFonts w:ascii="Arial" w:cs="Arial" w:eastAsia="Arial" w:hAnsi="Arial"/>
                <w:sz w:val="12"/>
                <w:szCs w:val="12"/>
                <w:color w:val="auto"/>
              </w:rPr>
              <w:t>Excess of loss coverage above quota share coverage</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3,750,000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3,200,000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1,700,000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in excess of</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in excess of</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in excess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750,000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1,200,000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rPr>
              <w:t>Total reinsurance coverage per occurrence</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4,050,000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3,640,000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120"/>
              <w:spacing w:after="0"/>
              <w:rPr>
                <w:sz w:val="20"/>
                <w:szCs w:val="20"/>
                <w:color w:val="auto"/>
              </w:rPr>
            </w:pPr>
            <w:r>
              <w:rPr>
                <w:rFonts w:ascii="Arial" w:cs="Arial" w:eastAsia="Arial" w:hAnsi="Arial"/>
                <w:sz w:val="12"/>
                <w:szCs w:val="12"/>
                <w:color w:val="auto"/>
              </w:rPr>
              <w:t>Losses per occurrence subject to reinsurance coverage</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4,500,000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2,900,000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Expiration date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June 30, 2016</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June 30, 2015</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June 30, 2015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Personal Umbrella</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120"/>
              <w:spacing w:after="0"/>
              <w:rPr>
                <w:sz w:val="20"/>
                <w:szCs w:val="20"/>
                <w:color w:val="auto"/>
              </w:rPr>
            </w:pPr>
            <w:r>
              <w:rPr>
                <w:rFonts w:ascii="Arial" w:cs="Arial" w:eastAsia="Arial" w:hAnsi="Arial"/>
                <w:sz w:val="12"/>
                <w:szCs w:val="12"/>
                <w:color w:val="auto"/>
              </w:rPr>
              <w:t>Quota share treaty: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Percent ceded - first million dollars of coverage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220"/>
              <w:spacing w:after="0"/>
              <w:rPr>
                <w:sz w:val="20"/>
                <w:szCs w:val="20"/>
                <w:color w:val="auto"/>
              </w:rPr>
            </w:pPr>
            <w:r>
              <w:rPr>
                <w:rFonts w:ascii="Arial" w:cs="Arial" w:eastAsia="Arial" w:hAnsi="Arial"/>
                <w:sz w:val="12"/>
                <w:szCs w:val="12"/>
                <w:color w:val="auto"/>
              </w:rPr>
              <w:t>Percent ceded - excess of one million dollars of coverage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100%</w:t>
            </w:r>
          </w:p>
        </w:tc>
        <w:tc>
          <w:tcPr>
            <w:tcW w:w="1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Risk retained</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220"/>
              <w:spacing w:after="0"/>
              <w:rPr>
                <w:sz w:val="20"/>
                <w:szCs w:val="20"/>
                <w:color w:val="auto"/>
              </w:rPr>
            </w:pPr>
            <w:r>
              <w:rPr>
                <w:rFonts w:ascii="Arial" w:cs="Arial" w:eastAsia="Arial" w:hAnsi="Arial"/>
                <w:sz w:val="12"/>
                <w:szCs w:val="12"/>
                <w:color w:val="auto"/>
              </w:rPr>
              <w:t>Total reinsurance coverage per occurrence</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2,900,000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2,900,000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1,900,000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Losses per occurrence subject to quota share reinsurance coverage</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3,000,000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120"/>
              <w:spacing w:after="0"/>
              <w:rPr>
                <w:sz w:val="20"/>
                <w:szCs w:val="20"/>
                <w:color w:val="auto"/>
              </w:rPr>
            </w:pPr>
            <w:r>
              <w:rPr>
                <w:rFonts w:ascii="Arial" w:cs="Arial" w:eastAsia="Arial" w:hAnsi="Arial"/>
                <w:sz w:val="12"/>
                <w:szCs w:val="12"/>
                <w:color w:val="auto"/>
              </w:rPr>
              <w:t>Expiration date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June 30, 2016</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June 30, 2015</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June 30, 2014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360" w:type="dxa"/>
            <w:vAlign w:val="bottom"/>
            <w:gridSpan w:val="5"/>
          </w:tcPr>
          <w:p>
            <w:pPr>
              <w:spacing w:after="0" w:line="135" w:lineRule="exact"/>
              <w:rPr>
                <w:sz w:val="20"/>
                <w:szCs w:val="20"/>
                <w:color w:val="auto"/>
              </w:rPr>
            </w:pPr>
            <w:r>
              <w:rPr>
                <w:rFonts w:ascii="Arial" w:cs="Arial" w:eastAsia="Arial" w:hAnsi="Arial"/>
                <w:sz w:val="12"/>
                <w:szCs w:val="12"/>
                <w:color w:val="auto"/>
              </w:rPr>
              <w:t>Commercial Lines: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General liability commercial policies, except for commercial auto</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120"/>
              <w:spacing w:after="0"/>
              <w:rPr>
                <w:sz w:val="20"/>
                <w:szCs w:val="20"/>
                <w:color w:val="auto"/>
              </w:rPr>
            </w:pPr>
            <w:r>
              <w:rPr>
                <w:rFonts w:ascii="Arial" w:cs="Arial" w:eastAsia="Arial" w:hAnsi="Arial"/>
                <w:sz w:val="12"/>
                <w:szCs w:val="12"/>
                <w:color w:val="auto"/>
              </w:rPr>
              <w:t>Quota share treaty: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Percent ceded (terminated effective July 1, 2014)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None</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None</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220"/>
              <w:spacing w:after="0"/>
              <w:rPr>
                <w:sz w:val="20"/>
                <w:szCs w:val="20"/>
                <w:color w:val="auto"/>
              </w:rPr>
            </w:pPr>
            <w:r>
              <w:rPr>
                <w:rFonts w:ascii="Arial" w:cs="Arial" w:eastAsia="Arial" w:hAnsi="Arial"/>
                <w:sz w:val="12"/>
                <w:szCs w:val="12"/>
                <w:color w:val="auto"/>
              </w:rPr>
              <w:t>Risk retained</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425,000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400,000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300,000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ind w:left="220"/>
              <w:spacing w:after="0"/>
              <w:rPr>
                <w:sz w:val="20"/>
                <w:szCs w:val="20"/>
                <w:color w:val="auto"/>
              </w:rPr>
            </w:pPr>
            <w:r>
              <w:rPr>
                <w:rFonts w:ascii="Arial" w:cs="Arial" w:eastAsia="Arial" w:hAnsi="Arial"/>
                <w:sz w:val="12"/>
                <w:szCs w:val="12"/>
                <w:color w:val="auto"/>
              </w:rPr>
              <w:t>Losses per occurrence subject to quota share reinsurance coverage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None</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None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120"/>
              <w:spacing w:after="0"/>
              <w:rPr>
                <w:sz w:val="20"/>
                <w:szCs w:val="20"/>
                <w:color w:val="auto"/>
              </w:rPr>
            </w:pPr>
            <w:r>
              <w:rPr>
                <w:rFonts w:ascii="Arial" w:cs="Arial" w:eastAsia="Arial" w:hAnsi="Arial"/>
                <w:sz w:val="12"/>
                <w:szCs w:val="12"/>
                <w:color w:val="auto"/>
              </w:rPr>
              <w:t>Excess of loss coverage above quota share coverage</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4,075,000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3,600,000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2,500,000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in excess of</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in excess of</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in excess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425,000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400,000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400,000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rPr>
              <w:t>Total reinsurance coverage per occurrence</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4,075,000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3,600,000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120"/>
              <w:spacing w:after="0"/>
              <w:rPr>
                <w:sz w:val="20"/>
                <w:szCs w:val="20"/>
                <w:color w:val="auto"/>
              </w:rPr>
            </w:pPr>
            <w:r>
              <w:rPr>
                <w:rFonts w:ascii="Arial" w:cs="Arial" w:eastAsia="Arial" w:hAnsi="Arial"/>
                <w:sz w:val="12"/>
                <w:szCs w:val="12"/>
                <w:color w:val="auto"/>
              </w:rPr>
              <w:t>Losses per occurrence subject to reinsurance coverage</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4,500,000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2,900,000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gridSpan w:val="5"/>
          </w:tcPr>
          <w:p>
            <w:pPr>
              <w:spacing w:after="0" w:line="135" w:lineRule="exact"/>
              <w:rPr>
                <w:sz w:val="20"/>
                <w:szCs w:val="20"/>
                <w:color w:val="auto"/>
              </w:rPr>
            </w:pPr>
            <w:r>
              <w:rPr>
                <w:rFonts w:ascii="Arial" w:cs="Arial" w:eastAsia="Arial" w:hAnsi="Arial"/>
                <w:sz w:val="12"/>
                <w:szCs w:val="12"/>
                <w:color w:val="auto"/>
              </w:rPr>
              <w:t>Commercial Auto:</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Borders>
              <w:top w:val="single" w:sz="8" w:color="auto"/>
              <w:right w:val="single" w:sz="8" w:color="CCEEFF"/>
            </w:tcBorders>
            <w:gridSpan w:val="2"/>
            <w:shd w:val="clear" w:color="auto" w:fill="CCEEFF"/>
          </w:tcPr>
          <w:p>
            <w:pPr>
              <w:ind w:left="120"/>
              <w:spacing w:after="0"/>
              <w:rPr>
                <w:sz w:val="20"/>
                <w:szCs w:val="20"/>
                <w:color w:val="auto"/>
              </w:rPr>
            </w:pPr>
            <w:r>
              <w:rPr>
                <w:rFonts w:ascii="Arial" w:cs="Arial" w:eastAsia="Arial" w:hAnsi="Arial"/>
                <w:sz w:val="12"/>
                <w:szCs w:val="12"/>
                <w:color w:val="auto"/>
              </w:rPr>
              <w:t>Risk retained</w:t>
            </w:r>
          </w:p>
        </w:tc>
        <w:tc>
          <w:tcPr>
            <w:tcW w:w="6440" w:type="dxa"/>
            <w:vAlign w:val="bottom"/>
            <w:gridSpan w:val="2"/>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300,000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120"/>
              <w:spacing w:after="0"/>
              <w:rPr>
                <w:sz w:val="20"/>
                <w:szCs w:val="20"/>
                <w:color w:val="auto"/>
              </w:rPr>
            </w:pPr>
            <w:r>
              <w:rPr>
                <w:rFonts w:ascii="Arial" w:cs="Arial" w:eastAsia="Arial" w:hAnsi="Arial"/>
                <w:sz w:val="12"/>
                <w:szCs w:val="12"/>
                <w:color w:val="auto"/>
              </w:rPr>
              <w:t>Excess of loss coverage in excess of risk retained</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1,700,000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1,700,000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1,700,000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in excess of</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in excess of</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in excess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300,000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300,000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34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Catastrophe Reinsurance:</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120"/>
              <w:spacing w:after="0"/>
              <w:rPr>
                <w:sz w:val="20"/>
                <w:szCs w:val="20"/>
                <w:color w:val="auto"/>
              </w:rPr>
            </w:pPr>
            <w:r>
              <w:rPr>
                <w:rFonts w:ascii="Arial" w:cs="Arial" w:eastAsia="Arial" w:hAnsi="Arial"/>
                <w:sz w:val="12"/>
                <w:szCs w:val="12"/>
                <w:color w:val="auto"/>
              </w:rPr>
              <w:t>Initial loss subject to personal lines quota share treaty</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4,000,000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Risk retained per catastrophe occurrence (1)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2,400,000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1,800,000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tcPr>
          <w:p>
            <w:pPr>
              <w:ind w:left="120"/>
              <w:spacing w:after="0"/>
              <w:rPr>
                <w:sz w:val="20"/>
                <w:szCs w:val="20"/>
                <w:color w:val="auto"/>
              </w:rPr>
            </w:pPr>
            <w:r>
              <w:rPr>
                <w:rFonts w:ascii="Arial" w:cs="Arial" w:eastAsia="Arial" w:hAnsi="Arial"/>
                <w:sz w:val="12"/>
                <w:szCs w:val="12"/>
                <w:color w:val="auto"/>
              </w:rPr>
              <w:t>Catastrophe loss coverage in excess of quota share coverage (2) (3)</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176,000,000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137,000,000</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86,000,000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34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Severe winter weather aggregate (3)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400"/>
              <w:spacing w:after="0"/>
              <w:rPr>
                <w:sz w:val="20"/>
                <w:szCs w:val="20"/>
                <w:color w:val="auto"/>
              </w:rPr>
            </w:pPr>
            <w:r>
              <w:rPr>
                <w:rFonts w:ascii="Arial" w:cs="Arial" w:eastAsia="Arial" w:hAnsi="Arial"/>
                <w:sz w:val="12"/>
                <w:szCs w:val="12"/>
                <w:color w:val="auto"/>
                <w:w w:val="86"/>
              </w:rPr>
              <w:t>Yes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420"/>
              <w:spacing w:after="0"/>
              <w:rPr>
                <w:sz w:val="20"/>
                <w:szCs w:val="20"/>
                <w:color w:val="auto"/>
              </w:rPr>
            </w:pPr>
            <w:r>
              <w:rPr>
                <w:rFonts w:ascii="Arial" w:cs="Arial" w:eastAsia="Arial" w:hAnsi="Arial"/>
                <w:sz w:val="12"/>
                <w:szCs w:val="12"/>
                <w:color w:val="auto"/>
                <w:w w:val="86"/>
              </w:rPr>
              <w:t>Yes</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340" w:type="dxa"/>
            <w:vAlign w:val="bottom"/>
            <w:gridSpan w:val="4"/>
          </w:tcPr>
          <w:p>
            <w:pPr>
              <w:ind w:left="120"/>
              <w:spacing w:after="0"/>
              <w:rPr>
                <w:sz w:val="20"/>
                <w:szCs w:val="20"/>
                <w:color w:val="auto"/>
              </w:rPr>
            </w:pPr>
            <w:r>
              <w:rPr>
                <w:rFonts w:ascii="Arial" w:cs="Arial" w:eastAsia="Arial" w:hAnsi="Arial"/>
                <w:sz w:val="12"/>
                <w:szCs w:val="12"/>
                <w:color w:val="auto"/>
              </w:rPr>
              <w:t>Reinstatement premium protection (4)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Yes</w:t>
            </w: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No</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rPr>
              <w:t>No</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8" w:hanging="228"/>
        <w:spacing w:after="0"/>
        <w:tabs>
          <w:tab w:leader="none" w:pos="2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Plus losses in excess of catastrophe coverage.</w:t>
      </w:r>
    </w:p>
    <w:p>
      <w:pPr>
        <w:spacing w:after="0" w:line="14" w:lineRule="exact"/>
        <w:rPr>
          <w:rFonts w:ascii="Arial" w:cs="Arial" w:eastAsia="Arial" w:hAnsi="Arial"/>
          <w:sz w:val="12"/>
          <w:szCs w:val="12"/>
          <w:color w:val="auto"/>
        </w:rPr>
      </w:pPr>
    </w:p>
    <w:p>
      <w:pPr>
        <w:ind w:left="228" w:hanging="228"/>
        <w:spacing w:after="0"/>
        <w:tabs>
          <w:tab w:leader="none" w:pos="2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Effective July 1, 2014, our catastrophe treaty also covers losses caused by severe winter weather during any consecutive 28 day period.</w:t>
      </w:r>
    </w:p>
    <w:p>
      <w:pPr>
        <w:spacing w:after="0" w:line="6" w:lineRule="exact"/>
        <w:rPr>
          <w:rFonts w:ascii="Arial" w:cs="Arial" w:eastAsia="Arial" w:hAnsi="Arial"/>
          <w:sz w:val="12"/>
          <w:szCs w:val="12"/>
          <w:color w:val="auto"/>
        </w:rPr>
      </w:pPr>
    </w:p>
    <w:p>
      <w:pPr>
        <w:ind w:left="228" w:right="140" w:hanging="228"/>
        <w:spacing w:after="0" w:line="182" w:lineRule="auto"/>
        <w:tabs>
          <w:tab w:leader="none" w:pos="228" w:val="left"/>
        </w:tabs>
        <w:numPr>
          <w:ilvl w:val="0"/>
          <w:numId w:val="11"/>
        </w:numPr>
        <w:rPr>
          <w:rFonts w:ascii="Arial" w:cs="Arial" w:eastAsia="Arial" w:hAnsi="Arial"/>
          <w:sz w:val="22"/>
          <w:szCs w:val="22"/>
          <w:color w:val="auto"/>
          <w:vertAlign w:val="subscript"/>
        </w:rPr>
      </w:pPr>
      <w:r>
        <w:rPr>
          <w:rFonts w:ascii="Arial" w:cs="Arial" w:eastAsia="Arial" w:hAnsi="Arial"/>
          <w:sz w:val="11"/>
          <w:szCs w:val="11"/>
          <w:color w:val="auto"/>
        </w:rPr>
        <w:t>Catastrophe coverage is limited on an annual basis to two times the per occurrence amounts. Effective July 1, 2015, the duration of a catastrophe occurrence from windstorm, hail, tornado, hurricane and cyclone was extended to 120 consecutive hours from 96 consecutive hours.</w:t>
      </w:r>
    </w:p>
    <w:p>
      <w:pPr>
        <w:ind w:left="228" w:hanging="228"/>
        <w:spacing w:after="0"/>
        <w:tabs>
          <w:tab w:leader="none" w:pos="2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Effective July 1, 2015, reinstatement premium protection for $16,000,000 of catastrophe coverage in excess of $4,000,000.</w:t>
      </w:r>
    </w:p>
    <w:p>
      <w:pPr>
        <w:spacing w:after="0" w:line="2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430" w:right="199" w:bottom="1440" w:gutter="0" w:footer="0" w:header="0"/>
        </w:sectPr>
      </w:pPr>
    </w:p>
    <w:bookmarkStart w:id="61" w:name="page62"/>
    <w:bookmarkEnd w:id="61"/>
    <w:p>
      <w:pPr>
        <w:ind w:left="8"/>
        <w:spacing w:after="0"/>
        <w:rPr>
          <w:sz w:val="20"/>
          <w:szCs w:val="20"/>
          <w:color w:val="auto"/>
        </w:rPr>
      </w:pPr>
      <w:r>
        <w:rPr>
          <w:rFonts w:ascii="Arial" w:cs="Arial" w:eastAsia="Arial" w:hAnsi="Arial"/>
          <w:sz w:val="12"/>
          <w:szCs w:val="12"/>
          <w:color w:val="auto"/>
        </w:rPr>
        <w:t>The single maximum risks per occurrence to which we are subject under the treaties that expired on June 30, 2015 and 2014 are as follows:</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80" w:type="dxa"/>
            <w:vAlign w:val="bottom"/>
            <w:tcBorders>
              <w:bottom w:val="single" w:sz="8" w:color="auto"/>
            </w:tcBorders>
            <w:gridSpan w:val="3"/>
          </w:tcPr>
          <w:p>
            <w:pPr>
              <w:ind w:left="1200"/>
              <w:spacing w:after="0"/>
              <w:rPr>
                <w:sz w:val="20"/>
                <w:szCs w:val="20"/>
                <w:color w:val="auto"/>
              </w:rPr>
            </w:pPr>
            <w:r>
              <w:rPr>
                <w:rFonts w:ascii="Arial" w:cs="Arial" w:eastAsia="Arial" w:hAnsi="Arial"/>
                <w:sz w:val="10"/>
                <w:szCs w:val="10"/>
                <w:b w:val="1"/>
                <w:bCs w:val="1"/>
                <w:color w:val="auto"/>
                <w:w w:val="96"/>
              </w:rPr>
              <w:t>July 1, 2014 - June 30, 2015</w:t>
            </w:r>
          </w:p>
        </w:tc>
        <w:tc>
          <w:tcPr>
            <w:tcW w:w="10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3"/>
          </w:tcPr>
          <w:p>
            <w:pPr>
              <w:jc w:val="right"/>
              <w:ind w:right="1162"/>
              <w:spacing w:after="0"/>
              <w:rPr>
                <w:sz w:val="20"/>
                <w:szCs w:val="20"/>
                <w:color w:val="auto"/>
              </w:rPr>
            </w:pPr>
            <w:r>
              <w:rPr>
                <w:rFonts w:ascii="Arial" w:cs="Arial" w:eastAsia="Arial" w:hAnsi="Arial"/>
                <w:sz w:val="10"/>
                <w:szCs w:val="10"/>
                <w:b w:val="1"/>
                <w:bCs w:val="1"/>
                <w:color w:val="auto"/>
                <w:w w:val="92"/>
              </w:rPr>
              <w:t>July 1, 2013 - June 30, 2014</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Borders>
              <w:bottom w:val="single" w:sz="8" w:color="auto"/>
            </w:tcBorders>
          </w:tcPr>
          <w:p>
            <w:pPr>
              <w:ind w:left="1020"/>
              <w:spacing w:after="0"/>
              <w:rPr>
                <w:sz w:val="20"/>
                <w:szCs w:val="20"/>
                <w:color w:val="auto"/>
              </w:rPr>
            </w:pPr>
            <w:r>
              <w:rPr>
                <w:rFonts w:ascii="Arial" w:cs="Arial" w:eastAsia="Arial" w:hAnsi="Arial"/>
                <w:sz w:val="10"/>
                <w:szCs w:val="10"/>
                <w:b w:val="1"/>
                <w:bCs w:val="1"/>
                <w:color w:val="auto"/>
              </w:rPr>
              <w:t>Treaty</w:t>
            </w:r>
          </w:p>
        </w:tc>
        <w:tc>
          <w:tcPr>
            <w:tcW w:w="480" w:type="dxa"/>
            <w:vAlign w:val="bottom"/>
          </w:tcPr>
          <w:p>
            <w:pPr>
              <w:spacing w:after="0"/>
              <w:rPr>
                <w:sz w:val="12"/>
                <w:szCs w:val="12"/>
                <w:color w:val="auto"/>
              </w:rPr>
            </w:pPr>
          </w:p>
        </w:tc>
        <w:tc>
          <w:tcPr>
            <w:tcW w:w="138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Extent of Loss</w:t>
            </w:r>
          </w:p>
        </w:tc>
        <w:tc>
          <w:tcPr>
            <w:tcW w:w="9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Risk Retained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Extent of Loss</w:t>
            </w:r>
          </w:p>
        </w:tc>
        <w:tc>
          <w:tcPr>
            <w:tcW w:w="28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0"/>
                <w:szCs w:val="10"/>
                <w:b w:val="1"/>
                <w:bCs w:val="1"/>
                <w:color w:val="auto"/>
              </w:rPr>
              <w:t>Risk Retained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Personal Lines</w:t>
            </w:r>
          </w:p>
        </w:tc>
        <w:tc>
          <w:tcPr>
            <w:tcW w:w="2960" w:type="dxa"/>
            <w:vAlign w:val="bottom"/>
            <w:gridSpan w:val="4"/>
            <w:shd w:val="clear" w:color="auto" w:fill="CCEEFF"/>
          </w:tcPr>
          <w:p>
            <w:pPr>
              <w:ind w:left="480"/>
              <w:spacing w:after="0"/>
              <w:rPr>
                <w:sz w:val="20"/>
                <w:szCs w:val="20"/>
                <w:color w:val="auto"/>
              </w:rPr>
            </w:pPr>
            <w:r>
              <w:rPr>
                <w:rFonts w:ascii="Arial" w:cs="Arial" w:eastAsia="Arial" w:hAnsi="Arial"/>
                <w:sz w:val="12"/>
                <w:szCs w:val="12"/>
                <w:color w:val="auto"/>
              </w:rPr>
              <w:t>Initial $800,000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$360,000</w:t>
            </w:r>
          </w:p>
        </w:tc>
        <w:tc>
          <w:tcPr>
            <w:tcW w:w="8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Initial $1,200,000</w:t>
            </w:r>
          </w:p>
        </w:tc>
        <w:tc>
          <w:tcPr>
            <w:tcW w:w="266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$300,000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8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$800,000 -</w:t>
            </w: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2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w w:val="97"/>
              </w:rPr>
              <w:t>$1,200,000 -</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2"/>
                <w:szCs w:val="12"/>
                <w:color w:val="auto"/>
              </w:rPr>
              <w:t>$4,000,000</w:t>
            </w: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None(1)</w:t>
            </w:r>
          </w:p>
        </w:tc>
        <w:tc>
          <w:tcPr>
            <w:tcW w:w="8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$2,900,000</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None(1)</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Over $4,000,000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Over $2,900,000</w:t>
            </w:r>
          </w:p>
        </w:tc>
        <w:tc>
          <w:tcPr>
            <w:tcW w:w="266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Personal Umbrella</w:t>
            </w:r>
          </w:p>
        </w:tc>
        <w:tc>
          <w:tcPr>
            <w:tcW w:w="2960" w:type="dxa"/>
            <w:vAlign w:val="bottom"/>
            <w:gridSpan w:val="4"/>
            <w:shd w:val="clear" w:color="auto" w:fill="CCEEFF"/>
          </w:tcPr>
          <w:p>
            <w:pPr>
              <w:ind w:left="480"/>
              <w:spacing w:after="0"/>
              <w:rPr>
                <w:sz w:val="20"/>
                <w:szCs w:val="20"/>
                <w:color w:val="auto"/>
              </w:rPr>
            </w:pPr>
            <w:r>
              <w:rPr>
                <w:rFonts w:ascii="Arial" w:cs="Arial" w:eastAsia="Arial" w:hAnsi="Arial"/>
                <w:sz w:val="12"/>
                <w:szCs w:val="12"/>
                <w:color w:val="auto"/>
              </w:rPr>
              <w:t>Initial $1,000,000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$100,000</w:t>
            </w:r>
          </w:p>
        </w:tc>
        <w:tc>
          <w:tcPr>
            <w:tcW w:w="8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Initial $1,000,000</w:t>
            </w:r>
          </w:p>
        </w:tc>
        <w:tc>
          <w:tcPr>
            <w:tcW w:w="266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$100,000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8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$1,000,000 -</w:t>
            </w: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2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w w:val="97"/>
              </w:rPr>
              <w:t>$1,000,000 -</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2"/>
                <w:szCs w:val="12"/>
                <w:color w:val="auto"/>
              </w:rPr>
              <w:t>$3,000,000</w:t>
            </w: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None(1)</w:t>
            </w:r>
          </w:p>
        </w:tc>
        <w:tc>
          <w:tcPr>
            <w:tcW w:w="8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$2,000,000</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None(1)</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Over $3,000,000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Over $2,000,000</w:t>
            </w:r>
          </w:p>
        </w:tc>
        <w:tc>
          <w:tcPr>
            <w:tcW w:w="266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Commercial Lines</w:t>
            </w:r>
          </w:p>
        </w:tc>
        <w:tc>
          <w:tcPr>
            <w:tcW w:w="2960" w:type="dxa"/>
            <w:vAlign w:val="bottom"/>
            <w:gridSpan w:val="4"/>
            <w:shd w:val="clear" w:color="auto" w:fill="CCEEFF"/>
          </w:tcPr>
          <w:p>
            <w:pPr>
              <w:ind w:left="480"/>
              <w:spacing w:after="0"/>
              <w:rPr>
                <w:sz w:val="20"/>
                <w:szCs w:val="20"/>
                <w:color w:val="auto"/>
              </w:rPr>
            </w:pPr>
            <w:r>
              <w:rPr>
                <w:rFonts w:ascii="Arial" w:cs="Arial" w:eastAsia="Arial" w:hAnsi="Arial"/>
                <w:sz w:val="12"/>
                <w:szCs w:val="12"/>
                <w:color w:val="auto"/>
              </w:rPr>
              <w:t>Initial $400,000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$400,000</w:t>
            </w:r>
          </w:p>
        </w:tc>
        <w:tc>
          <w:tcPr>
            <w:tcW w:w="8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Initial $400,000</w:t>
            </w:r>
          </w:p>
        </w:tc>
        <w:tc>
          <w:tcPr>
            <w:tcW w:w="266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$300,000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8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$400,000 -</w:t>
            </w: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2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$400,000 -</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2"/>
                <w:szCs w:val="12"/>
                <w:color w:val="auto"/>
              </w:rPr>
              <w:t>$4,000,000</w:t>
            </w: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None(1)</w:t>
            </w:r>
          </w:p>
        </w:tc>
        <w:tc>
          <w:tcPr>
            <w:tcW w:w="8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$2,900,000</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None(1)</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Over $4,000,000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Over $2,900,000</w:t>
            </w:r>
          </w:p>
        </w:tc>
        <w:tc>
          <w:tcPr>
            <w:tcW w:w="266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Commercial Auto</w:t>
            </w:r>
          </w:p>
        </w:tc>
        <w:tc>
          <w:tcPr>
            <w:tcW w:w="2960" w:type="dxa"/>
            <w:vAlign w:val="bottom"/>
            <w:gridSpan w:val="4"/>
            <w:shd w:val="clear" w:color="auto" w:fill="CCEEFF"/>
          </w:tcPr>
          <w:p>
            <w:pPr>
              <w:ind w:left="480"/>
              <w:spacing w:after="0"/>
              <w:rPr>
                <w:sz w:val="20"/>
                <w:szCs w:val="20"/>
                <w:color w:val="auto"/>
              </w:rPr>
            </w:pPr>
            <w:r>
              <w:rPr>
                <w:rFonts w:ascii="Arial" w:cs="Arial" w:eastAsia="Arial" w:hAnsi="Arial"/>
                <w:sz w:val="12"/>
                <w:szCs w:val="12"/>
                <w:color w:val="auto"/>
              </w:rPr>
              <w:t>Initial $300,000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$300,000</w:t>
            </w:r>
          </w:p>
        </w:tc>
        <w:tc>
          <w:tcPr>
            <w:tcW w:w="8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Initial $300,000</w:t>
            </w:r>
          </w:p>
        </w:tc>
        <w:tc>
          <w:tcPr>
            <w:tcW w:w="266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$300,000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8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$300,000 -</w:t>
            </w: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2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$300,000 -</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2"/>
                <w:szCs w:val="12"/>
                <w:color w:val="auto"/>
              </w:rPr>
              <w:t>$2,000,000</w:t>
            </w: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None(1)</w:t>
            </w:r>
          </w:p>
        </w:tc>
        <w:tc>
          <w:tcPr>
            <w:tcW w:w="8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$2,000,000</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None(1)</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Over $2,000,000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Over $2,000,000</w:t>
            </w:r>
          </w:p>
        </w:tc>
        <w:tc>
          <w:tcPr>
            <w:tcW w:w="266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Catastrophe (2)</w:t>
            </w:r>
          </w:p>
        </w:tc>
        <w:tc>
          <w:tcPr>
            <w:tcW w:w="2960" w:type="dxa"/>
            <w:vAlign w:val="bottom"/>
            <w:gridSpan w:val="4"/>
            <w:shd w:val="clear" w:color="auto" w:fill="CCEEFF"/>
          </w:tcPr>
          <w:p>
            <w:pPr>
              <w:ind w:left="480"/>
              <w:spacing w:after="0"/>
              <w:rPr>
                <w:sz w:val="20"/>
                <w:szCs w:val="20"/>
                <w:color w:val="auto"/>
              </w:rPr>
            </w:pPr>
            <w:r>
              <w:rPr>
                <w:rFonts w:ascii="Arial" w:cs="Arial" w:eastAsia="Arial" w:hAnsi="Arial"/>
                <w:sz w:val="12"/>
                <w:szCs w:val="12"/>
                <w:color w:val="auto"/>
              </w:rPr>
              <w:t>Initial $4,000,000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$1,800,000</w:t>
            </w:r>
          </w:p>
        </w:tc>
        <w:tc>
          <w:tcPr>
            <w:tcW w:w="8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Initial $4,000,000</w:t>
            </w:r>
          </w:p>
        </w:tc>
        <w:tc>
          <w:tcPr>
            <w:tcW w:w="266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$1,000,000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380" w:type="dxa"/>
            <w:vAlign w:val="bottom"/>
            <w:shd w:val="clear" w:color="auto" w:fill="CCEEFF"/>
          </w:tcPr>
          <w:p>
            <w:pPr>
              <w:ind w:left="420"/>
              <w:spacing w:after="0" w:line="136" w:lineRule="exact"/>
              <w:rPr>
                <w:sz w:val="20"/>
                <w:szCs w:val="20"/>
                <w:color w:val="auto"/>
              </w:rPr>
            </w:pPr>
            <w:r>
              <w:rPr>
                <w:rFonts w:ascii="Arial" w:cs="Arial" w:eastAsia="Arial" w:hAnsi="Arial"/>
                <w:sz w:val="12"/>
                <w:szCs w:val="12"/>
                <w:color w:val="auto"/>
              </w:rPr>
              <w:t>$4,000,000 -</w:t>
            </w: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2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w w:val="97"/>
              </w:rPr>
              <w:t>$4,000,000 -</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2"/>
                <w:szCs w:val="12"/>
                <w:color w:val="auto"/>
              </w:rPr>
              <w:t>$141,000,000</w:t>
            </w: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None</w:t>
            </w:r>
          </w:p>
        </w:tc>
        <w:tc>
          <w:tcPr>
            <w:tcW w:w="8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$90,000,000</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None</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Over $141,000,000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Over $90,000,000</w:t>
            </w:r>
          </w:p>
        </w:tc>
        <w:tc>
          <w:tcPr>
            <w:tcW w:w="266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single maximum risks per occurrence to which we are subject under the new treaties effective July 1, 2015 are as follows:</w:t>
      </w: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3"/>
          </w:tcPr>
          <w:p>
            <w:pPr>
              <w:jc w:val="right"/>
              <w:ind w:right="1282"/>
              <w:spacing w:after="0"/>
              <w:rPr>
                <w:sz w:val="20"/>
                <w:szCs w:val="20"/>
                <w:color w:val="auto"/>
              </w:rPr>
            </w:pPr>
            <w:r>
              <w:rPr>
                <w:rFonts w:ascii="Arial" w:cs="Arial" w:eastAsia="Arial" w:hAnsi="Arial"/>
                <w:sz w:val="10"/>
                <w:szCs w:val="10"/>
                <w:b w:val="1"/>
                <w:bCs w:val="1"/>
                <w:color w:val="auto"/>
                <w:w w:val="95"/>
              </w:rPr>
              <w:t>July 1, 2015 - June 30, 2016</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auto"/>
            </w:tcBorders>
          </w:tcPr>
          <w:p>
            <w:pPr>
              <w:ind w:left="3180"/>
              <w:spacing w:after="0"/>
              <w:rPr>
                <w:sz w:val="20"/>
                <w:szCs w:val="20"/>
                <w:color w:val="auto"/>
              </w:rPr>
            </w:pPr>
            <w:r>
              <w:rPr>
                <w:rFonts w:ascii="Arial" w:cs="Arial" w:eastAsia="Arial" w:hAnsi="Arial"/>
                <w:sz w:val="10"/>
                <w:szCs w:val="10"/>
                <w:b w:val="1"/>
                <w:bCs w:val="1"/>
                <w:color w:val="auto"/>
              </w:rPr>
              <w:t>Treaty</w:t>
            </w:r>
          </w:p>
        </w:tc>
        <w:tc>
          <w:tcPr>
            <w:tcW w:w="460" w:type="dxa"/>
            <w:vAlign w:val="bottom"/>
          </w:tcPr>
          <w:p>
            <w:pPr>
              <w:spacing w:after="0"/>
              <w:rPr>
                <w:sz w:val="12"/>
                <w:szCs w:val="12"/>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Extent of Loss</w:t>
            </w:r>
          </w:p>
        </w:tc>
        <w:tc>
          <w:tcPr>
            <w:tcW w:w="2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Risk Retained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Personal Lines</w:t>
            </w: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Initial $750,000</w:t>
            </w:r>
          </w:p>
        </w:tc>
        <w:tc>
          <w:tcPr>
            <w:tcW w:w="282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$450,000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$750,000 -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$4,500,000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None(1)</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Over $4,500,000</w:t>
            </w:r>
          </w:p>
        </w:tc>
        <w:tc>
          <w:tcPr>
            <w:tcW w:w="282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Personal Umbrella</w:t>
            </w: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Initial $1,000,000</w:t>
            </w:r>
          </w:p>
        </w:tc>
        <w:tc>
          <w:tcPr>
            <w:tcW w:w="282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$100,000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$1,000,000 -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$3,000,000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None(1)</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Over $3,000,000</w:t>
            </w:r>
          </w:p>
        </w:tc>
        <w:tc>
          <w:tcPr>
            <w:tcW w:w="282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Commercial Lines</w:t>
            </w: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Initial $425,000</w:t>
            </w:r>
          </w:p>
        </w:tc>
        <w:tc>
          <w:tcPr>
            <w:tcW w:w="282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$425,000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$425,000 -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$4,500,000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None(1)</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Over $4,500,000</w:t>
            </w:r>
          </w:p>
        </w:tc>
        <w:tc>
          <w:tcPr>
            <w:tcW w:w="282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Commercial Auto</w:t>
            </w: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Initial $300,000</w:t>
            </w:r>
          </w:p>
        </w:tc>
        <w:tc>
          <w:tcPr>
            <w:tcW w:w="282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$300,000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$300,000 -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$2,000,000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None(1)</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Over $2,000,000</w:t>
            </w:r>
          </w:p>
        </w:tc>
        <w:tc>
          <w:tcPr>
            <w:tcW w:w="282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Catastrophe (2)</w:t>
            </w: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Initial $4,000,000</w:t>
            </w:r>
          </w:p>
        </w:tc>
        <w:tc>
          <w:tcPr>
            <w:tcW w:w="282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$2,400,000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0" w:type="dxa"/>
            <w:vAlign w:val="bottom"/>
            <w:shd w:val="clear" w:color="auto" w:fill="CCEEFF"/>
          </w:tcPr>
          <w:p>
            <w:pPr>
              <w:ind w:left="440"/>
              <w:spacing w:after="0" w:line="136" w:lineRule="exact"/>
              <w:rPr>
                <w:sz w:val="20"/>
                <w:szCs w:val="20"/>
                <w:color w:val="auto"/>
              </w:rPr>
            </w:pPr>
            <w:r>
              <w:rPr>
                <w:rFonts w:ascii="Arial" w:cs="Arial" w:eastAsia="Arial" w:hAnsi="Arial"/>
                <w:sz w:val="12"/>
                <w:szCs w:val="12"/>
                <w:color w:val="auto"/>
              </w:rPr>
              <w:t>$4,000,000 -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$180,000,000</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1140"/>
              <w:spacing w:after="0"/>
              <w:rPr>
                <w:sz w:val="20"/>
                <w:szCs w:val="20"/>
                <w:color w:val="auto"/>
              </w:rPr>
            </w:pPr>
            <w:r>
              <w:rPr>
                <w:rFonts w:ascii="Arial" w:cs="Arial" w:eastAsia="Arial" w:hAnsi="Arial"/>
                <w:sz w:val="12"/>
                <w:szCs w:val="12"/>
                <w:color w:val="auto"/>
              </w:rPr>
              <w:t>None</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2"/>
                <w:szCs w:val="12"/>
                <w:color w:val="auto"/>
              </w:rPr>
              <w:t>Over $180,000,000</w:t>
            </w:r>
          </w:p>
        </w:tc>
        <w:tc>
          <w:tcPr>
            <w:tcW w:w="282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60" w:type="dxa"/>
            <w:vAlign w:val="bottom"/>
          </w:tcPr>
          <w:p>
            <w:pPr>
              <w:spacing w:after="0"/>
              <w:rPr>
                <w:sz w:val="20"/>
                <w:szCs w:val="20"/>
                <w:color w:val="auto"/>
              </w:rPr>
            </w:pPr>
            <w:r>
              <w:rPr>
                <w:rFonts w:ascii="Arial" w:cs="Arial" w:eastAsia="Arial" w:hAnsi="Arial"/>
                <w:sz w:val="12"/>
                <w:szCs w:val="12"/>
                <w:color w:val="auto"/>
              </w:rPr>
              <w:t>_______________</w:t>
            </w: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08" w:hanging="208"/>
        <w:spacing w:after="0"/>
        <w:tabs>
          <w:tab w:leader="none" w:pos="2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Covered by excess of loss treaties.</w:t>
      </w:r>
    </w:p>
    <w:p>
      <w:pPr>
        <w:spacing w:after="0" w:line="168" w:lineRule="exact"/>
        <w:rPr>
          <w:rFonts w:ascii="Arial" w:cs="Arial" w:eastAsia="Arial" w:hAnsi="Arial"/>
          <w:sz w:val="12"/>
          <w:szCs w:val="12"/>
          <w:color w:val="auto"/>
        </w:rPr>
      </w:pPr>
    </w:p>
    <w:p>
      <w:pPr>
        <w:ind w:left="208" w:hanging="208"/>
        <w:spacing w:after="0"/>
        <w:tabs>
          <w:tab w:leader="none" w:pos="2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Catastrophe coverage is limited on an annual basis to two times the per occurrence amounts.</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Factors That May Affect Future Results and Financial Condition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Based upon the factors set forth under “Factors That May Affect Future Results and Financial Condition” in Item 7 of our Annual Report on Form 10-K for the year ended December 31, 2014,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our periodic reports, including this Quarterly Report.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u w:val="single" w:color="auto"/>
          <w:color w:val="auto"/>
        </w:rPr>
        <w:t>Quantitative and Qualitative Disclosures About Market Risk</w:t>
      </w:r>
      <w:r>
        <w:rPr>
          <w:rFonts w:ascii="Arial" w:cs="Arial" w:eastAsia="Arial" w:hAnsi="Arial"/>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u w:val="single" w:color="auto"/>
          <w:color w:val="auto"/>
        </w:rPr>
        <w:t>Controls and Procedures</w:t>
      </w:r>
      <w:r>
        <w:rPr>
          <w:rFonts w:ascii="Arial" w:cs="Arial" w:eastAsia="Arial" w:hAnsi="Arial"/>
          <w:sz w:val="12"/>
          <w:szCs w:val="12"/>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maintain disclosure controls and procedures (as defined in Exchange Act Rule 13a-15(e))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141"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As required by Exchange Act Rule 13a-15(b), as of the end of the period covered by this Annual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June 30, 2015.</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63" w:name="page64"/>
    <w:bookmarkEnd w:id="63"/>
    <w:p>
      <w:pPr>
        <w:jc w:val="center"/>
        <w:spacing w:after="0"/>
        <w:rPr>
          <w:sz w:val="20"/>
          <w:szCs w:val="20"/>
          <w:color w:val="auto"/>
        </w:rPr>
      </w:pPr>
      <w:r>
        <w:rPr>
          <w:rFonts w:ascii="Arial" w:cs="Arial" w:eastAsia="Arial" w:hAnsi="Arial"/>
          <w:sz w:val="12"/>
          <w:szCs w:val="12"/>
          <w:b w:val="1"/>
          <w:bCs w:val="1"/>
          <w:color w:val="auto"/>
        </w:rPr>
        <w:t xml:space="preserve">PART II. </w:t>
      </w:r>
      <w:r>
        <w:rPr>
          <w:rFonts w:ascii="Arial" w:cs="Arial" w:eastAsia="Arial" w:hAnsi="Arial"/>
          <w:sz w:val="12"/>
          <w:szCs w:val="12"/>
          <w:b w:val="1"/>
          <w:bCs w:val="1"/>
          <w:u w:val="single" w:color="auto"/>
          <w:color w:val="auto"/>
        </w:rPr>
        <w:t>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 </w:t>
      </w:r>
      <w:r>
        <w:rPr>
          <w:rFonts w:ascii="Arial" w:cs="Arial" w:eastAsia="Arial" w:hAnsi="Arial"/>
          <w:sz w:val="12"/>
          <w:szCs w:val="12"/>
          <w:b w:val="1"/>
          <w:bCs w:val="1"/>
          <w:u w:val="single" w:color="auto"/>
          <w:color w:val="auto"/>
        </w:rPr>
        <w:t>Legal Proceedings</w:t>
      </w:r>
      <w:r>
        <w:rPr>
          <w:rFonts w:ascii="Arial" w:cs="Arial" w:eastAsia="Arial" w:hAnsi="Arial"/>
          <w:sz w:val="12"/>
          <w:szCs w:val="12"/>
          <w:color w:val="auto"/>
        </w:rPr>
        <w:t>.</w:t>
      </w:r>
    </w:p>
    <w:p>
      <w:pPr>
        <w:spacing w:after="0" w:line="172" w:lineRule="exact"/>
        <w:rPr>
          <w:sz w:val="20"/>
          <w:szCs w:val="20"/>
          <w:color w:val="auto"/>
        </w:rPr>
      </w:pPr>
    </w:p>
    <w:p>
      <w:pPr>
        <w:jc w:val="center"/>
        <w:ind w:right="10360"/>
        <w:spacing w:after="0"/>
        <w:rPr>
          <w:sz w:val="20"/>
          <w:szCs w:val="20"/>
          <w:color w:val="auto"/>
        </w:rPr>
      </w:pPr>
      <w:r>
        <w:rPr>
          <w:rFonts w:ascii="Arial" w:cs="Arial" w:eastAsia="Arial" w:hAnsi="Arial"/>
          <w:sz w:val="12"/>
          <w:szCs w:val="12"/>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1A. </w:t>
      </w:r>
      <w:r>
        <w:rPr>
          <w:rFonts w:ascii="Arial" w:cs="Arial" w:eastAsia="Arial" w:hAnsi="Arial"/>
          <w:sz w:val="12"/>
          <w:szCs w:val="12"/>
          <w:b w:val="1"/>
          <w:bCs w:val="1"/>
          <w:u w:val="single" w:color="auto"/>
          <w:color w:val="auto"/>
        </w:rPr>
        <w:t>Risk Factors</w:t>
      </w:r>
      <w:r>
        <w:rPr>
          <w:rFonts w:ascii="Arial" w:cs="Arial" w:eastAsia="Arial" w:hAnsi="Arial"/>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u w:val="single" w:color="auto"/>
          <w:color w:val="auto"/>
        </w:rPr>
        <w:t>Unregistered Sales of Equity Securities and Use of Proceeds</w:t>
      </w:r>
      <w:r>
        <w:rPr>
          <w:rFonts w:ascii="Arial" w:cs="Arial" w:eastAsia="Arial" w:hAnsi="Arial"/>
          <w:sz w:val="12"/>
          <w:szCs w:val="12"/>
          <w:color w:val="auto"/>
        </w:rPr>
        <w:t>.</w:t>
      </w:r>
    </w:p>
    <w:p>
      <w:pPr>
        <w:spacing w:after="0" w:line="190" w:lineRule="exact"/>
        <w:rPr>
          <w:sz w:val="20"/>
          <w:szCs w:val="20"/>
          <w:color w:val="auto"/>
        </w:rPr>
      </w:pPr>
    </w:p>
    <w:p>
      <w:pPr>
        <w:ind w:left="700" w:hanging="276"/>
        <w:spacing w:after="0"/>
        <w:tabs>
          <w:tab w:leader="none" w:pos="7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None</w:t>
      </w:r>
    </w:p>
    <w:p>
      <w:pPr>
        <w:spacing w:after="0" w:line="186" w:lineRule="exact"/>
        <w:rPr>
          <w:rFonts w:ascii="Arial" w:cs="Arial" w:eastAsia="Arial" w:hAnsi="Arial"/>
          <w:sz w:val="12"/>
          <w:szCs w:val="12"/>
          <w:color w:val="auto"/>
        </w:rPr>
      </w:pPr>
    </w:p>
    <w:p>
      <w:pPr>
        <w:ind w:left="700" w:hanging="276"/>
        <w:spacing w:after="0"/>
        <w:tabs>
          <w:tab w:leader="none" w:pos="7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Not applicable</w:t>
      </w:r>
    </w:p>
    <w:p>
      <w:pPr>
        <w:spacing w:after="0" w:line="168" w:lineRule="exact"/>
        <w:rPr>
          <w:rFonts w:ascii="Arial" w:cs="Arial" w:eastAsia="Arial" w:hAnsi="Arial"/>
          <w:sz w:val="12"/>
          <w:szCs w:val="12"/>
          <w:color w:val="auto"/>
        </w:rPr>
      </w:pPr>
    </w:p>
    <w:p>
      <w:pPr>
        <w:ind w:left="680" w:hanging="256"/>
        <w:spacing w:after="0"/>
        <w:tabs>
          <w:tab w:leader="none" w:pos="6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following table sets forth certain information with respect to purchases of common stock made by us or any “affiliated purchaser” during the quarter ended June 30, 2015: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85"/>
              </w:rPr>
              <w:t>Total Number of Shares</w:t>
            </w:r>
          </w:p>
        </w:tc>
        <w:tc>
          <w:tcPr>
            <w:tcW w:w="220" w:type="dxa"/>
            <w:vAlign w:val="bottom"/>
          </w:tcPr>
          <w:p>
            <w:pPr>
              <w:spacing w:after="0"/>
              <w:rPr>
                <w:sz w:val="10"/>
                <w:szCs w:val="1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Maximum Number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91"/>
              </w:rPr>
              <w:t>Total</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6"/>
              </w:rPr>
              <w:t>Average</w:t>
            </w:r>
          </w:p>
        </w:tc>
        <w:tc>
          <w:tcPr>
            <w:tcW w:w="11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Purchased as Part of</w:t>
            </w:r>
          </w:p>
        </w:tc>
        <w:tc>
          <w:tcPr>
            <w:tcW w:w="220" w:type="dxa"/>
            <w:vAlign w:val="bottom"/>
          </w:tcPr>
          <w:p>
            <w:pPr>
              <w:spacing w:after="0"/>
              <w:rPr>
                <w:sz w:val="8"/>
                <w:szCs w:val="8"/>
                <w:color w:val="auto"/>
              </w:rPr>
            </w:pPr>
          </w:p>
        </w:tc>
        <w:tc>
          <w:tcPr>
            <w:tcW w:w="124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6"/>
              </w:rPr>
              <w:t>Shares that May Be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5"/>
              </w:rPr>
              <w:t>Number of Shares</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6"/>
              </w:rPr>
              <w:t>Price Paid</w:t>
            </w:r>
          </w:p>
        </w:tc>
        <w:tc>
          <w:tcPr>
            <w:tcW w:w="11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5"/>
              </w:rPr>
              <w:t>Publicly Announced Plans</w:t>
            </w:r>
          </w:p>
        </w:tc>
        <w:tc>
          <w:tcPr>
            <w:tcW w:w="220" w:type="dxa"/>
            <w:vAlign w:val="bottom"/>
          </w:tcPr>
          <w:p>
            <w:pPr>
              <w:spacing w:after="0"/>
              <w:rPr>
                <w:sz w:val="8"/>
                <w:szCs w:val="8"/>
                <w:color w:val="auto"/>
              </w:rPr>
            </w:pPr>
          </w:p>
        </w:tc>
        <w:tc>
          <w:tcPr>
            <w:tcW w:w="1240" w:type="dxa"/>
            <w:vAlign w:val="bottom"/>
            <w:gridSpan w:val="2"/>
          </w:tcPr>
          <w:p>
            <w:pPr>
              <w:jc w:val="right"/>
              <w:ind w:right="120"/>
              <w:spacing w:after="0" w:line="99" w:lineRule="exact"/>
              <w:rPr>
                <w:sz w:val="20"/>
                <w:szCs w:val="20"/>
                <w:color w:val="auto"/>
              </w:rPr>
            </w:pPr>
            <w:r>
              <w:rPr>
                <w:rFonts w:ascii="Arial" w:cs="Arial" w:eastAsia="Arial" w:hAnsi="Arial"/>
                <w:sz w:val="10"/>
                <w:szCs w:val="10"/>
                <w:b w:val="1"/>
                <w:bCs w:val="1"/>
                <w:color w:val="auto"/>
                <w:w w:val="84"/>
              </w:rPr>
              <w:t>Purchased Under the Plans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960" w:type="dxa"/>
            <w:vAlign w:val="bottom"/>
          </w:tcPr>
          <w:p>
            <w:pPr>
              <w:ind w:left="2820"/>
              <w:spacing w:after="0" w:line="114" w:lineRule="exact"/>
              <w:rPr>
                <w:sz w:val="20"/>
                <w:szCs w:val="20"/>
                <w:color w:val="auto"/>
              </w:rPr>
            </w:pPr>
            <w:r>
              <w:rPr>
                <w:rFonts w:ascii="Arial" w:cs="Arial" w:eastAsia="Arial" w:hAnsi="Arial"/>
                <w:sz w:val="10"/>
                <w:szCs w:val="10"/>
                <w:b w:val="1"/>
                <w:bCs w:val="1"/>
                <w:color w:val="auto"/>
              </w:rPr>
              <w:t>Period</w:t>
            </w:r>
          </w:p>
        </w:tc>
        <w:tc>
          <w:tcPr>
            <w:tcW w:w="100" w:type="dxa"/>
            <w:vAlign w:val="bottom"/>
          </w:tcPr>
          <w:p>
            <w:pPr>
              <w:spacing w:after="0"/>
              <w:rPr>
                <w:sz w:val="9"/>
                <w:szCs w:val="9"/>
                <w:color w:val="auto"/>
              </w:rPr>
            </w:pPr>
          </w:p>
        </w:tc>
        <w:tc>
          <w:tcPr>
            <w:tcW w:w="13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2"/>
              </w:rPr>
              <w:t>Purchased</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tcPr>
          <w:p>
            <w:pPr>
              <w:jc w:val="center"/>
              <w:ind w:right="440"/>
              <w:spacing w:after="0" w:line="114" w:lineRule="exact"/>
              <w:rPr>
                <w:sz w:val="20"/>
                <w:szCs w:val="20"/>
                <w:color w:val="auto"/>
              </w:rPr>
            </w:pPr>
            <w:r>
              <w:rPr>
                <w:rFonts w:ascii="Arial" w:cs="Arial" w:eastAsia="Arial" w:hAnsi="Arial"/>
                <w:sz w:val="10"/>
                <w:szCs w:val="10"/>
                <w:b w:val="1"/>
                <w:bCs w:val="1"/>
                <w:color w:val="auto"/>
                <w:w w:val="86"/>
              </w:rPr>
              <w:t>per Share</w:t>
            </w:r>
          </w:p>
        </w:tc>
        <w:tc>
          <w:tcPr>
            <w:tcW w:w="11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7"/>
              </w:rPr>
              <w:t>or Programs</w:t>
            </w:r>
          </w:p>
        </w:tc>
        <w:tc>
          <w:tcPr>
            <w:tcW w:w="220" w:type="dxa"/>
            <w:vAlign w:val="bottom"/>
          </w:tcPr>
          <w:p>
            <w:pPr>
              <w:spacing w:after="0"/>
              <w:rPr>
                <w:sz w:val="9"/>
                <w:szCs w:val="9"/>
                <w:color w:val="auto"/>
              </w:rPr>
            </w:pPr>
          </w:p>
        </w:tc>
        <w:tc>
          <w:tcPr>
            <w:tcW w:w="12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7"/>
              </w:rPr>
              <w:t>or Programs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4/1/15 – 4/30/15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2,111</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7.55</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tcPr>
          <w:p>
            <w:pPr>
              <w:spacing w:after="0"/>
              <w:rPr>
                <w:sz w:val="20"/>
                <w:szCs w:val="20"/>
                <w:color w:val="auto"/>
              </w:rPr>
            </w:pPr>
            <w:r>
              <w:rPr>
                <w:rFonts w:ascii="Arial" w:cs="Arial" w:eastAsia="Arial" w:hAnsi="Arial"/>
                <w:sz w:val="12"/>
                <w:szCs w:val="12"/>
                <w:color w:val="auto"/>
              </w:rPr>
              <w:t>5/1/15 – 5/31/15</w:t>
            </w:r>
          </w:p>
        </w:tc>
        <w:tc>
          <w:tcPr>
            <w:tcW w:w="1420" w:type="dxa"/>
            <w:vAlign w:val="bottom"/>
            <w:gridSpan w:val="3"/>
          </w:tcPr>
          <w:p>
            <w:pPr>
              <w:jc w:val="right"/>
              <w:ind w:right="60"/>
              <w:spacing w:after="0"/>
              <w:rPr>
                <w:sz w:val="20"/>
                <w:szCs w:val="20"/>
                <w:color w:val="auto"/>
              </w:rPr>
            </w:pPr>
            <w:r>
              <w:rPr>
                <w:rFonts w:ascii="Arial" w:cs="Arial" w:eastAsia="Arial" w:hAnsi="Arial"/>
                <w:sz w:val="12"/>
                <w:szCs w:val="12"/>
                <w:color w:val="auto"/>
              </w:rPr>
              <w:t>9,000</w:t>
            </w:r>
            <w:r>
              <w:rPr>
                <w:rFonts w:ascii="Arial" w:cs="Arial" w:eastAsia="Arial" w:hAnsi="Arial"/>
                <w:sz w:val="8"/>
                <w:szCs w:val="8"/>
                <w:color w:val="auto"/>
              </w:rPr>
              <w:t>(1)</w:t>
            </w:r>
          </w:p>
        </w:tc>
        <w:tc>
          <w:tcPr>
            <w:tcW w:w="3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7.44</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2"/>
                <w:szCs w:val="12"/>
                <w:color w:val="auto"/>
              </w:rPr>
              <w:t>6/1/15 – 6/30/15</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500</w:t>
            </w:r>
            <w:r>
              <w:rPr>
                <w:rFonts w:ascii="Arial" w:cs="Arial" w:eastAsia="Arial" w:hAnsi="Arial"/>
                <w:sz w:val="8"/>
                <w:szCs w:val="8"/>
                <w:color w:val="auto"/>
              </w:rPr>
              <w:t>(2)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7.42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Borders>
              <w:top w:val="single" w:sz="8" w:color="CCEEFF"/>
            </w:tcBorders>
          </w:tcPr>
          <w:p>
            <w:pPr>
              <w:spacing w:after="0" w:line="124" w:lineRule="exact"/>
              <w:rPr>
                <w:sz w:val="20"/>
                <w:szCs w:val="20"/>
                <w:color w:val="auto"/>
              </w:rPr>
            </w:pPr>
            <w:r>
              <w:rPr>
                <w:rFonts w:ascii="Arial" w:cs="Arial" w:eastAsia="Arial" w:hAnsi="Arial"/>
                <w:sz w:val="12"/>
                <w:szCs w:val="12"/>
                <w:color w:val="auto"/>
              </w:rPr>
              <w:t>Total</w:t>
            </w:r>
          </w:p>
        </w:tc>
        <w:tc>
          <w:tcPr>
            <w:tcW w:w="100" w:type="dxa"/>
            <w:vAlign w:val="bottom"/>
            <w:tcBorders>
              <w:top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11,611</w:t>
            </w:r>
          </w:p>
        </w:tc>
        <w:tc>
          <w:tcPr>
            <w:tcW w:w="1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gridSpan w:val="2"/>
          </w:tcPr>
          <w:p>
            <w:pPr>
              <w:jc w:val="right"/>
              <w:ind w:right="160"/>
              <w:spacing w:after="0" w:line="124" w:lineRule="exact"/>
              <w:rPr>
                <w:sz w:val="20"/>
                <w:szCs w:val="20"/>
                <w:color w:val="auto"/>
              </w:rPr>
            </w:pPr>
            <w:r>
              <w:rPr>
                <w:rFonts w:ascii="Arial" w:cs="Arial" w:eastAsia="Arial" w:hAnsi="Arial"/>
                <w:sz w:val="12"/>
                <w:szCs w:val="12"/>
                <w:color w:val="auto"/>
              </w:rPr>
              <w:t>$</w:t>
            </w:r>
          </w:p>
        </w:tc>
        <w:tc>
          <w:tcPr>
            <w:tcW w:w="1160" w:type="dxa"/>
            <w:vAlign w:val="bottom"/>
            <w:tcBorders>
              <w:top w:val="single" w:sz="8" w:color="CCEEFF"/>
            </w:tcBorders>
            <w:gridSpan w:val="2"/>
          </w:tcPr>
          <w:p>
            <w:pPr>
              <w:jc w:val="right"/>
              <w:ind w:right="240"/>
              <w:spacing w:after="0" w:line="124" w:lineRule="exact"/>
              <w:rPr>
                <w:sz w:val="20"/>
                <w:szCs w:val="20"/>
                <w:color w:val="auto"/>
              </w:rPr>
            </w:pPr>
            <w:r>
              <w:rPr>
                <w:rFonts w:ascii="Arial" w:cs="Arial" w:eastAsia="Arial" w:hAnsi="Arial"/>
                <w:sz w:val="12"/>
                <w:szCs w:val="12"/>
                <w:color w:val="auto"/>
              </w:rPr>
              <w:t>7.46</w:t>
            </w:r>
          </w:p>
        </w:tc>
        <w:tc>
          <w:tcPr>
            <w:tcW w:w="11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40" w:hanging="208"/>
        <w:spacing w:after="0"/>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1,000 shares purchased by “affiliated purchaser” at a price of $7.62 per share.</w:t>
      </w:r>
    </w:p>
    <w:p>
      <w:pPr>
        <w:spacing w:after="0" w:line="14" w:lineRule="exact"/>
        <w:rPr>
          <w:rFonts w:ascii="Arial" w:cs="Arial" w:eastAsia="Arial" w:hAnsi="Arial"/>
          <w:sz w:val="12"/>
          <w:szCs w:val="12"/>
          <w:color w:val="auto"/>
        </w:rPr>
      </w:pPr>
    </w:p>
    <w:p>
      <w:pPr>
        <w:ind w:left="540" w:hanging="208"/>
        <w:spacing w:after="0"/>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Shares purchased by “affiliated purchaser”.</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u w:val="single" w:color="auto"/>
          <w:color w:val="auto"/>
        </w:rPr>
        <w:t>Defaults Upon Senior Securities</w:t>
      </w:r>
      <w:r>
        <w:rPr>
          <w:rFonts w:ascii="Arial" w:cs="Arial" w:eastAsia="Arial" w:hAnsi="Arial"/>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u w:val="single" w:color="auto"/>
          <w:color w:val="auto"/>
        </w:rPr>
        <w:t>Mine Safety Disclosures</w:t>
      </w:r>
      <w:r>
        <w:rPr>
          <w:rFonts w:ascii="Arial" w:cs="Arial" w:eastAsia="Arial" w:hAnsi="Arial"/>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5. </w:t>
      </w:r>
      <w:r>
        <w:rPr>
          <w:rFonts w:ascii="Arial" w:cs="Arial" w:eastAsia="Arial" w:hAnsi="Arial"/>
          <w:sz w:val="12"/>
          <w:szCs w:val="12"/>
          <w:b w:val="1"/>
          <w:bCs w:val="1"/>
          <w:u w:val="single" w:color="auto"/>
          <w:color w:val="auto"/>
        </w:rPr>
        <w:t>Other Information</w:t>
      </w:r>
      <w:r>
        <w:rPr>
          <w:rFonts w:ascii="Arial" w:cs="Arial" w:eastAsia="Arial" w:hAnsi="Arial"/>
          <w:sz w:val="12"/>
          <w:szCs w:val="12"/>
          <w:color w:val="auto"/>
        </w:rPr>
        <w: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38"/>
        </w:trPr>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Item 6. Exhibits</w:t>
            </w:r>
            <w:r>
              <w:rPr>
                <w:rFonts w:ascii="Arial" w:cs="Arial" w:eastAsia="Arial" w:hAnsi="Arial"/>
                <w:sz w:val="12"/>
                <w:szCs w:val="12"/>
                <w:color w:val="auto"/>
              </w:rPr>
              <w:t>.</w:t>
            </w:r>
          </w:p>
        </w:tc>
        <w:tc>
          <w:tcPr>
            <w:tcW w:w="10480" w:type="dxa"/>
            <w:vAlign w:val="bottom"/>
          </w:tcPr>
          <w:p>
            <w:pPr>
              <w:spacing w:after="0"/>
              <w:rPr>
                <w:sz w:val="12"/>
                <w:szCs w:val="12"/>
                <w:color w:val="auto"/>
              </w:rPr>
            </w:pPr>
          </w:p>
        </w:tc>
      </w:tr>
      <w:tr>
        <w:trPr>
          <w:trHeight w:val="169"/>
        </w:trPr>
        <w:tc>
          <w:tcPr>
            <w:tcW w:w="3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80" w:type="dxa"/>
            <w:vAlign w:val="bottom"/>
          </w:tcPr>
          <w:p>
            <w:pPr>
              <w:spacing w:after="0"/>
              <w:rPr>
                <w:sz w:val="14"/>
                <w:szCs w:val="14"/>
                <w:color w:val="auto"/>
              </w:rPr>
            </w:pPr>
          </w:p>
        </w:tc>
      </w:tr>
      <w:tr>
        <w:trPr>
          <w:trHeight w:val="144"/>
        </w:trPr>
        <w:tc>
          <w:tcPr>
            <w:tcW w:w="3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3(a)</w:t>
            </w:r>
          </w:p>
        </w:tc>
        <w:tc>
          <w:tcPr>
            <w:tcW w:w="10480" w:type="dxa"/>
            <w:vAlign w:val="bottom"/>
            <w:shd w:val="clear" w:color="auto" w:fill="CCEEFF"/>
          </w:tcPr>
          <w:p>
            <w:pPr>
              <w:ind w:left="140"/>
              <w:spacing w:after="0" w:line="144" w:lineRule="exact"/>
              <w:rPr>
                <w:sz w:val="20"/>
                <w:szCs w:val="20"/>
                <w:color w:val="auto"/>
              </w:rPr>
            </w:pPr>
            <w:r>
              <w:rPr>
                <w:rFonts w:ascii="Arial" w:cs="Arial" w:eastAsia="Arial" w:hAnsi="Arial"/>
                <w:sz w:val="12"/>
                <w:szCs w:val="12"/>
                <w:color w:val="auto"/>
              </w:rPr>
              <w:t>Restated Certificate of Incorporation, as amended</w:t>
            </w:r>
            <w:r>
              <w:rPr>
                <w:rFonts w:ascii="Arial" w:cs="Arial" w:eastAsia="Arial" w:hAnsi="Arial"/>
                <w:sz w:val="16"/>
                <w:szCs w:val="16"/>
                <w:color w:val="auto"/>
                <w:vertAlign w:val="superscript"/>
              </w:rPr>
              <w:t>1</w:t>
            </w:r>
          </w:p>
        </w:tc>
      </w:tr>
      <w:tr>
        <w:trPr>
          <w:trHeight w:val="144"/>
        </w:trPr>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80" w:type="dxa"/>
            <w:vAlign w:val="bottom"/>
          </w:tcPr>
          <w:p>
            <w:pPr>
              <w:spacing w:after="0"/>
              <w:rPr>
                <w:sz w:val="12"/>
                <w:szCs w:val="12"/>
                <w:color w:val="auto"/>
              </w:rPr>
            </w:pPr>
          </w:p>
        </w:tc>
      </w:tr>
      <w:tr>
        <w:trPr>
          <w:trHeight w:val="144"/>
        </w:trPr>
        <w:tc>
          <w:tcPr>
            <w:tcW w:w="3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3(b)</w:t>
            </w:r>
          </w:p>
        </w:tc>
        <w:tc>
          <w:tcPr>
            <w:tcW w:w="10480" w:type="dxa"/>
            <w:vAlign w:val="bottom"/>
            <w:shd w:val="clear" w:color="auto" w:fill="CCEEFF"/>
          </w:tcPr>
          <w:p>
            <w:pPr>
              <w:ind w:left="140"/>
              <w:spacing w:after="0" w:line="144" w:lineRule="exact"/>
              <w:rPr>
                <w:sz w:val="20"/>
                <w:szCs w:val="20"/>
                <w:color w:val="auto"/>
              </w:rPr>
            </w:pPr>
            <w:r>
              <w:rPr>
                <w:rFonts w:ascii="Arial" w:cs="Arial" w:eastAsia="Arial" w:hAnsi="Arial"/>
                <w:sz w:val="12"/>
                <w:szCs w:val="12"/>
                <w:color w:val="auto"/>
              </w:rPr>
              <w:t>By-laws, as amended</w:t>
            </w:r>
            <w:r>
              <w:rPr>
                <w:rFonts w:ascii="Arial" w:cs="Arial" w:eastAsia="Arial" w:hAnsi="Arial"/>
                <w:sz w:val="16"/>
                <w:szCs w:val="16"/>
                <w:color w:val="auto"/>
                <w:vertAlign w:val="superscript"/>
              </w:rPr>
              <w:t>2</w:t>
            </w:r>
          </w:p>
        </w:tc>
      </w:tr>
      <w:tr>
        <w:trPr>
          <w:trHeight w:val="144"/>
        </w:trPr>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80" w:type="dxa"/>
            <w:vAlign w:val="bottom"/>
          </w:tcPr>
          <w:p>
            <w:pPr>
              <w:spacing w:after="0"/>
              <w:rPr>
                <w:sz w:val="12"/>
                <w:szCs w:val="12"/>
                <w:color w:val="auto"/>
              </w:rPr>
            </w:pPr>
          </w:p>
        </w:tc>
      </w:tr>
      <w:tr>
        <w:trPr>
          <w:trHeight w:val="144"/>
        </w:trPr>
        <w:tc>
          <w:tcPr>
            <w:tcW w:w="3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31(a)</w:t>
            </w:r>
          </w:p>
        </w:tc>
        <w:tc>
          <w:tcPr>
            <w:tcW w:w="10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Rule 13a-14(a)/15d-14(a) Certification of Principal Executive Officer as adopted pursuant to Section 302 of the Sarbanes-Oxley Act of 2002</w:t>
            </w:r>
          </w:p>
        </w:tc>
      </w:tr>
      <w:tr>
        <w:trPr>
          <w:trHeight w:val="144"/>
        </w:trPr>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80" w:type="dxa"/>
            <w:vAlign w:val="bottom"/>
          </w:tcPr>
          <w:p>
            <w:pPr>
              <w:spacing w:after="0"/>
              <w:rPr>
                <w:sz w:val="12"/>
                <w:szCs w:val="12"/>
                <w:color w:val="auto"/>
              </w:rPr>
            </w:pPr>
          </w:p>
        </w:tc>
      </w:tr>
      <w:tr>
        <w:trPr>
          <w:trHeight w:val="153"/>
        </w:trPr>
        <w:tc>
          <w:tcPr>
            <w:tcW w:w="3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31(b)</w:t>
            </w:r>
          </w:p>
        </w:tc>
        <w:tc>
          <w:tcPr>
            <w:tcW w:w="1048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Rule 13a-14(a)/15d-14(a) Certification of Principal Financial Officer as adopted pursuant to Section 302 of the Sarbanes-Oxley Act of 2002</w:t>
            </w:r>
          </w:p>
        </w:tc>
      </w:tr>
      <w:tr>
        <w:trPr>
          <w:trHeight w:val="135"/>
        </w:trPr>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80" w:type="dxa"/>
            <w:vAlign w:val="bottom"/>
            <w:shd w:val="clear" w:color="auto" w:fill="CCEEFF"/>
          </w:tcPr>
          <w:p>
            <w:pPr>
              <w:spacing w:after="0"/>
              <w:rPr>
                <w:sz w:val="11"/>
                <w:szCs w:val="11"/>
                <w:color w:val="auto"/>
              </w:rPr>
            </w:pPr>
          </w:p>
        </w:tc>
      </w:tr>
    </w:tbl>
    <w:p>
      <w:pPr>
        <w:ind w:left="1140" w:right="100" w:hanging="519"/>
        <w:spacing w:after="0" w:line="261" w:lineRule="auto"/>
        <w:tabs>
          <w:tab w:leader="none" w:pos="11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Certification of Chief Executive Officer and Chief Financial Officer Certification of Chief Executive Officer and Chief Financial Officer Pursuant to 18 U.S.C. Section 1350, as Adopted Pursuant to Section 906 of the Sarbanes-Oxley Act of 2002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9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840" w:type="dxa"/>
            <w:vAlign w:val="bottom"/>
            <w:shd w:val="clear" w:color="auto" w:fill="CCEEFF"/>
          </w:tcPr>
          <w:p>
            <w:pPr>
              <w:spacing w:after="0"/>
              <w:rPr>
                <w:sz w:val="10"/>
                <w:szCs w:val="10"/>
                <w:color w:val="auto"/>
              </w:rPr>
            </w:pPr>
          </w:p>
        </w:tc>
      </w:tr>
      <w:tr>
        <w:trPr>
          <w:trHeight w:val="144"/>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101.INS</w:t>
            </w:r>
          </w:p>
        </w:tc>
        <w:tc>
          <w:tcPr>
            <w:tcW w:w="10540" w:type="dxa"/>
            <w:vAlign w:val="bottom"/>
            <w:gridSpan w:val="2"/>
          </w:tcPr>
          <w:p>
            <w:pPr>
              <w:ind w:left="200"/>
              <w:spacing w:after="0"/>
              <w:rPr>
                <w:sz w:val="20"/>
                <w:szCs w:val="20"/>
                <w:color w:val="auto"/>
              </w:rPr>
            </w:pPr>
            <w:r>
              <w:rPr>
                <w:rFonts w:ascii="Arial" w:cs="Arial" w:eastAsia="Arial" w:hAnsi="Arial"/>
                <w:sz w:val="12"/>
                <w:szCs w:val="12"/>
                <w:color w:val="auto"/>
              </w:rPr>
              <w:t>XBRL Instance Document</w:t>
            </w:r>
          </w:p>
        </w:tc>
      </w:tr>
      <w:tr>
        <w:trPr>
          <w:trHeight w:val="144"/>
        </w:trPr>
        <w:tc>
          <w:tcPr>
            <w:tcW w:w="940" w:type="dxa"/>
            <w:vAlign w:val="bottom"/>
            <w:shd w:val="clear" w:color="auto" w:fill="CCEEFF"/>
          </w:tcPr>
          <w:p>
            <w:pPr>
              <w:spacing w:after="0"/>
              <w:rPr>
                <w:sz w:val="12"/>
                <w:szCs w:val="12"/>
                <w:color w:val="auto"/>
              </w:rPr>
            </w:pPr>
          </w:p>
        </w:tc>
        <w:tc>
          <w:tcPr>
            <w:tcW w:w="10540" w:type="dxa"/>
            <w:vAlign w:val="bottom"/>
            <w:gridSpan w:val="2"/>
            <w:shd w:val="clear" w:color="auto" w:fill="CCEEFF"/>
          </w:tcPr>
          <w:p>
            <w:pPr>
              <w:spacing w:after="0"/>
              <w:rPr>
                <w:sz w:val="12"/>
                <w:szCs w:val="12"/>
                <w:color w:val="auto"/>
              </w:rPr>
            </w:pPr>
          </w:p>
        </w:tc>
      </w:tr>
      <w:tr>
        <w:trPr>
          <w:trHeight w:val="144"/>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101.SCH</w:t>
            </w:r>
          </w:p>
        </w:tc>
        <w:tc>
          <w:tcPr>
            <w:tcW w:w="10540" w:type="dxa"/>
            <w:vAlign w:val="bottom"/>
            <w:gridSpan w:val="2"/>
          </w:tcPr>
          <w:p>
            <w:pPr>
              <w:ind w:left="200"/>
              <w:spacing w:after="0"/>
              <w:rPr>
                <w:sz w:val="20"/>
                <w:szCs w:val="20"/>
                <w:color w:val="auto"/>
              </w:rPr>
            </w:pPr>
            <w:r>
              <w:rPr>
                <w:rFonts w:ascii="Arial" w:cs="Arial" w:eastAsia="Arial" w:hAnsi="Arial"/>
                <w:sz w:val="12"/>
                <w:szCs w:val="12"/>
                <w:color w:val="auto"/>
              </w:rPr>
              <w:t>101.SCH XBRL Taxonomy Extension Schema.</w:t>
            </w:r>
          </w:p>
        </w:tc>
      </w:tr>
      <w:tr>
        <w:trPr>
          <w:trHeight w:val="144"/>
        </w:trPr>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40" w:type="dxa"/>
            <w:vAlign w:val="bottom"/>
            <w:shd w:val="clear" w:color="auto" w:fill="CCEEFF"/>
          </w:tcPr>
          <w:p>
            <w:pPr>
              <w:spacing w:after="0"/>
              <w:rPr>
                <w:sz w:val="12"/>
                <w:szCs w:val="12"/>
                <w:color w:val="auto"/>
              </w:rPr>
            </w:pPr>
          </w:p>
        </w:tc>
      </w:tr>
      <w:tr>
        <w:trPr>
          <w:trHeight w:val="144"/>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101.CAL</w:t>
            </w:r>
          </w:p>
        </w:tc>
        <w:tc>
          <w:tcPr>
            <w:tcW w:w="700" w:type="dxa"/>
            <w:vAlign w:val="bottom"/>
          </w:tcPr>
          <w:p>
            <w:pPr>
              <w:ind w:left="200"/>
              <w:spacing w:after="0"/>
              <w:rPr>
                <w:sz w:val="20"/>
                <w:szCs w:val="20"/>
                <w:color w:val="auto"/>
              </w:rPr>
            </w:pPr>
            <w:r>
              <w:rPr>
                <w:rFonts w:ascii="Arial" w:cs="Arial" w:eastAsia="Arial" w:hAnsi="Arial"/>
                <w:sz w:val="12"/>
                <w:szCs w:val="12"/>
                <w:color w:val="auto"/>
              </w:rPr>
              <w:t>101.CAL</w:t>
            </w:r>
          </w:p>
        </w:tc>
        <w:tc>
          <w:tcPr>
            <w:tcW w:w="9840" w:type="dxa"/>
            <w:vAlign w:val="bottom"/>
          </w:tcPr>
          <w:p>
            <w:pPr>
              <w:ind w:left="40"/>
              <w:spacing w:after="0"/>
              <w:rPr>
                <w:sz w:val="20"/>
                <w:szCs w:val="20"/>
                <w:color w:val="auto"/>
              </w:rPr>
            </w:pPr>
            <w:r>
              <w:rPr>
                <w:rFonts w:ascii="Arial" w:cs="Arial" w:eastAsia="Arial" w:hAnsi="Arial"/>
                <w:sz w:val="12"/>
                <w:szCs w:val="12"/>
                <w:color w:val="auto"/>
              </w:rPr>
              <w:t>XBRL Taxonomy Extension Calculation Linkbase.</w:t>
            </w:r>
          </w:p>
        </w:tc>
      </w:tr>
      <w:tr>
        <w:trPr>
          <w:trHeight w:val="144"/>
        </w:trPr>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40" w:type="dxa"/>
            <w:vAlign w:val="bottom"/>
            <w:shd w:val="clear" w:color="auto" w:fill="CCEEFF"/>
          </w:tcPr>
          <w:p>
            <w:pPr>
              <w:spacing w:after="0"/>
              <w:rPr>
                <w:sz w:val="12"/>
                <w:szCs w:val="12"/>
                <w:color w:val="auto"/>
              </w:rPr>
            </w:pPr>
          </w:p>
        </w:tc>
      </w:tr>
      <w:tr>
        <w:trPr>
          <w:trHeight w:val="144"/>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101.DEF</w:t>
            </w:r>
          </w:p>
        </w:tc>
        <w:tc>
          <w:tcPr>
            <w:tcW w:w="700" w:type="dxa"/>
            <w:vAlign w:val="bottom"/>
          </w:tcPr>
          <w:p>
            <w:pPr>
              <w:ind w:left="200"/>
              <w:spacing w:after="0"/>
              <w:rPr>
                <w:sz w:val="20"/>
                <w:szCs w:val="20"/>
                <w:color w:val="auto"/>
              </w:rPr>
            </w:pPr>
            <w:r>
              <w:rPr>
                <w:rFonts w:ascii="Arial" w:cs="Arial" w:eastAsia="Arial" w:hAnsi="Arial"/>
                <w:sz w:val="12"/>
                <w:szCs w:val="12"/>
                <w:color w:val="auto"/>
              </w:rPr>
              <w:t>101.DEF</w:t>
            </w:r>
          </w:p>
        </w:tc>
        <w:tc>
          <w:tcPr>
            <w:tcW w:w="9840" w:type="dxa"/>
            <w:vAlign w:val="bottom"/>
          </w:tcPr>
          <w:p>
            <w:pPr>
              <w:ind w:left="40"/>
              <w:spacing w:after="0"/>
              <w:rPr>
                <w:sz w:val="20"/>
                <w:szCs w:val="20"/>
                <w:color w:val="auto"/>
              </w:rPr>
            </w:pPr>
            <w:r>
              <w:rPr>
                <w:rFonts w:ascii="Arial" w:cs="Arial" w:eastAsia="Arial" w:hAnsi="Arial"/>
                <w:sz w:val="12"/>
                <w:szCs w:val="12"/>
                <w:color w:val="auto"/>
              </w:rPr>
              <w:t>XBRL Taxonomy Extension Definition Linkbase.</w:t>
            </w:r>
          </w:p>
        </w:tc>
      </w:tr>
      <w:tr>
        <w:trPr>
          <w:trHeight w:val="144"/>
        </w:trPr>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840" w:type="dxa"/>
            <w:vAlign w:val="bottom"/>
            <w:shd w:val="clear" w:color="auto" w:fill="CCEEFF"/>
          </w:tcPr>
          <w:p>
            <w:pPr>
              <w:spacing w:after="0"/>
              <w:rPr>
                <w:sz w:val="12"/>
                <w:szCs w:val="12"/>
                <w:color w:val="auto"/>
              </w:rPr>
            </w:pPr>
          </w:p>
        </w:tc>
      </w:tr>
      <w:tr>
        <w:trPr>
          <w:trHeight w:val="144"/>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101.LAB</w:t>
            </w:r>
          </w:p>
        </w:tc>
        <w:tc>
          <w:tcPr>
            <w:tcW w:w="700" w:type="dxa"/>
            <w:vAlign w:val="bottom"/>
          </w:tcPr>
          <w:p>
            <w:pPr>
              <w:ind w:left="200"/>
              <w:spacing w:after="0"/>
              <w:rPr>
                <w:sz w:val="20"/>
                <w:szCs w:val="20"/>
                <w:color w:val="auto"/>
              </w:rPr>
            </w:pPr>
            <w:r>
              <w:rPr>
                <w:rFonts w:ascii="Arial" w:cs="Arial" w:eastAsia="Arial" w:hAnsi="Arial"/>
                <w:sz w:val="12"/>
                <w:szCs w:val="12"/>
                <w:color w:val="auto"/>
              </w:rPr>
              <w:t>101.LAB</w:t>
            </w:r>
          </w:p>
        </w:tc>
        <w:tc>
          <w:tcPr>
            <w:tcW w:w="9840" w:type="dxa"/>
            <w:vAlign w:val="bottom"/>
          </w:tcPr>
          <w:p>
            <w:pPr>
              <w:ind w:left="40"/>
              <w:spacing w:after="0"/>
              <w:rPr>
                <w:sz w:val="20"/>
                <w:szCs w:val="20"/>
                <w:color w:val="auto"/>
              </w:rPr>
            </w:pPr>
            <w:r>
              <w:rPr>
                <w:rFonts w:ascii="Arial" w:cs="Arial" w:eastAsia="Arial" w:hAnsi="Arial"/>
                <w:sz w:val="12"/>
                <w:szCs w:val="12"/>
                <w:color w:val="auto"/>
              </w:rPr>
              <w:t>XBRL Taxonomy Extension Label Linkbase.</w:t>
            </w:r>
          </w:p>
        </w:tc>
      </w:tr>
      <w:tr>
        <w:trPr>
          <w:trHeight w:val="144"/>
        </w:trPr>
        <w:tc>
          <w:tcPr>
            <w:tcW w:w="940" w:type="dxa"/>
            <w:vAlign w:val="bottom"/>
            <w:shd w:val="clear" w:color="auto" w:fill="CCEEFF"/>
          </w:tcPr>
          <w:p>
            <w:pPr>
              <w:spacing w:after="0"/>
              <w:rPr>
                <w:sz w:val="12"/>
                <w:szCs w:val="12"/>
                <w:color w:val="auto"/>
              </w:rPr>
            </w:pPr>
          </w:p>
        </w:tc>
        <w:tc>
          <w:tcPr>
            <w:tcW w:w="10540" w:type="dxa"/>
            <w:vAlign w:val="bottom"/>
            <w:gridSpan w:val="2"/>
            <w:shd w:val="clear" w:color="auto" w:fill="CCEEFF"/>
          </w:tcPr>
          <w:p>
            <w:pPr>
              <w:spacing w:after="0"/>
              <w:rPr>
                <w:sz w:val="12"/>
                <w:szCs w:val="12"/>
                <w:color w:val="auto"/>
              </w:rPr>
            </w:pPr>
          </w:p>
        </w:tc>
      </w:tr>
      <w:tr>
        <w:trPr>
          <w:trHeight w:val="153"/>
        </w:trPr>
        <w:tc>
          <w:tcPr>
            <w:tcW w:w="940" w:type="dxa"/>
            <w:vAlign w:val="bottom"/>
          </w:tcPr>
          <w:p>
            <w:pPr>
              <w:jc w:val="right"/>
              <w:ind w:right="140"/>
              <w:spacing w:after="0"/>
              <w:rPr>
                <w:sz w:val="20"/>
                <w:szCs w:val="20"/>
                <w:color w:val="auto"/>
              </w:rPr>
            </w:pPr>
            <w:r>
              <w:rPr>
                <w:rFonts w:ascii="Arial" w:cs="Arial" w:eastAsia="Arial" w:hAnsi="Arial"/>
                <w:sz w:val="12"/>
                <w:szCs w:val="12"/>
                <w:color w:val="auto"/>
              </w:rPr>
              <w:t>101.PRE</w:t>
            </w:r>
          </w:p>
        </w:tc>
        <w:tc>
          <w:tcPr>
            <w:tcW w:w="10540" w:type="dxa"/>
            <w:vAlign w:val="bottom"/>
            <w:gridSpan w:val="2"/>
          </w:tcPr>
          <w:p>
            <w:pPr>
              <w:ind w:left="200"/>
              <w:spacing w:after="0"/>
              <w:rPr>
                <w:sz w:val="20"/>
                <w:szCs w:val="20"/>
                <w:color w:val="auto"/>
              </w:rPr>
            </w:pPr>
            <w:r>
              <w:rPr>
                <w:rFonts w:ascii="Arial" w:cs="Arial" w:eastAsia="Arial" w:hAnsi="Arial"/>
                <w:sz w:val="12"/>
                <w:szCs w:val="12"/>
                <w:color w:val="auto"/>
              </w:rPr>
              <w:t>101.PRE 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337820</wp:posOffset>
            </wp:positionV>
            <wp:extent cx="74358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43585" cy="571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color w:val="auto"/>
        </w:rPr>
        <w:t>1 Denotes document filed as an exhibit to our Quarterly Report on Form 10-Q for the period ended March 31, 2014 and incorporated herein by reference.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2 Denotes document filed as an exhibit to our Current Report on Form 8-K for an event dated November 5, 2009 and incorporated herein by reference.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0" w:right="199" w:bottom="1440" w:gutter="0" w:footer="0" w:header="0"/>
        </w:sectPr>
      </w:pPr>
    </w:p>
    <w:bookmarkStart w:id="65" w:name="page66"/>
    <w:bookmarkEnd w:id="65"/>
    <w:p>
      <w:pPr>
        <w:ind w:left="5340"/>
        <w:spacing w:after="0"/>
        <w:rPr>
          <w:sz w:val="20"/>
          <w:szCs w:val="20"/>
          <w:color w:val="auto"/>
        </w:rPr>
      </w:pPr>
      <w:r>
        <w:rPr>
          <w:rFonts w:ascii="Arial" w:cs="Arial" w:eastAsia="Arial" w:hAnsi="Arial"/>
          <w:sz w:val="12"/>
          <w:szCs w:val="12"/>
          <w:b w:val="1"/>
          <w:bCs w:val="1"/>
          <w:u w:val="single" w:color="auto"/>
          <w:color w:val="auto"/>
        </w:rPr>
        <w:t>SIGNATURES</w:t>
      </w:r>
    </w:p>
    <w:p>
      <w:pPr>
        <w:spacing w:after="0" w:line="200" w:lineRule="exact"/>
        <w:rPr>
          <w:sz w:val="20"/>
          <w:szCs w:val="20"/>
          <w:color w:val="auto"/>
        </w:rPr>
      </w:pPr>
    </w:p>
    <w:p>
      <w:pPr>
        <w:spacing w:after="0" w:line="29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40" w:type="dxa"/>
            <w:vAlign w:val="bottom"/>
          </w:tcPr>
          <w:p>
            <w:pPr>
              <w:spacing w:after="0"/>
              <w:rPr>
                <w:sz w:val="13"/>
                <w:szCs w:val="13"/>
                <w:color w:val="auto"/>
              </w:rPr>
            </w:pPr>
          </w:p>
        </w:tc>
        <w:tc>
          <w:tcPr>
            <w:tcW w:w="6660" w:type="dxa"/>
            <w:vAlign w:val="bottom"/>
            <w:gridSpan w:val="2"/>
          </w:tcPr>
          <w:p>
            <w:pPr>
              <w:ind w:left="2300"/>
              <w:spacing w:after="0"/>
              <w:rPr>
                <w:sz w:val="20"/>
                <w:szCs w:val="20"/>
                <w:color w:val="auto"/>
              </w:rPr>
            </w:pPr>
            <w:r>
              <w:rPr>
                <w:rFonts w:ascii="Arial" w:cs="Arial" w:eastAsia="Arial" w:hAnsi="Arial"/>
                <w:sz w:val="12"/>
                <w:szCs w:val="12"/>
                <w:b w:val="1"/>
                <w:bCs w:val="1"/>
                <w:color w:val="auto"/>
              </w:rPr>
              <w:t>KINGSTONE COMPANIES, INC.</w:t>
            </w:r>
          </w:p>
        </w:tc>
      </w:tr>
      <w:tr>
        <w:trPr>
          <w:trHeight w:val="295"/>
        </w:trPr>
        <w:tc>
          <w:tcPr>
            <w:tcW w:w="3440" w:type="dxa"/>
            <w:vAlign w:val="bottom"/>
          </w:tcPr>
          <w:p>
            <w:pPr>
              <w:spacing w:after="0"/>
              <w:rPr>
                <w:sz w:val="20"/>
                <w:szCs w:val="20"/>
                <w:color w:val="auto"/>
              </w:rPr>
            </w:pPr>
            <w:r>
              <w:rPr>
                <w:rFonts w:ascii="Arial" w:cs="Arial" w:eastAsia="Arial" w:hAnsi="Arial"/>
                <w:sz w:val="12"/>
                <w:szCs w:val="12"/>
                <w:color w:val="auto"/>
              </w:rPr>
              <w:t>Dated: August 12, 2015</w:t>
            </w:r>
          </w:p>
        </w:tc>
        <w:tc>
          <w:tcPr>
            <w:tcW w:w="2640" w:type="dxa"/>
            <w:vAlign w:val="bottom"/>
          </w:tcPr>
          <w:p>
            <w:pPr>
              <w:ind w:left="2300"/>
              <w:spacing w:after="0"/>
              <w:rPr>
                <w:sz w:val="20"/>
                <w:szCs w:val="20"/>
                <w:color w:val="auto"/>
              </w:rPr>
            </w:pPr>
            <w:r>
              <w:rPr>
                <w:rFonts w:ascii="Arial" w:cs="Arial" w:eastAsia="Arial" w:hAnsi="Arial"/>
                <w:sz w:val="12"/>
                <w:szCs w:val="1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Barry B. Goldstein</w:t>
            </w:r>
          </w:p>
        </w:tc>
      </w:tr>
      <w:tr>
        <w:trPr>
          <w:trHeight w:val="135"/>
        </w:trPr>
        <w:tc>
          <w:tcPr>
            <w:tcW w:w="34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020" w:type="dxa"/>
            <w:vAlign w:val="bottom"/>
          </w:tcPr>
          <w:p>
            <w:pPr>
              <w:spacing w:after="0" w:line="136" w:lineRule="exact"/>
              <w:rPr>
                <w:sz w:val="20"/>
                <w:szCs w:val="20"/>
                <w:color w:val="auto"/>
              </w:rPr>
            </w:pPr>
            <w:r>
              <w:rPr>
                <w:rFonts w:ascii="Arial" w:cs="Arial" w:eastAsia="Arial" w:hAnsi="Arial"/>
                <w:sz w:val="12"/>
                <w:szCs w:val="12"/>
                <w:color w:val="auto"/>
              </w:rPr>
              <w:t>Barry B. Goldstein</w:t>
            </w:r>
          </w:p>
        </w:tc>
      </w:tr>
      <w:tr>
        <w:trPr>
          <w:trHeight w:val="153"/>
        </w:trPr>
        <w:tc>
          <w:tcPr>
            <w:tcW w:w="34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2"/>
                <w:szCs w:val="12"/>
                <w:color w:val="auto"/>
              </w:rPr>
              <w:t>President</w:t>
            </w:r>
          </w:p>
        </w:tc>
      </w:tr>
      <w:tr>
        <w:trPr>
          <w:trHeight w:val="602"/>
        </w:trPr>
        <w:tc>
          <w:tcPr>
            <w:tcW w:w="3440" w:type="dxa"/>
            <w:vAlign w:val="bottom"/>
          </w:tcPr>
          <w:p>
            <w:pPr>
              <w:spacing w:after="0"/>
              <w:rPr>
                <w:sz w:val="20"/>
                <w:szCs w:val="20"/>
                <w:color w:val="auto"/>
              </w:rPr>
            </w:pPr>
            <w:r>
              <w:rPr>
                <w:rFonts w:ascii="Arial" w:cs="Arial" w:eastAsia="Arial" w:hAnsi="Arial"/>
                <w:sz w:val="12"/>
                <w:szCs w:val="12"/>
                <w:color w:val="auto"/>
              </w:rPr>
              <w:t>Dated: August 12, 2015</w:t>
            </w:r>
          </w:p>
        </w:tc>
        <w:tc>
          <w:tcPr>
            <w:tcW w:w="2640" w:type="dxa"/>
            <w:vAlign w:val="bottom"/>
          </w:tcPr>
          <w:p>
            <w:pPr>
              <w:ind w:left="2300"/>
              <w:spacing w:after="0"/>
              <w:rPr>
                <w:sz w:val="20"/>
                <w:szCs w:val="20"/>
                <w:color w:val="auto"/>
              </w:rPr>
            </w:pPr>
            <w:r>
              <w:rPr>
                <w:rFonts w:ascii="Arial" w:cs="Arial" w:eastAsia="Arial" w:hAnsi="Arial"/>
                <w:sz w:val="12"/>
                <w:szCs w:val="12"/>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Victor Brodsky</w:t>
            </w:r>
          </w:p>
        </w:tc>
      </w:tr>
      <w:tr>
        <w:trPr>
          <w:trHeight w:val="135"/>
        </w:trPr>
        <w:tc>
          <w:tcPr>
            <w:tcW w:w="34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020" w:type="dxa"/>
            <w:vAlign w:val="bottom"/>
          </w:tcPr>
          <w:p>
            <w:pPr>
              <w:spacing w:after="0" w:line="136" w:lineRule="exact"/>
              <w:rPr>
                <w:sz w:val="20"/>
                <w:szCs w:val="20"/>
                <w:color w:val="auto"/>
              </w:rPr>
            </w:pPr>
            <w:r>
              <w:rPr>
                <w:rFonts w:ascii="Arial" w:cs="Arial" w:eastAsia="Arial" w:hAnsi="Arial"/>
                <w:sz w:val="12"/>
                <w:szCs w:val="12"/>
                <w:color w:val="auto"/>
              </w:rPr>
              <w:t>Victor Brodsky</w:t>
            </w:r>
          </w:p>
        </w:tc>
      </w:tr>
      <w:tr>
        <w:trPr>
          <w:trHeight w:val="153"/>
        </w:trPr>
        <w:tc>
          <w:tcPr>
            <w:tcW w:w="34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14"/>
          <w:szCs w:val="14"/>
          <w:b w:val="1"/>
          <w:bCs w:val="1"/>
          <w:color w:val="auto"/>
        </w:rPr>
        <w:t>Exhibit 31.1</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CERTIFICATION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Barry Goldstein, certify that:</w:t>
      </w:r>
    </w:p>
    <w:p>
      <w:pPr>
        <w:spacing w:after="0" w:line="186" w:lineRule="exact"/>
        <w:rPr>
          <w:sz w:val="20"/>
          <w:szCs w:val="20"/>
          <w:color w:val="auto"/>
        </w:rPr>
      </w:pPr>
    </w:p>
    <w:p>
      <w:pPr>
        <w:ind w:left="228" w:hanging="228"/>
        <w:spacing w:after="0"/>
        <w:tabs>
          <w:tab w:leader="none" w:pos="2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I have reviewed this Form 10-Q of Kingstone Companies, Inc.;</w:t>
      </w:r>
    </w:p>
    <w:p>
      <w:pPr>
        <w:spacing w:after="0" w:line="186" w:lineRule="exact"/>
        <w:rPr>
          <w:rFonts w:ascii="Arial" w:cs="Arial" w:eastAsia="Arial" w:hAnsi="Arial"/>
          <w:sz w:val="12"/>
          <w:szCs w:val="12"/>
          <w:color w:val="auto"/>
        </w:rPr>
      </w:pPr>
    </w:p>
    <w:p>
      <w:pPr>
        <w:ind w:left="8" w:right="20" w:hanging="8"/>
        <w:spacing w:after="0" w:line="276" w:lineRule="auto"/>
        <w:tabs>
          <w:tab w:leader="none" w:pos="242" w:val="left"/>
        </w:tabs>
        <w:numPr>
          <w:ilvl w:val="0"/>
          <w:numId w:val="1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2"/>
          <w:szCs w:val="12"/>
          <w:color w:val="auto"/>
        </w:rPr>
      </w:pPr>
    </w:p>
    <w:p>
      <w:pPr>
        <w:ind w:left="8" w:right="60" w:hanging="8"/>
        <w:spacing w:after="0" w:line="276" w:lineRule="auto"/>
        <w:tabs>
          <w:tab w:leader="none" w:pos="242" w:val="left"/>
        </w:tabs>
        <w:numPr>
          <w:ilvl w:val="0"/>
          <w:numId w:val="1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50" w:lineRule="exact"/>
        <w:rPr>
          <w:rFonts w:ascii="Arial" w:cs="Arial" w:eastAsia="Arial" w:hAnsi="Arial"/>
          <w:sz w:val="12"/>
          <w:szCs w:val="12"/>
          <w:color w:val="auto"/>
        </w:rPr>
      </w:pPr>
    </w:p>
    <w:p>
      <w:pPr>
        <w:ind w:left="8" w:right="280" w:hanging="8"/>
        <w:spacing w:after="0" w:line="276" w:lineRule="auto"/>
        <w:tabs>
          <w:tab w:leader="none" w:pos="242"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32" w:lineRule="exact"/>
        <w:rPr>
          <w:rFonts w:ascii="Arial" w:cs="Arial" w:eastAsia="Arial" w:hAnsi="Arial"/>
          <w:sz w:val="12"/>
          <w:szCs w:val="12"/>
          <w:color w:val="auto"/>
        </w:rPr>
      </w:pPr>
    </w:p>
    <w:p>
      <w:pPr>
        <w:ind w:left="868" w:right="20" w:hanging="197"/>
        <w:spacing w:after="0" w:line="276" w:lineRule="auto"/>
        <w:tabs>
          <w:tab w:leader="none" w:pos="868" w:val="left"/>
        </w:tabs>
        <w:numPr>
          <w:ilvl w:val="1"/>
          <w:numId w:val="1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68" w:hanging="203"/>
        <w:spacing w:after="0" w:line="276" w:lineRule="auto"/>
        <w:tabs>
          <w:tab w:leader="none" w:pos="868" w:val="left"/>
        </w:tabs>
        <w:numPr>
          <w:ilvl w:val="1"/>
          <w:numId w:val="1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868" w:right="20" w:hanging="197"/>
        <w:spacing w:after="0" w:line="276" w:lineRule="auto"/>
        <w:tabs>
          <w:tab w:leader="none" w:pos="868" w:val="left"/>
        </w:tabs>
        <w:numPr>
          <w:ilvl w:val="1"/>
          <w:numId w:val="16"/>
        </w:numPr>
        <w:rPr>
          <w:rFonts w:ascii="Arial" w:cs="Arial" w:eastAsia="Arial" w:hAnsi="Arial"/>
          <w:sz w:val="12"/>
          <w:szCs w:val="12"/>
          <w:color w:val="auto"/>
        </w:rPr>
      </w:pPr>
      <w:r>
        <w:rPr>
          <w:rFonts w:ascii="Arial" w:cs="Arial" w:eastAsia="Arial" w:hAnsi="Arial"/>
          <w:sz w:val="12"/>
          <w:szCs w:val="12"/>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68" w:hanging="203"/>
        <w:spacing w:after="0" w:line="323" w:lineRule="auto"/>
        <w:tabs>
          <w:tab w:leader="none" w:pos="868" w:val="left"/>
        </w:tabs>
        <w:numPr>
          <w:ilvl w:val="1"/>
          <w:numId w:val="16"/>
        </w:numPr>
        <w:rPr>
          <w:rFonts w:ascii="Arial" w:cs="Arial" w:eastAsia="Arial" w:hAnsi="Arial"/>
          <w:sz w:val="11"/>
          <w:szCs w:val="11"/>
          <w:color w:val="auto"/>
        </w:rPr>
      </w:pPr>
      <w:r>
        <w:rPr>
          <w:rFonts w:ascii="Arial" w:cs="Arial" w:eastAsia="Arial" w:hAnsi="Arial"/>
          <w:sz w:val="11"/>
          <w:szCs w:val="11"/>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27" w:lineRule="exact"/>
        <w:rPr>
          <w:rFonts w:ascii="Arial" w:cs="Arial" w:eastAsia="Arial" w:hAnsi="Arial"/>
          <w:sz w:val="11"/>
          <w:szCs w:val="11"/>
          <w:color w:val="auto"/>
        </w:rPr>
      </w:pPr>
    </w:p>
    <w:p>
      <w:pPr>
        <w:ind w:left="8" w:right="180" w:hanging="8"/>
        <w:spacing w:after="0" w:line="276" w:lineRule="auto"/>
        <w:tabs>
          <w:tab w:leader="none" w:pos="242"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295" w:lineRule="exact"/>
        <w:rPr>
          <w:rFonts w:ascii="Arial" w:cs="Arial" w:eastAsia="Arial" w:hAnsi="Arial"/>
          <w:sz w:val="12"/>
          <w:szCs w:val="12"/>
          <w:color w:val="auto"/>
        </w:rPr>
      </w:pPr>
    </w:p>
    <w:p>
      <w:pPr>
        <w:ind w:left="868" w:hanging="197"/>
        <w:spacing w:after="0" w:line="276" w:lineRule="auto"/>
        <w:tabs>
          <w:tab w:leader="none" w:pos="868" w:val="left"/>
        </w:tabs>
        <w:numPr>
          <w:ilvl w:val="1"/>
          <w:numId w:val="1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32" w:lineRule="exact"/>
        <w:rPr>
          <w:rFonts w:ascii="Arial" w:cs="Arial" w:eastAsia="Arial" w:hAnsi="Arial"/>
          <w:sz w:val="12"/>
          <w:szCs w:val="12"/>
          <w:color w:val="auto"/>
        </w:rPr>
      </w:pPr>
    </w:p>
    <w:p>
      <w:pPr>
        <w:ind w:left="868" w:hanging="203"/>
        <w:spacing w:after="0"/>
        <w:tabs>
          <w:tab w:leader="none" w:pos="868" w:val="left"/>
        </w:tabs>
        <w:numPr>
          <w:ilvl w:val="1"/>
          <w:numId w:val="1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small business issuer’s internal control over financial reporting.</w:t>
      </w: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8160" w:type="dxa"/>
            <w:vAlign w:val="bottom"/>
          </w:tcPr>
          <w:p>
            <w:pPr>
              <w:spacing w:after="0"/>
              <w:rPr>
                <w:sz w:val="20"/>
                <w:szCs w:val="20"/>
                <w:color w:val="auto"/>
              </w:rPr>
            </w:pPr>
            <w:r>
              <w:rPr>
                <w:rFonts w:ascii="Arial" w:cs="Arial" w:eastAsia="Arial" w:hAnsi="Arial"/>
                <w:sz w:val="12"/>
                <w:szCs w:val="12"/>
                <w:color w:val="auto"/>
              </w:rPr>
              <w:t>Date: August 12, 2015</w:t>
            </w:r>
          </w:p>
        </w:tc>
        <w:tc>
          <w:tcPr>
            <w:tcW w:w="1320" w:type="dxa"/>
            <w:vAlign w:val="bottom"/>
            <w:gridSpan w:val="2"/>
          </w:tcPr>
          <w:p>
            <w:pPr>
              <w:spacing w:after="0"/>
              <w:rPr>
                <w:sz w:val="20"/>
                <w:szCs w:val="20"/>
                <w:color w:val="auto"/>
              </w:rPr>
            </w:pPr>
            <w:r>
              <w:rPr>
                <w:rFonts w:ascii="Arial" w:cs="Arial" w:eastAsia="Arial" w:hAnsi="Arial"/>
                <w:sz w:val="12"/>
                <w:szCs w:val="12"/>
                <w:color w:val="auto"/>
              </w:rPr>
              <w:t>/s/ Barry B. Goldstein</w:t>
            </w:r>
          </w:p>
        </w:tc>
      </w:tr>
      <w:tr>
        <w:trPr>
          <w:trHeight w:val="142"/>
        </w:trPr>
        <w:tc>
          <w:tcPr>
            <w:tcW w:w="8160" w:type="dxa"/>
            <w:vAlign w:val="bottom"/>
          </w:tcPr>
          <w:p>
            <w:pPr>
              <w:spacing w:after="0"/>
              <w:rPr>
                <w:sz w:val="12"/>
                <w:szCs w:val="12"/>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Barry B. Goldstein</w:t>
            </w:r>
          </w:p>
        </w:tc>
        <w:tc>
          <w:tcPr>
            <w:tcW w:w="280" w:type="dxa"/>
            <w:vAlign w:val="bottom"/>
          </w:tcPr>
          <w:p>
            <w:pPr>
              <w:spacing w:after="0"/>
              <w:rPr>
                <w:sz w:val="12"/>
                <w:szCs w:val="12"/>
                <w:color w:val="auto"/>
              </w:rPr>
            </w:pPr>
          </w:p>
        </w:tc>
      </w:tr>
      <w:tr>
        <w:trPr>
          <w:trHeight w:val="153"/>
        </w:trPr>
        <w:tc>
          <w:tcPr>
            <w:tcW w:w="8160" w:type="dxa"/>
            <w:vAlign w:val="bottom"/>
          </w:tcPr>
          <w:p>
            <w:pPr>
              <w:spacing w:after="0"/>
              <w:rPr>
                <w:sz w:val="13"/>
                <w:szCs w:val="13"/>
                <w:color w:val="auto"/>
              </w:rPr>
            </w:pPr>
          </w:p>
        </w:tc>
        <w:tc>
          <w:tcPr>
            <w:tcW w:w="1320" w:type="dxa"/>
            <w:vAlign w:val="bottom"/>
            <w:gridSpan w:val="2"/>
          </w:tcPr>
          <w:p>
            <w:pPr>
              <w:spacing w:after="0"/>
              <w:rPr>
                <w:sz w:val="20"/>
                <w:szCs w:val="20"/>
                <w:color w:val="auto"/>
              </w:rPr>
            </w:pPr>
            <w:r>
              <w:rPr>
                <w:rFonts w:ascii="Arial" w:cs="Arial" w:eastAsia="Arial" w:hAnsi="Arial"/>
                <w:sz w:val="12"/>
                <w:szCs w:val="12"/>
                <w:color w:val="auto"/>
                <w:w w:val="92"/>
              </w:rPr>
              <w:t>Principal Executive Officer</w:t>
            </w:r>
          </w:p>
        </w:tc>
      </w:tr>
    </w:tbl>
    <w:p>
      <w:pPr>
        <w:sectPr>
          <w:pgSz w:w="11900" w:h="16838" w:orient="portrait"/>
          <w:cols w:equalWidth="0" w:num="1">
            <w:col w:w="11488"/>
          </w:cols>
          <w:pgMar w:left="212" w:top="122" w:right="199"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b w:val="1"/>
          <w:bCs w:val="1"/>
          <w:color w:val="auto"/>
        </w:rPr>
        <w:t>Exhibit 31.2</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u w:val="single" w:color="auto"/>
          <w:color w:val="auto"/>
        </w:rPr>
        <w:t>CERTIFICATION</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Victor Brodsky, certify that:</w:t>
      </w:r>
    </w:p>
    <w:p>
      <w:pPr>
        <w:spacing w:after="0" w:line="186" w:lineRule="exact"/>
        <w:rPr>
          <w:sz w:val="20"/>
          <w:szCs w:val="20"/>
          <w:color w:val="auto"/>
        </w:rPr>
      </w:pPr>
    </w:p>
    <w:p>
      <w:pPr>
        <w:ind w:left="228" w:hanging="228"/>
        <w:spacing w:after="0"/>
        <w:tabs>
          <w:tab w:leader="none" w:pos="2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I have reviewed this Form 10-Q of Kingstone Companies, Inc.;</w:t>
      </w:r>
    </w:p>
    <w:p>
      <w:pPr>
        <w:spacing w:after="0" w:line="186" w:lineRule="exact"/>
        <w:rPr>
          <w:rFonts w:ascii="Arial" w:cs="Arial" w:eastAsia="Arial" w:hAnsi="Arial"/>
          <w:sz w:val="12"/>
          <w:szCs w:val="12"/>
          <w:color w:val="auto"/>
        </w:rPr>
      </w:pPr>
    </w:p>
    <w:p>
      <w:pPr>
        <w:ind w:left="8" w:right="20" w:hanging="8"/>
        <w:spacing w:after="0" w:line="276" w:lineRule="auto"/>
        <w:tabs>
          <w:tab w:leader="none" w:pos="242" w:val="left"/>
        </w:tabs>
        <w:numPr>
          <w:ilvl w:val="0"/>
          <w:numId w:val="1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2"/>
          <w:szCs w:val="12"/>
          <w:color w:val="auto"/>
        </w:rPr>
      </w:pPr>
    </w:p>
    <w:p>
      <w:pPr>
        <w:ind w:left="8" w:right="60" w:hanging="8"/>
        <w:spacing w:after="0" w:line="276" w:lineRule="auto"/>
        <w:tabs>
          <w:tab w:leader="none" w:pos="242" w:val="left"/>
        </w:tabs>
        <w:numPr>
          <w:ilvl w:val="0"/>
          <w:numId w:val="1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50" w:lineRule="exact"/>
        <w:rPr>
          <w:rFonts w:ascii="Arial" w:cs="Arial" w:eastAsia="Arial" w:hAnsi="Arial"/>
          <w:sz w:val="12"/>
          <w:szCs w:val="12"/>
          <w:color w:val="auto"/>
        </w:rPr>
      </w:pPr>
    </w:p>
    <w:p>
      <w:pPr>
        <w:ind w:left="8" w:right="280" w:hanging="8"/>
        <w:spacing w:after="0" w:line="276" w:lineRule="auto"/>
        <w:tabs>
          <w:tab w:leader="none" w:pos="242"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32" w:lineRule="exact"/>
        <w:rPr>
          <w:rFonts w:ascii="Arial" w:cs="Arial" w:eastAsia="Arial" w:hAnsi="Arial"/>
          <w:sz w:val="12"/>
          <w:szCs w:val="12"/>
          <w:color w:val="auto"/>
        </w:rPr>
      </w:pPr>
    </w:p>
    <w:p>
      <w:pPr>
        <w:ind w:left="868" w:right="20" w:hanging="197"/>
        <w:spacing w:after="0" w:line="276" w:lineRule="auto"/>
        <w:tabs>
          <w:tab w:leader="none" w:pos="868"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68" w:hanging="203"/>
        <w:spacing w:after="0" w:line="276" w:lineRule="auto"/>
        <w:tabs>
          <w:tab w:leader="none" w:pos="868"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868" w:right="20" w:hanging="197"/>
        <w:spacing w:after="0" w:line="276" w:lineRule="auto"/>
        <w:tabs>
          <w:tab w:leader="none" w:pos="868" w:val="left"/>
        </w:tabs>
        <w:numPr>
          <w:ilvl w:val="1"/>
          <w:numId w:val="17"/>
        </w:numPr>
        <w:rPr>
          <w:rFonts w:ascii="Arial" w:cs="Arial" w:eastAsia="Arial" w:hAnsi="Arial"/>
          <w:sz w:val="12"/>
          <w:szCs w:val="12"/>
          <w:color w:val="auto"/>
        </w:rPr>
      </w:pPr>
      <w:r>
        <w:rPr>
          <w:rFonts w:ascii="Arial" w:cs="Arial" w:eastAsia="Arial" w:hAnsi="Arial"/>
          <w:sz w:val="12"/>
          <w:szCs w:val="12"/>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68" w:hanging="203"/>
        <w:spacing w:after="0" w:line="323" w:lineRule="auto"/>
        <w:tabs>
          <w:tab w:leader="none" w:pos="868" w:val="left"/>
        </w:tabs>
        <w:numPr>
          <w:ilvl w:val="1"/>
          <w:numId w:val="17"/>
        </w:numPr>
        <w:rPr>
          <w:rFonts w:ascii="Arial" w:cs="Arial" w:eastAsia="Arial" w:hAnsi="Arial"/>
          <w:sz w:val="11"/>
          <w:szCs w:val="11"/>
          <w:color w:val="auto"/>
        </w:rPr>
      </w:pPr>
      <w:r>
        <w:rPr>
          <w:rFonts w:ascii="Arial" w:cs="Arial" w:eastAsia="Arial" w:hAnsi="Arial"/>
          <w:sz w:val="11"/>
          <w:szCs w:val="11"/>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27" w:lineRule="exact"/>
        <w:rPr>
          <w:rFonts w:ascii="Arial" w:cs="Arial" w:eastAsia="Arial" w:hAnsi="Arial"/>
          <w:sz w:val="11"/>
          <w:szCs w:val="11"/>
          <w:color w:val="auto"/>
        </w:rPr>
      </w:pPr>
    </w:p>
    <w:p>
      <w:pPr>
        <w:ind w:left="8" w:right="180" w:hanging="8"/>
        <w:spacing w:after="0" w:line="276" w:lineRule="auto"/>
        <w:tabs>
          <w:tab w:leader="none" w:pos="242"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295" w:lineRule="exact"/>
        <w:rPr>
          <w:rFonts w:ascii="Arial" w:cs="Arial" w:eastAsia="Arial" w:hAnsi="Arial"/>
          <w:sz w:val="12"/>
          <w:szCs w:val="12"/>
          <w:color w:val="auto"/>
        </w:rPr>
      </w:pPr>
    </w:p>
    <w:p>
      <w:pPr>
        <w:ind w:left="868" w:hanging="197"/>
        <w:spacing w:after="0" w:line="276" w:lineRule="auto"/>
        <w:tabs>
          <w:tab w:leader="none" w:pos="868" w:val="left"/>
        </w:tabs>
        <w:numPr>
          <w:ilvl w:val="1"/>
          <w:numId w:val="1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32" w:lineRule="exact"/>
        <w:rPr>
          <w:rFonts w:ascii="Arial" w:cs="Arial" w:eastAsia="Arial" w:hAnsi="Arial"/>
          <w:sz w:val="12"/>
          <w:szCs w:val="12"/>
          <w:color w:val="auto"/>
        </w:rPr>
      </w:pPr>
    </w:p>
    <w:p>
      <w:pPr>
        <w:ind w:left="868" w:hanging="203"/>
        <w:spacing w:after="0"/>
        <w:tabs>
          <w:tab w:leader="none" w:pos="868" w:val="left"/>
        </w:tabs>
        <w:numPr>
          <w:ilvl w:val="1"/>
          <w:numId w:val="1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small business issuer’s internal control over financial reporting.</w:t>
      </w: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8160" w:type="dxa"/>
            <w:vAlign w:val="bottom"/>
          </w:tcPr>
          <w:p>
            <w:pPr>
              <w:spacing w:after="0"/>
              <w:rPr>
                <w:sz w:val="20"/>
                <w:szCs w:val="20"/>
                <w:color w:val="auto"/>
              </w:rPr>
            </w:pPr>
            <w:r>
              <w:rPr>
                <w:rFonts w:ascii="Arial" w:cs="Arial" w:eastAsia="Arial" w:hAnsi="Arial"/>
                <w:sz w:val="12"/>
                <w:szCs w:val="12"/>
                <w:color w:val="auto"/>
              </w:rPr>
              <w:t>Date: August 12, 2015</w:t>
            </w:r>
          </w:p>
        </w:tc>
        <w:tc>
          <w:tcPr>
            <w:tcW w:w="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2"/>
              </w:rPr>
              <w:t>/s/ Victor Brodsky</w:t>
            </w:r>
          </w:p>
        </w:tc>
        <w:tc>
          <w:tcPr>
            <w:tcW w:w="400" w:type="dxa"/>
            <w:vAlign w:val="bottom"/>
          </w:tcPr>
          <w:p>
            <w:pPr>
              <w:spacing w:after="0"/>
              <w:rPr>
                <w:sz w:val="12"/>
                <w:szCs w:val="12"/>
                <w:color w:val="auto"/>
              </w:rPr>
            </w:pPr>
          </w:p>
        </w:tc>
      </w:tr>
      <w:tr>
        <w:trPr>
          <w:trHeight w:val="142"/>
        </w:trPr>
        <w:tc>
          <w:tcPr>
            <w:tcW w:w="8160" w:type="dxa"/>
            <w:vAlign w:val="bottom"/>
          </w:tcPr>
          <w:p>
            <w:pPr>
              <w:spacing w:after="0"/>
              <w:rPr>
                <w:sz w:val="12"/>
                <w:szCs w:val="12"/>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rPr>
              <w:t>Victor Brodsky</w:t>
            </w:r>
          </w:p>
        </w:tc>
      </w:tr>
      <w:tr>
        <w:trPr>
          <w:trHeight w:val="153"/>
        </w:trPr>
        <w:tc>
          <w:tcPr>
            <w:tcW w:w="816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2"/>
                <w:szCs w:val="12"/>
                <w:color w:val="auto"/>
                <w:w w:val="92"/>
              </w:rPr>
              <w:t>Principal Financial Officer</w:t>
            </w:r>
          </w:p>
        </w:tc>
      </w:tr>
    </w:tbl>
    <w:p>
      <w:pPr>
        <w:sectPr>
          <w:pgSz w:w="11900" w:h="16838" w:orient="portrait"/>
          <w:cols w:equalWidth="0" w:num="1">
            <w:col w:w="11488"/>
          </w:cols>
          <w:pgMar w:left="212" w:top="122" w:right="199" w:bottom="1440" w:gutter="0" w:footer="0" w:header="0"/>
        </w:sectPr>
      </w:pPr>
    </w:p>
    <w:bookmarkStart w:id="68" w:name="page69"/>
    <w:bookmarkEnd w:id="68"/>
    <w:p>
      <w:pPr>
        <w:jc w:val="right"/>
        <w:spacing w:after="0"/>
        <w:rPr>
          <w:sz w:val="20"/>
          <w:szCs w:val="20"/>
          <w:color w:val="auto"/>
        </w:rPr>
      </w:pPr>
      <w:r>
        <w:rPr>
          <w:rFonts w:ascii="Arial" w:cs="Arial" w:eastAsia="Arial" w:hAnsi="Arial"/>
          <w:sz w:val="12"/>
          <w:szCs w:val="12"/>
          <w:b w:val="1"/>
          <w:bCs w:val="1"/>
          <w:color w:val="auto"/>
        </w:rPr>
        <w:t>Exhibit 32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AND CHIEF FINANCIAL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undersigned hereby certify, pursuant to, and as required by, 18 U.S.C. Section 1350, as adopted pursuant to Section 906 of the Sarbanes-Oxley Act of 2002, that the Quarterly Report of Kingstone Companies, Inc. (the “Company”) on Form 10-Q for the period ended June 30, 2015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0" w:type="dxa"/>
            <w:vAlign w:val="bottom"/>
          </w:tcPr>
          <w:p>
            <w:pPr>
              <w:spacing w:after="0"/>
              <w:rPr>
                <w:sz w:val="20"/>
                <w:szCs w:val="20"/>
                <w:color w:val="auto"/>
              </w:rPr>
            </w:pPr>
            <w:r>
              <w:rPr>
                <w:rFonts w:ascii="Arial" w:cs="Arial" w:eastAsia="Arial" w:hAnsi="Arial"/>
                <w:sz w:val="12"/>
                <w:szCs w:val="12"/>
                <w:color w:val="auto"/>
              </w:rPr>
              <w:t>Date: August 12, 2015</w:t>
            </w: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91"/>
              </w:rPr>
              <w:t>/s/ Barry B. Goldstein</w:t>
            </w:r>
          </w:p>
        </w:tc>
        <w:tc>
          <w:tcPr>
            <w:tcW w:w="100" w:type="dxa"/>
            <w:vAlign w:val="bottom"/>
          </w:tcPr>
          <w:p>
            <w:pPr>
              <w:spacing w:after="0"/>
              <w:rPr>
                <w:sz w:val="12"/>
                <w:szCs w:val="12"/>
                <w:color w:val="auto"/>
              </w:rPr>
            </w:pPr>
          </w:p>
        </w:tc>
      </w:tr>
      <w:tr>
        <w:trPr>
          <w:trHeight w:val="142"/>
        </w:trPr>
        <w:tc>
          <w:tcPr>
            <w:tcW w:w="7800" w:type="dxa"/>
            <w:vAlign w:val="bottom"/>
          </w:tcPr>
          <w:p>
            <w:pPr>
              <w:spacing w:after="0"/>
              <w:rPr>
                <w:sz w:val="12"/>
                <w:szCs w:val="12"/>
                <w:color w:val="auto"/>
              </w:rPr>
            </w:pPr>
          </w:p>
        </w:tc>
        <w:tc>
          <w:tcPr>
            <w:tcW w:w="1160" w:type="dxa"/>
            <w:vAlign w:val="bottom"/>
            <w:gridSpan w:val="3"/>
          </w:tcPr>
          <w:p>
            <w:pPr>
              <w:spacing w:after="0"/>
              <w:rPr>
                <w:sz w:val="20"/>
                <w:szCs w:val="20"/>
                <w:color w:val="auto"/>
              </w:rPr>
            </w:pPr>
            <w:r>
              <w:rPr>
                <w:rFonts w:ascii="Arial" w:cs="Arial" w:eastAsia="Arial" w:hAnsi="Arial"/>
                <w:sz w:val="12"/>
                <w:szCs w:val="12"/>
                <w:color w:val="auto"/>
              </w:rPr>
              <w:t>Barry B. Goldstein</w:t>
            </w:r>
          </w:p>
        </w:tc>
      </w:tr>
      <w:tr>
        <w:trPr>
          <w:trHeight w:val="153"/>
        </w:trPr>
        <w:tc>
          <w:tcPr>
            <w:tcW w:w="780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Arial" w:cs="Arial" w:eastAsia="Arial" w:hAnsi="Arial"/>
                <w:sz w:val="12"/>
                <w:szCs w:val="12"/>
                <w:color w:val="auto"/>
                <w:w w:val="93"/>
              </w:rPr>
              <w:t>Chief Executive Officer</w:t>
            </w:r>
          </w:p>
        </w:tc>
      </w:tr>
      <w:tr>
        <w:trPr>
          <w:trHeight w:val="261"/>
        </w:trPr>
        <w:tc>
          <w:tcPr>
            <w:tcW w:w="7800" w:type="dxa"/>
            <w:vAlign w:val="bottom"/>
          </w:tcPr>
          <w:p>
            <w:pPr>
              <w:spacing w:after="0"/>
              <w:rPr>
                <w:sz w:val="22"/>
                <w:szCs w:val="22"/>
                <w:color w:val="auto"/>
              </w:rPr>
            </w:pPr>
          </w:p>
        </w:tc>
        <w:tc>
          <w:tcPr>
            <w:tcW w:w="1160" w:type="dxa"/>
            <w:vAlign w:val="bottom"/>
            <w:gridSpan w:val="3"/>
          </w:tcPr>
          <w:p>
            <w:pPr>
              <w:spacing w:after="0"/>
              <w:rPr>
                <w:sz w:val="20"/>
                <w:szCs w:val="20"/>
                <w:color w:val="auto"/>
              </w:rPr>
            </w:pPr>
            <w:r>
              <w:rPr>
                <w:rFonts w:ascii="Arial" w:cs="Arial" w:eastAsia="Arial" w:hAnsi="Arial"/>
                <w:sz w:val="12"/>
                <w:szCs w:val="12"/>
                <w:color w:val="auto"/>
              </w:rPr>
              <w:t>/s/ Victor Brodsky</w:t>
            </w:r>
          </w:p>
        </w:tc>
      </w:tr>
      <w:tr>
        <w:trPr>
          <w:trHeight w:val="142"/>
        </w:trPr>
        <w:tc>
          <w:tcPr>
            <w:tcW w:w="7800" w:type="dxa"/>
            <w:vAlign w:val="bottom"/>
          </w:tcPr>
          <w:p>
            <w:pPr>
              <w:spacing w:after="0"/>
              <w:rPr>
                <w:sz w:val="12"/>
                <w:szCs w:val="12"/>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Victor Brodsky</w:t>
            </w:r>
          </w:p>
        </w:tc>
        <w:tc>
          <w:tcPr>
            <w:tcW w:w="280" w:type="dxa"/>
            <w:vAlign w:val="bottom"/>
            <w:gridSpan w:val="2"/>
          </w:tcPr>
          <w:p>
            <w:pPr>
              <w:spacing w:after="0"/>
              <w:rPr>
                <w:sz w:val="12"/>
                <w:szCs w:val="12"/>
                <w:color w:val="auto"/>
              </w:rPr>
            </w:pPr>
          </w:p>
        </w:tc>
      </w:tr>
      <w:tr>
        <w:trPr>
          <w:trHeight w:val="153"/>
        </w:trPr>
        <w:tc>
          <w:tcPr>
            <w:tcW w:w="780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Arial" w:cs="Arial" w:eastAsia="Arial" w:hAnsi="Arial"/>
                <w:sz w:val="12"/>
                <w:szCs w:val="12"/>
                <w:color w:val="auto"/>
                <w:w w:val="96"/>
              </w:rPr>
              <w:t>Chief Financial Officer</w:t>
            </w:r>
          </w:p>
        </w:tc>
      </w:tr>
    </w:tbl>
    <w:p>
      <w:pPr>
        <w:spacing w:after="0" w:line="1" w:lineRule="exact"/>
        <w:rPr>
          <w:sz w:val="20"/>
          <w:szCs w:val="20"/>
          <w:color w:val="auto"/>
        </w:rPr>
      </w:pP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upperLetter"/>
      <w:start w:val="1"/>
    </w:lvl>
    <w:lvl w:ilvl="1">
      <w:lvlJc w:val="left"/>
      <w:lvlText w:val="(%2)"/>
      <w:numFmt w:val="decimal"/>
      <w:start w:val="2"/>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32"/>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2020-01-24T05:21:55Z</dcterms:created>
  <dcterms:modified xsi:type="dcterms:W3CDTF">2020-01-24T05:21:55Z</dcterms:modified>
</cp:coreProperties>
</file>