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FORM 10-Q</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17"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255"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For the quarterly period ended March 31, 2016</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OR</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218"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For the transition period from _________to _________</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Commission File Number 0-1665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KINGSTONE COMPANIES, INC.</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240" w:top="302" w:right="359" w:bottom="1440" w:gutter="0" w:footer="0" w:header="0"/>
        </w:sectPr>
      </w:pPr>
    </w:p>
    <w:p>
      <w:pPr>
        <w:spacing w:after="0" w:line="223" w:lineRule="exact"/>
        <w:rPr>
          <w:sz w:val="24"/>
          <w:szCs w:val="24"/>
          <w:color w:val="auto"/>
        </w:rPr>
      </w:pPr>
    </w:p>
    <w:p>
      <w:pPr>
        <w:jc w:val="center"/>
        <w:ind w:left="480"/>
        <w:spacing w:after="0"/>
        <w:rPr>
          <w:sz w:val="20"/>
          <w:szCs w:val="20"/>
          <w:color w:val="auto"/>
        </w:rPr>
      </w:pPr>
      <w:r>
        <w:rPr>
          <w:rFonts w:ascii="Arial" w:cs="Arial" w:eastAsia="Arial" w:hAnsi="Arial"/>
          <w:sz w:val="17"/>
          <w:szCs w:val="17"/>
          <w:b w:val="1"/>
          <w:bCs w:val="1"/>
          <w:color w:val="auto"/>
        </w:rPr>
        <w:t>Delaware</w:t>
      </w:r>
    </w:p>
    <w:p>
      <w:pPr>
        <w:spacing w:after="0" w:line="28" w:lineRule="exact"/>
        <w:rPr>
          <w:sz w:val="24"/>
          <w:szCs w:val="24"/>
          <w:color w:val="auto"/>
        </w:rPr>
      </w:pPr>
    </w:p>
    <w:p>
      <w:pPr>
        <w:jc w:val="center"/>
        <w:ind w:left="48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620"/>
        <w:spacing w:after="0"/>
        <w:rPr>
          <w:sz w:val="20"/>
          <w:szCs w:val="20"/>
          <w:color w:val="auto"/>
        </w:rPr>
      </w:pPr>
      <w:r>
        <w:rPr>
          <w:rFonts w:ascii="Arial" w:cs="Arial" w:eastAsia="Arial" w:hAnsi="Arial"/>
          <w:sz w:val="17"/>
          <w:szCs w:val="17"/>
          <w:b w:val="1"/>
          <w:bCs w:val="1"/>
          <w:color w:val="auto"/>
        </w:rPr>
        <w:t>36-2476480</w:t>
      </w:r>
    </w:p>
    <w:p>
      <w:pPr>
        <w:spacing w:after="0" w:line="28"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5980" w:space="720"/>
            <w:col w:w="4600"/>
          </w:cols>
          <w:pgMar w:left="240" w:top="302" w:right="359" w:bottom="1440" w:gutter="0" w:footer="0" w:header="0"/>
          <w:type w:val="continuous"/>
        </w:sectPr>
      </w:pP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15 Joys Lane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Kingston, NY 12401</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(845) 802-7900</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33"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2" w:lineRule="exact"/>
        <w:rPr>
          <w:sz w:val="24"/>
          <w:szCs w:val="24"/>
          <w:color w:val="auto"/>
        </w:rPr>
      </w:pPr>
    </w:p>
    <w:p>
      <w:pPr>
        <w:ind w:right="240"/>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2" w:lineRule="exact"/>
        <w:rPr>
          <w:sz w:val="24"/>
          <w:szCs w:val="24"/>
          <w:color w:val="auto"/>
        </w:rPr>
      </w:pPr>
    </w:p>
    <w:p>
      <w:pPr>
        <w:ind w:right="560"/>
        <w:spacing w:after="0" w:line="31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00"/>
          </w:cols>
          <w:pgMar w:left="240" w:top="302" w:right="359" w:bottom="1440" w:gutter="0" w:footer="0" w:header="0"/>
          <w:type w:val="continuous"/>
        </w:sectPr>
      </w:pPr>
    </w:p>
    <w:p>
      <w:pPr>
        <w:spacing w:after="0" w:line="167" w:lineRule="exact"/>
        <w:rPr>
          <w:sz w:val="24"/>
          <w:szCs w:val="24"/>
          <w:color w:val="auto"/>
        </w:rPr>
      </w:pPr>
    </w:p>
    <w:p>
      <w:pPr>
        <w:ind w:left="30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Non-accelerated filer 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49" w:lineRule="exact"/>
        <w:rPr>
          <w:sz w:val="24"/>
          <w:szCs w:val="24"/>
          <w:color w:val="auto"/>
        </w:rPr>
      </w:pPr>
    </w:p>
    <w:p>
      <w:pPr>
        <w:sectPr>
          <w:pgSz w:w="11900" w:h="16838" w:orient="portrait"/>
          <w:cols w:equalWidth="0" w:num="4">
            <w:col w:w="2200" w:space="720"/>
            <w:col w:w="1660" w:space="720"/>
            <w:col w:w="3200" w:space="720"/>
            <w:col w:w="2080"/>
          </w:cols>
          <w:pgMar w:left="240" w:top="302" w:right="359" w:bottom="1440" w:gutter="0" w:footer="0" w:header="0"/>
          <w:type w:val="continuous"/>
        </w:sectPr>
      </w:pPr>
    </w:p>
    <w:p>
      <w:pPr>
        <w:spacing w:after="0" w:line="2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p>
    <w:p>
      <w:pPr>
        <w:spacing w:after="0" w:line="299" w:lineRule="exact"/>
        <w:rPr>
          <w:sz w:val="24"/>
          <w:szCs w:val="24"/>
          <w:color w:val="auto"/>
        </w:rPr>
      </w:pPr>
    </w:p>
    <w:p>
      <w:pPr>
        <w:spacing w:after="0"/>
        <w:rPr>
          <w:sz w:val="20"/>
          <w:szCs w:val="20"/>
          <w:color w:val="auto"/>
        </w:rPr>
      </w:pPr>
      <w:r>
        <w:rPr>
          <w:rFonts w:ascii="Arial" w:cs="Arial" w:eastAsia="Arial" w:hAnsi="Arial"/>
          <w:sz w:val="17"/>
          <w:szCs w:val="17"/>
          <w:color w:val="auto"/>
        </w:rPr>
        <w:t>As of May 12, 2016 there were 7,912,375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5741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11300"/>
          </w:cols>
          <w:pgMar w:left="240" w:top="30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0860" w:type="dxa"/>
            <w:vAlign w:val="bottom"/>
            <w:gridSpan w:val="21"/>
          </w:tcPr>
          <w:p>
            <w:pPr>
              <w:spacing w:after="0"/>
              <w:rPr>
                <w:sz w:val="20"/>
                <w:szCs w:val="20"/>
                <w:color w:val="auto"/>
              </w:rPr>
            </w:pPr>
            <w:r>
              <w:rPr>
                <w:rFonts w:ascii="Arial" w:cs="Arial" w:eastAsia="Arial" w:hAnsi="Arial"/>
                <w:sz w:val="17"/>
                <w:szCs w:val="17"/>
                <w:b w:val="1"/>
                <w:bCs w:val="1"/>
                <w:color w:val="auto"/>
              </w:rPr>
              <w:t>PART I — FINANCIAL INFORMATION</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4">
              <w:r>
                <w:rPr>
                  <w:rFonts w:ascii="Arial" w:cs="Arial" w:eastAsia="Arial" w:hAnsi="Arial"/>
                  <w:sz w:val="17"/>
                  <w:szCs w:val="17"/>
                  <w:color w:val="0000EE"/>
                </w:rPr>
                <w:t>Item 1 —  Financial Statements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16"/>
            <w:shd w:val="clear" w:color="auto" w:fill="CCEEFF"/>
          </w:tcPr>
          <w:p>
            <w:pPr>
              <w:spacing w:after="0" w:line="167"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Balance Sheets at March 31, 2016 (Unaudited) and December 31, 2015</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9420" w:type="dxa"/>
            <w:vAlign w:val="bottom"/>
            <w:tcBorders>
              <w:bottom w:val="single" w:sz="8" w:color="0000EE"/>
            </w:tcBorders>
            <w:gridSpan w:val="15"/>
            <w:shd w:val="clear" w:color="auto" w:fill="CCEEFF"/>
          </w:tcPr>
          <w:p>
            <w:pPr>
              <w:spacing w:after="0" w:line="167"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Condensed Consolidated Statements of Income and Comprehensive Income for the three months ended March 31, 2016 (Unaudited) and</w:t>
              </w:r>
            </w:hyperlink>
          </w:p>
        </w:tc>
        <w:tc>
          <w:tcPr>
            <w:tcW w:w="4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820" w:type="dxa"/>
            <w:vAlign w:val="bottom"/>
            <w:gridSpan w:val="16"/>
            <w:shd w:val="clear" w:color="auto" w:fill="CCEEFF"/>
          </w:tcPr>
          <w:p>
            <w:pPr>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2015 (Unaudited)</w:t>
              </w:r>
            </w:hyperlink>
          </w:p>
        </w:tc>
        <w:tc>
          <w:tcPr>
            <w:tcW w:w="5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16"/>
            <w:shd w:val="clear" w:color="auto" w:fill="CCEEFF"/>
          </w:tcPr>
          <w:p>
            <w:pPr>
              <w:spacing w:after="0" w:line="167" w:lineRule="exact"/>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 of Stockholders’ Equity for the three months ended March 31, 2016 (Unaudited)</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16"/>
            <w:shd w:val="clear" w:color="auto" w:fill="CCEEFF"/>
          </w:tcPr>
          <w:p>
            <w:pPr>
              <w:spacing w:after="0" w:line="167" w:lineRule="exact"/>
              <w:rPr>
                <w:rFonts w:ascii="Arial" w:cs="Arial" w:eastAsia="Arial" w:hAnsi="Arial"/>
                <w:sz w:val="17"/>
                <w:szCs w:val="17"/>
                <w:color w:val="0000EE"/>
                <w:w w:val="99"/>
              </w:rPr>
            </w:pPr>
            <w:hyperlink w:anchor="page7">
              <w:r>
                <w:rPr>
                  <w:rFonts w:ascii="Arial" w:cs="Arial" w:eastAsia="Arial" w:hAnsi="Arial"/>
                  <w:sz w:val="17"/>
                  <w:szCs w:val="17"/>
                  <w:color w:val="0000EE"/>
                  <w:w w:val="99"/>
                </w:rPr>
                <w:t>Condensed Consolidated Statements of Cash Flows for the three months ended March 31, 2016 (Unaudited) and 2015 (Unaudited)</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16"/>
            <w:shd w:val="clear" w:color="auto" w:fill="CCEEFF"/>
          </w:tcPr>
          <w:p>
            <w:pPr>
              <w:spacing w:after="0" w:line="167" w:lineRule="exact"/>
              <w:rPr>
                <w:rFonts w:ascii="Arial" w:cs="Arial" w:eastAsia="Arial" w:hAnsi="Arial"/>
                <w:sz w:val="17"/>
                <w:szCs w:val="17"/>
                <w:color w:val="0000EE"/>
              </w:rPr>
            </w:pPr>
            <w:hyperlink w:anchor="page8">
              <w:r>
                <w:rPr>
                  <w:rFonts w:ascii="Arial" w:cs="Arial" w:eastAsia="Arial" w:hAnsi="Arial"/>
                  <w:sz w:val="17"/>
                  <w:szCs w:val="17"/>
                  <w:color w:val="0000EE"/>
                </w:rPr>
                <w:t>Notes to Condensed Consolidated Financial Statements (Unaudited)</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34">
              <w:r>
                <w:rPr>
                  <w:rFonts w:ascii="Arial" w:cs="Arial" w:eastAsia="Arial" w:hAnsi="Arial"/>
                  <w:sz w:val="17"/>
                  <w:szCs w:val="17"/>
                  <w:color w:val="0000EE"/>
                </w:rPr>
                <w:t>Item 2 —  Management’s Discussion and Analysis of Financial Condition and Results of Operations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7">
              <w:r>
                <w:rPr>
                  <w:rFonts w:ascii="Arial" w:cs="Arial" w:eastAsia="Arial" w:hAnsi="Arial"/>
                  <w:sz w:val="17"/>
                  <w:szCs w:val="17"/>
                  <w:color w:val="0000EE"/>
                </w:rPr>
                <w:t>Item 3 —  Quantitative and Qualitative Disclosures About Market Risk</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7">
              <w:r>
                <w:rPr>
                  <w:rFonts w:ascii="Arial" w:cs="Arial" w:eastAsia="Arial" w:hAnsi="Arial"/>
                  <w:sz w:val="17"/>
                  <w:szCs w:val="17"/>
                  <w:color w:val="0000EE"/>
                </w:rPr>
                <w:t>Item 4 —  Controls and Procedures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10860" w:type="dxa"/>
            <w:vAlign w:val="bottom"/>
            <w:gridSpan w:val="21"/>
          </w:tcPr>
          <w:p>
            <w:pPr>
              <w:spacing w:after="0"/>
              <w:rPr>
                <w:sz w:val="20"/>
                <w:szCs w:val="20"/>
                <w:color w:val="auto"/>
              </w:rPr>
            </w:pPr>
            <w:r>
              <w:rPr>
                <w:rFonts w:ascii="Arial" w:cs="Arial" w:eastAsia="Arial" w:hAnsi="Arial"/>
                <w:sz w:val="17"/>
                <w:szCs w:val="17"/>
                <w:b w:val="1"/>
                <w:bCs w:val="1"/>
                <w:color w:val="auto"/>
              </w:rPr>
              <w:t>PART II — OTHER INFORMATION</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8">
              <w:r>
                <w:rPr>
                  <w:rFonts w:ascii="Arial" w:cs="Arial" w:eastAsia="Arial" w:hAnsi="Arial"/>
                  <w:sz w:val="17"/>
                  <w:szCs w:val="17"/>
                  <w:color w:val="0000EE"/>
                </w:rPr>
                <w:t>Item 1 —  Legal Proceedings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8">
              <w:r>
                <w:rPr>
                  <w:rFonts w:ascii="Arial" w:cs="Arial" w:eastAsia="Arial" w:hAnsi="Arial"/>
                  <w:sz w:val="17"/>
                  <w:szCs w:val="17"/>
                  <w:color w:val="0000EE"/>
                </w:rPr>
                <w:t>Item 1A —Risk Factors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8">
              <w:r>
                <w:rPr>
                  <w:rFonts w:ascii="Arial" w:cs="Arial" w:eastAsia="Arial" w:hAnsi="Arial"/>
                  <w:sz w:val="17"/>
                  <w:szCs w:val="17"/>
                  <w:color w:val="0000EE"/>
                </w:rPr>
                <w:t>Item 2 —  Unregistered Sales of Equity Securities and Use of Proceeds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8">
              <w:r>
                <w:rPr>
                  <w:rFonts w:ascii="Arial" w:cs="Arial" w:eastAsia="Arial" w:hAnsi="Arial"/>
                  <w:sz w:val="17"/>
                  <w:szCs w:val="17"/>
                  <w:color w:val="0000EE"/>
                </w:rPr>
                <w:t>Item 3 —  Defaults Upon Senior Securities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8">
              <w:r>
                <w:rPr>
                  <w:rFonts w:ascii="Arial" w:cs="Arial" w:eastAsia="Arial" w:hAnsi="Arial"/>
                  <w:sz w:val="17"/>
                  <w:szCs w:val="17"/>
                  <w:color w:val="0000EE"/>
                </w:rPr>
                <w:t>Item 4 —  Mine Safety Disclosures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8">
              <w:r>
                <w:rPr>
                  <w:rFonts w:ascii="Arial" w:cs="Arial" w:eastAsia="Arial" w:hAnsi="Arial"/>
                  <w:sz w:val="17"/>
                  <w:szCs w:val="17"/>
                  <w:color w:val="0000EE"/>
                </w:rPr>
                <w:t>Item 5 —  Other Information</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20" w:type="dxa"/>
            <w:vAlign w:val="bottom"/>
            <w:gridSpan w:val="19"/>
            <w:shd w:val="clear" w:color="auto" w:fill="CCEEFF"/>
          </w:tcPr>
          <w:p>
            <w:pPr>
              <w:spacing w:after="0" w:line="167" w:lineRule="exact"/>
              <w:rPr>
                <w:rFonts w:ascii="Arial" w:cs="Arial" w:eastAsia="Arial" w:hAnsi="Arial"/>
                <w:sz w:val="17"/>
                <w:szCs w:val="17"/>
                <w:color w:val="0000EE"/>
              </w:rPr>
            </w:pPr>
            <w:hyperlink w:anchor="page59">
              <w:r>
                <w:rPr>
                  <w:rFonts w:ascii="Arial" w:cs="Arial" w:eastAsia="Arial" w:hAnsi="Arial"/>
                  <w:sz w:val="17"/>
                  <w:szCs w:val="17"/>
                  <w:color w:val="0000EE"/>
                </w:rPr>
                <w:t>Item 6 —  Exhibits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0840" w:type="dxa"/>
            <w:vAlign w:val="bottom"/>
            <w:gridSpan w:val="20"/>
            <w:shd w:val="clear" w:color="auto" w:fill="CCEEFF"/>
          </w:tcPr>
          <w:p>
            <w:pPr>
              <w:spacing w:after="0" w:line="167" w:lineRule="exact"/>
              <w:rPr>
                <w:rFonts w:ascii="Arial" w:cs="Arial" w:eastAsia="Arial" w:hAnsi="Arial"/>
                <w:sz w:val="17"/>
                <w:szCs w:val="17"/>
                <w:color w:val="0000EE"/>
              </w:rPr>
            </w:pPr>
            <w:hyperlink w:anchor="page60">
              <w:r>
                <w:rPr>
                  <w:rFonts w:ascii="Arial" w:cs="Arial" w:eastAsia="Arial" w:hAnsi="Arial"/>
                  <w:sz w:val="17"/>
                  <w:szCs w:val="17"/>
                  <w:color w:val="0000EE"/>
                </w:rPr>
                <w:t>Signatures</w:t>
              </w:r>
            </w:hyperlink>
          </w:p>
        </w:tc>
        <w:tc>
          <w:tcPr>
            <w:tcW w:w="5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1"/>
        </w:trPr>
        <w:tc>
          <w:tcPr>
            <w:tcW w:w="10860" w:type="dxa"/>
            <w:vAlign w:val="bottom"/>
            <w:gridSpan w:val="21"/>
          </w:tcPr>
          <w:p>
            <w:pPr>
              <w:spacing w:after="0"/>
              <w:rPr>
                <w:sz w:val="20"/>
                <w:szCs w:val="20"/>
                <w:color w:val="auto"/>
              </w:rPr>
            </w:pPr>
            <w:r>
              <w:rPr>
                <w:rFonts w:ascii="Arial" w:cs="Arial" w:eastAsia="Arial" w:hAnsi="Arial"/>
                <w:sz w:val="17"/>
                <w:szCs w:val="17"/>
                <w:color w:val="auto"/>
              </w:rPr>
              <w:t>EXHIBIT 3(a)</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860" w:type="dxa"/>
            <w:vAlign w:val="bottom"/>
            <w:gridSpan w:val="21"/>
          </w:tcPr>
          <w:p>
            <w:pPr>
              <w:spacing w:after="0"/>
              <w:rPr>
                <w:sz w:val="20"/>
                <w:szCs w:val="20"/>
                <w:color w:val="auto"/>
              </w:rPr>
            </w:pPr>
            <w:r>
              <w:rPr>
                <w:rFonts w:ascii="Arial" w:cs="Arial" w:eastAsia="Arial" w:hAnsi="Arial"/>
                <w:sz w:val="17"/>
                <w:szCs w:val="17"/>
                <w:color w:val="auto"/>
              </w:rPr>
              <w:t>EXHIBIT 3(b)</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860" w:type="dxa"/>
            <w:vAlign w:val="bottom"/>
            <w:gridSpan w:val="21"/>
          </w:tcPr>
          <w:p>
            <w:pPr>
              <w:spacing w:after="0"/>
              <w:rPr>
                <w:sz w:val="20"/>
                <w:szCs w:val="20"/>
                <w:color w:val="auto"/>
              </w:rPr>
            </w:pPr>
            <w:r>
              <w:rPr>
                <w:rFonts w:ascii="Arial" w:cs="Arial" w:eastAsia="Arial" w:hAnsi="Arial"/>
                <w:sz w:val="17"/>
                <w:szCs w:val="17"/>
                <w:color w:val="auto"/>
              </w:rPr>
              <w:t>EXHIBIT 31(a)</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EXHIBIT 31(b)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32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101.INS XBRL Instance Document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101.SCH XBRL Taxonomy Extension Schema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101.CAL XBRL Taxonomy Extension Calculation Linkbase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101.DEF XBRL Taxonomy Extension Definition Linkbase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101.LAB XBRL Taxonomy Extension Label Linkbase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101.PRE XBRL Taxonomy Extension Presentation Linkbase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2015 under “Factors That May Affect Future Results and Financial Condition.”</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14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rPr>
              <w:t>PART I. FINANCIAL INFORMATION</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3800" w:type="dxa"/>
            <w:vAlign w:val="bottom"/>
            <w:gridSpan w:val="2"/>
          </w:tcPr>
          <w:p>
            <w:pPr>
              <w:spacing w:after="0"/>
              <w:rPr>
                <w:sz w:val="20"/>
                <w:szCs w:val="20"/>
                <w:color w:val="auto"/>
              </w:rPr>
            </w:pPr>
            <w:r>
              <w:rPr>
                <w:rFonts w:ascii="Arial" w:cs="Arial" w:eastAsia="Arial" w:hAnsi="Arial"/>
                <w:sz w:val="17"/>
                <w:szCs w:val="17"/>
                <w:b w:val="1"/>
                <w:bCs w:val="1"/>
                <w:color w:val="auto"/>
              </w:rPr>
              <w:t>Financial Statements</w:t>
            </w:r>
            <w:r>
              <w:rPr>
                <w:rFonts w:ascii="Arial" w:cs="Arial" w:eastAsia="Arial" w:hAnsi="Arial"/>
                <w:sz w:val="17"/>
                <w:szCs w:val="17"/>
                <w:color w:val="auto"/>
              </w:rPr>
              <w:t>.</w:t>
            </w:r>
          </w:p>
        </w:tc>
        <w:tc>
          <w:tcPr>
            <w:tcW w:w="22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6500" w:type="dxa"/>
            <w:vAlign w:val="bottom"/>
            <w:gridSpan w:val="9"/>
          </w:tcPr>
          <w:p>
            <w:pPr>
              <w:jc w:val="right"/>
              <w:spacing w:after="0"/>
              <w:rPr>
                <w:sz w:val="20"/>
                <w:szCs w:val="20"/>
                <w:color w:val="auto"/>
              </w:rPr>
            </w:pPr>
            <w:r>
              <w:rPr>
                <w:rFonts w:ascii="Arial" w:cs="Arial" w:eastAsia="Arial" w:hAnsi="Arial"/>
                <w:sz w:val="17"/>
                <w:szCs w:val="17"/>
                <w:b w:val="1"/>
                <w:bCs w:val="1"/>
                <w:color w:val="auto"/>
              </w:rPr>
              <w:t>KINGSTONE COMPANIES, INC. AND SUBSIDIARIES</w:t>
            </w:r>
          </w:p>
        </w:tc>
        <w:tc>
          <w:tcPr>
            <w:tcW w:w="0" w:type="dxa"/>
            <w:vAlign w:val="bottom"/>
          </w:tcPr>
          <w:p>
            <w:pPr>
              <w:spacing w:after="0"/>
              <w:rPr>
                <w:sz w:val="1"/>
                <w:szCs w:val="1"/>
                <w:color w:val="auto"/>
              </w:rPr>
            </w:pPr>
          </w:p>
        </w:tc>
      </w:tr>
      <w:tr>
        <w:trPr>
          <w:trHeight w:val="231"/>
        </w:trPr>
        <w:tc>
          <w:tcPr>
            <w:tcW w:w="8800" w:type="dxa"/>
            <w:vAlign w:val="bottom"/>
            <w:gridSpan w:val="6"/>
          </w:tcPr>
          <w:p>
            <w:pPr>
              <w:spacing w:after="0"/>
              <w:rPr>
                <w:sz w:val="20"/>
                <w:szCs w:val="20"/>
                <w:color w:val="auto"/>
              </w:rPr>
            </w:pPr>
            <w:r>
              <w:rPr>
                <w:rFonts w:ascii="Arial" w:cs="Arial" w:eastAsia="Arial" w:hAnsi="Arial"/>
                <w:sz w:val="17"/>
                <w:szCs w:val="17"/>
                <w:b w:val="1"/>
                <w:bCs w:val="1"/>
                <w:color w:val="auto"/>
              </w:rPr>
              <w:t>Condensed Consolidated Balance Sheets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Asset</w:t>
            </w:r>
            <w:r>
              <w:rPr>
                <w:rFonts w:ascii="Arial" w:cs="Arial" w:eastAsia="Arial" w:hAnsi="Arial"/>
                <w:sz w:val="17"/>
                <w:szCs w:val="17"/>
                <w:color w:val="auto"/>
              </w:rPr>
              <w:t>s</w:t>
            </w:r>
          </w:p>
        </w:tc>
        <w:tc>
          <w:tcPr>
            <w:tcW w:w="1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5"/>
              <w:spacing w:after="0"/>
              <w:rPr>
                <w:sz w:val="20"/>
                <w:szCs w:val="20"/>
                <w:color w:val="auto"/>
              </w:rPr>
            </w:pPr>
            <w:r>
              <w:rPr>
                <w:rFonts w:ascii="Arial" w:cs="Arial" w:eastAsia="Arial" w:hAnsi="Arial"/>
                <w:sz w:val="17"/>
                <w:szCs w:val="17"/>
                <w:color w:val="auto"/>
                <w:w w:val="92"/>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6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gridSpan w:val="5"/>
            <w:shd w:val="clear" w:color="auto" w:fill="CCEEFF"/>
          </w:tcPr>
          <w:p>
            <w:pPr>
              <w:spacing w:after="0" w:line="194" w:lineRule="exact"/>
              <w:rPr>
                <w:sz w:val="20"/>
                <w:szCs w:val="20"/>
                <w:color w:val="auto"/>
              </w:rPr>
            </w:pPr>
            <w:r>
              <w:rPr>
                <w:rFonts w:ascii="Arial" w:cs="Arial" w:eastAsia="Arial" w:hAnsi="Arial"/>
                <w:sz w:val="17"/>
                <w:szCs w:val="17"/>
                <w:color w:val="auto"/>
                <w:w w:val="94"/>
              </w:rPr>
              <w:t>Fixed-maturity securities, held-to-maturity, at amortized cost (fair value of $5,366,630 at March 31, 2016 and $5,241,095 at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5,140,522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5,138,872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5"/>
          </w:tcPr>
          <w:p>
            <w:pPr>
              <w:spacing w:after="0" w:line="194" w:lineRule="exact"/>
              <w:rPr>
                <w:sz w:val="20"/>
                <w:szCs w:val="20"/>
                <w:color w:val="auto"/>
              </w:rPr>
            </w:pPr>
            <w:r>
              <w:rPr>
                <w:rFonts w:ascii="Arial" w:cs="Arial" w:eastAsia="Arial" w:hAnsi="Arial"/>
                <w:sz w:val="17"/>
                <w:szCs w:val="17"/>
                <w:color w:val="auto"/>
                <w:w w:val="93"/>
              </w:rPr>
              <w:t>Fixed-maturity securities, available-for-sale, at fair value (amortized cost of $71,617,357 at March 31, 2016 and $62,221,129</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0" w:type="dxa"/>
            <w:vAlign w:val="bottom"/>
            <w:gridSpan w:val="6"/>
          </w:tcPr>
          <w:p>
            <w:pPr>
              <w:spacing w:after="0"/>
              <w:rPr>
                <w:sz w:val="20"/>
                <w:szCs w:val="20"/>
                <w:color w:val="auto"/>
              </w:rPr>
            </w:pPr>
            <w:r>
              <w:rPr>
                <w:rFonts w:ascii="Arial" w:cs="Arial" w:eastAsia="Arial" w:hAnsi="Arial"/>
                <w:sz w:val="17"/>
                <w:szCs w:val="17"/>
                <w:color w:val="auto"/>
              </w:rPr>
              <w:t>at December 31, 2015)</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73,230,016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62,502,064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6"/>
              </w:rPr>
              <w:t>Equity securities, available-for-sale, at fair value (cost of $9,501,112 at March 31, 2016 and $8,751,537 at December 31,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10,025,750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9,204,270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Total 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88,396,288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76,845,206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5,579,224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13,551,372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Premiums receivable, net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10,522,191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10,621,655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Reinsurance receivables, net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35,830,346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31,270,235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Deferred policy acquisition costs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10,977,276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10,835,306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1,638,887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1,757,816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3,169,531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3,152,266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5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1,511,848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1,095,894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7"/>
                <w:szCs w:val="17"/>
                <w:b w:val="1"/>
                <w:bCs w:val="1"/>
                <w:color w:val="auto"/>
              </w:rPr>
              <w:t>Total asset</w:t>
            </w:r>
            <w:r>
              <w:rPr>
                <w:rFonts w:ascii="Arial" w:cs="Arial" w:eastAsia="Arial" w:hAnsi="Arial"/>
                <w:sz w:val="17"/>
                <w:szCs w:val="17"/>
                <w:color w:val="auto"/>
              </w:rPr>
              <w:t>s</w:t>
            </w:r>
          </w:p>
        </w:tc>
        <w:tc>
          <w:tcPr>
            <w:tcW w:w="1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157,625,591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149,129,750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7"/>
                <w:szCs w:val="17"/>
                <w:b w:val="1"/>
                <w:bCs w:val="1"/>
                <w:color w:val="auto"/>
              </w:rPr>
              <w:t>Liabilitie</w:t>
            </w:r>
            <w:r>
              <w:rPr>
                <w:rFonts w:ascii="Arial" w:cs="Arial" w:eastAsia="Arial" w:hAnsi="Arial"/>
                <w:sz w:val="17"/>
                <w:szCs w:val="17"/>
                <w:color w:val="auto"/>
              </w:rPr>
              <w:t>s</w:t>
            </w:r>
          </w:p>
        </w:tc>
        <w:tc>
          <w:tcPr>
            <w:tcW w:w="1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Loss and loss adjustment expense reserves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46,030,765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39,876,500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Unearned premiums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49,013,099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48,890,241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Advance premiums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1,731,862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1,199,376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Reinsurance balances payable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3,225,893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1,688,922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Deferred ceding commission revenue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6,416,209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6,435,068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2,960,922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4,826,603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917,127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263,622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1,106,310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672,190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2"/>
              </w:rPr>
              <w:t>Total liabilitie</w:t>
            </w:r>
            <w:r>
              <w:rPr>
                <w:rFonts w:ascii="Arial" w:cs="Arial" w:eastAsia="Arial" w:hAnsi="Arial"/>
                <w:sz w:val="17"/>
                <w:szCs w:val="17"/>
                <w:color w:val="auto"/>
                <w:w w:val="92"/>
              </w:rPr>
              <w:t>s</w:t>
            </w:r>
          </w:p>
        </w:tc>
        <w:tc>
          <w:tcPr>
            <w:tcW w:w="1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111,402,187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103,852,522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640" w:type="dxa"/>
            <w:vAlign w:val="bottom"/>
            <w:tcBorders>
              <w:top w:val="single" w:sz="8" w:color="CCEEFF"/>
            </w:tcBorders>
            <w:gridSpan w:val="2"/>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640" w:type="dxa"/>
            <w:vAlign w:val="bottom"/>
            <w:gridSpan w:val="2"/>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Preferred stock, $.01 par value; authorized 2,500,000 shares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640" w:type="dxa"/>
            <w:vAlign w:val="bottom"/>
            <w:gridSpan w:val="2"/>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gridSpan w:val="5"/>
          </w:tcPr>
          <w:p>
            <w:pPr>
              <w:spacing w:after="0" w:line="194" w:lineRule="exact"/>
              <w:rPr>
                <w:sz w:val="20"/>
                <w:szCs w:val="20"/>
                <w:color w:val="auto"/>
              </w:rPr>
            </w:pPr>
            <w:r>
              <w:rPr>
                <w:rFonts w:ascii="Arial" w:cs="Arial" w:eastAsia="Arial" w:hAnsi="Arial"/>
                <w:sz w:val="17"/>
                <w:szCs w:val="17"/>
                <w:color w:val="auto"/>
                <w:w w:val="92"/>
              </w:rPr>
              <w:t>Common stock, $.01 par value; authorized 20,000,000 shares; issued 8,289,606 shares at March 31, 2016 and December 31,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0" w:type="dxa"/>
            <w:vAlign w:val="bottom"/>
            <w:gridSpan w:val="6"/>
          </w:tcPr>
          <w:p>
            <w:pPr>
              <w:spacing w:after="0"/>
              <w:rPr>
                <w:sz w:val="20"/>
                <w:szCs w:val="20"/>
                <w:color w:val="auto"/>
              </w:rPr>
            </w:pPr>
            <w:r>
              <w:rPr>
                <w:rFonts w:ascii="Arial" w:cs="Arial" w:eastAsia="Arial" w:hAnsi="Arial"/>
                <w:sz w:val="17"/>
                <w:szCs w:val="17"/>
                <w:color w:val="auto"/>
              </w:rPr>
              <w:t>2015; outstanding 7,317,137 shares at March 31, 2016 and 7,328,637 shares at December 31, 2015</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82,896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82,896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Capital in excess of par</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33,019,316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32,987,082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1,410,614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484,220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13,688,654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13,605,225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48,201,480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47,159,423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Treasury stock, at cost, 972,469 shares at March 31, 2016 and 960,969 shares at December 31, 2015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(1,978,076)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(1,882,195)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5"/>
          </w:tcPr>
          <w:p>
            <w:pPr>
              <w:spacing w:after="0"/>
              <w:rPr>
                <w:sz w:val="20"/>
                <w:szCs w:val="20"/>
                <w:color w:val="auto"/>
              </w:rPr>
            </w:pPr>
            <w:r>
              <w:rPr>
                <w:rFonts w:ascii="Arial" w:cs="Arial" w:eastAsia="Arial" w:hAnsi="Arial"/>
                <w:sz w:val="17"/>
                <w:szCs w:val="17"/>
                <w:b w:val="1"/>
                <w:bCs w:val="1"/>
                <w:color w:val="auto"/>
              </w:rPr>
              <w:t>Total stockholders' equity</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46,223,404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45,277,228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640" w:type="dxa"/>
            <w:vAlign w:val="bottom"/>
            <w:gridSpan w:val="2"/>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5"/>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157,625,591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149,129,750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140" w:type="dxa"/>
            <w:vAlign w:val="bottom"/>
            <w:gridSpan w:val="3"/>
            <w:vMerge w:val="restart"/>
          </w:tcPr>
          <w:p>
            <w:pPr>
              <w:jc w:val="center"/>
              <w:ind w:right="40"/>
              <w:spacing w:after="0"/>
              <w:rPr>
                <w:sz w:val="20"/>
                <w:szCs w:val="20"/>
                <w:color w:val="auto"/>
              </w:rPr>
            </w:pPr>
            <w:r>
              <w:rPr>
                <w:rFonts w:ascii="Arial" w:cs="Arial" w:eastAsia="Arial" w:hAnsi="Arial"/>
                <w:sz w:val="17"/>
                <w:szCs w:val="17"/>
                <w:i w:val="1"/>
                <w:iCs w:val="1"/>
                <w:color w:val="auto"/>
                <w:w w:val="90"/>
              </w:rPr>
              <w:t>See accompanying notes to condensed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80" w:type="dxa"/>
            <w:vAlign w:val="bottom"/>
            <w:gridSpan w:val="3"/>
          </w:tcPr>
          <w:p>
            <w:pPr>
              <w:jc w:val="center"/>
              <w:ind w:left="3034"/>
              <w:spacing w:after="0"/>
              <w:rPr>
                <w:sz w:val="20"/>
                <w:szCs w:val="20"/>
                <w:color w:val="auto"/>
              </w:rPr>
            </w:pPr>
            <w:r>
              <w:rPr>
                <w:rFonts w:ascii="Arial" w:cs="Arial" w:eastAsia="Arial" w:hAnsi="Arial"/>
                <w:sz w:val="17"/>
                <w:szCs w:val="17"/>
                <w:color w:val="auto"/>
                <w:w w:val="84"/>
              </w:rPr>
              <w:t>4</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0" w:type="dxa"/>
            <w:vAlign w:val="bottom"/>
            <w:gridSpan w:val="2"/>
          </w:tcPr>
          <w:p>
            <w:pPr>
              <w:spacing w:after="0"/>
              <w:rPr>
                <w:sz w:val="20"/>
                <w:szCs w:val="20"/>
                <w:color w:val="auto"/>
              </w:rPr>
            </w:pPr>
            <w:r>
              <w:rPr>
                <w:rFonts w:ascii="Arial" w:cs="Arial" w:eastAsia="Arial" w:hAnsi="Arial"/>
                <w:sz w:val="17"/>
                <w:szCs w:val="17"/>
                <w:i w:val="1"/>
                <w:iCs w:val="1"/>
                <w:color w:val="auto"/>
              </w:rPr>
              <w:t>Three months ended March 31,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premiums earned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14,531,675</w:t>
            </w:r>
          </w:p>
        </w:tc>
        <w:tc>
          <w:tcPr>
            <w:tcW w:w="3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10,385,799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Ceding commission revenue</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2,770,337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3,089,404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813,057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574,656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Net realized gains (losses) on sales of investments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80,436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(67,494)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631,191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18,444,852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14,613,556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and loss adjustment expenses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9,483,855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7,063,217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Commission expense</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4,270,066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3,412,327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underwriting expenses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3,346,441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2,999,155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Other operating expenses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329,239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328,498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235,662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17,713,429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14,038,859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Income from operations before taxes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731,423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574,697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192,198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541,032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382,499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net of tax</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change in unrealized gains on available-for-sale-securities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1,484,064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705,574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adjustment for (gains) losses included in net income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(80,436)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67,494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Net change in unrealized gains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1,403,628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773,068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related to items of other comprehensive income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(477,234)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(262,843)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net of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926,394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510,225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1,467,426</w:t>
            </w:r>
          </w:p>
        </w:tc>
        <w:tc>
          <w:tcPr>
            <w:tcW w:w="30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892,724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Earnings per common share: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7,322,385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7,318,271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7,360,564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7,344,563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0.0625</w:t>
            </w:r>
          </w:p>
        </w:tc>
        <w:tc>
          <w:tcPr>
            <w:tcW w:w="30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0.0500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jc w:val="center"/>
              <w:ind w:left="2514"/>
              <w:spacing w:after="0"/>
              <w:rPr>
                <w:sz w:val="20"/>
                <w:szCs w:val="20"/>
                <w:color w:val="auto"/>
              </w:rPr>
            </w:pPr>
            <w:r>
              <w:rPr>
                <w:rFonts w:ascii="Arial" w:cs="Arial" w:eastAsia="Arial" w:hAnsi="Arial"/>
                <w:sz w:val="17"/>
                <w:szCs w:val="17"/>
                <w:i w:val="1"/>
                <w:iCs w:val="1"/>
                <w:color w:val="auto"/>
                <w:w w:val="90"/>
              </w:rPr>
              <w:t>See accompanying notes to condensed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800" w:type="dxa"/>
            <w:vAlign w:val="bottom"/>
            <w:gridSpan w:val="2"/>
          </w:tcPr>
          <w:p>
            <w:pPr>
              <w:jc w:val="right"/>
              <w:ind w:right="2954"/>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p>
      <w:pPr>
        <w:ind w:left="718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vMerge w:val="restart"/>
          </w:tcPr>
          <w:p>
            <w:pPr>
              <w:jc w:val="right"/>
              <w:ind w:right="111"/>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700" w:type="dxa"/>
            <w:vAlign w:val="bottom"/>
            <w:gridSpan w:val="3"/>
            <w:vMerge w:val="restart"/>
          </w:tcPr>
          <w:p>
            <w:pPr>
              <w:jc w:val="right"/>
              <w:ind w:right="316"/>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Borders>
              <w:bottom w:val="single" w:sz="8" w:color="auto"/>
            </w:tcBorders>
            <w:gridSpan w:val="5"/>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in Excess</w:t>
            </w: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Comprehensive</w:t>
            </w:r>
          </w:p>
        </w:tc>
        <w:tc>
          <w:tcPr>
            <w:tcW w:w="1080" w:type="dxa"/>
            <w:vAlign w:val="bottom"/>
            <w:gridSpan w:val="2"/>
            <w:vMerge w:val="continue"/>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Par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Balance, January 1, 2016</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8,289,606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82,896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$ 32,987,082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484,220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6"/>
              </w:rPr>
              <w:t>$ 13,605,225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960,969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6"/>
              </w:rPr>
              <w:t>$ (1,882,195)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$ 45,277,228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32,234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32,234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Acquisition of treasury</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(95,881)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(95,881)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gridSpan w:val="3"/>
          </w:tcPr>
          <w:p>
            <w:pPr>
              <w:spacing w:after="0"/>
              <w:rPr>
                <w:sz w:val="20"/>
                <w:szCs w:val="20"/>
                <w:color w:val="auto"/>
              </w:rPr>
            </w:pPr>
            <w:r>
              <w:rPr>
                <w:rFonts w:ascii="Arial" w:cs="Arial" w:eastAsia="Arial" w:hAnsi="Arial"/>
                <w:sz w:val="17"/>
                <w:szCs w:val="17"/>
                <w:color w:val="auto"/>
              </w:rPr>
              <w:t>Dividends</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(457,603)</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(457,603)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541,032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541,032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3"/>
          </w:tcPr>
          <w:p>
            <w:pPr>
              <w:spacing w:after="0" w:line="194" w:lineRule="exact"/>
              <w:rPr>
                <w:sz w:val="20"/>
                <w:szCs w:val="20"/>
                <w:color w:val="auto"/>
              </w:rPr>
            </w:pPr>
            <w:r>
              <w:rPr>
                <w:rFonts w:ascii="Arial" w:cs="Arial" w:eastAsia="Arial" w:hAnsi="Arial"/>
                <w:sz w:val="17"/>
                <w:szCs w:val="17"/>
                <w:color w:val="auto"/>
              </w:rPr>
              <w:t>Change in unrealized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80" w:type="dxa"/>
            <w:vAlign w:val="bottom"/>
            <w:gridSpan w:val="4"/>
          </w:tcPr>
          <w:p>
            <w:pPr>
              <w:spacing w:after="0"/>
              <w:rPr>
                <w:sz w:val="20"/>
                <w:szCs w:val="20"/>
                <w:color w:val="auto"/>
              </w:rPr>
            </w:pPr>
            <w:r>
              <w:rPr>
                <w:rFonts w:ascii="Arial" w:cs="Arial" w:eastAsia="Arial" w:hAnsi="Arial"/>
                <w:sz w:val="17"/>
                <w:szCs w:val="17"/>
                <w:color w:val="auto"/>
              </w:rPr>
              <w:t>gains on available-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for-sale securities, net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926,394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926,394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Balance, March 31, 2016</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11"/>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7"/>
                <w:szCs w:val="17"/>
                <w:color w:val="auto"/>
              </w:rPr>
              <w:t>8,289,606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82,896</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33,019,316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1,410,614</w:t>
            </w: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13,688,654</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972,469</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 xml:space="preserve"> (1,978,076</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46,223,404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4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flows provided by operating activities</w:t>
            </w: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541,032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382,499</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realized (gains) losses on sale of investments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(80,436)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67,494</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283,828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235,662</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Amortization of bond premium,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80,220</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Stock-based compensation</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32,234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38,892</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Excess tax benefit from exercise of stock options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(221,136)</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Deferred income tax expense</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(43,114)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(9,856)</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decrease in operating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Premiums receivable, net</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99,464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(481,267)</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Receivables - reinsurance contracts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(134,656)</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Reinsurance receivables, net</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(4,560,111)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(976,328)</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policy acquisition costs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(141,970)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(49,985)</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(666,404)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177,501</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(decrease) in operating liabilities: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Loss and loss adjustment expense reserves</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6,154,265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2,238,581</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Unearned premiums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122,858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468,420</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Advance premiums</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532,486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407,514</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Reinsurance balances payable</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1,536,971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(77,807)</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Deferred ceding commission revenue</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(18,859)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(53,978)</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Accounts payable, accrued expenses and 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(1,212,176)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(1,257,693)</w:t>
            </w:r>
          </w:p>
        </w:tc>
      </w:tr>
      <w:tr>
        <w:trPr>
          <w:trHeight w:val="26"/>
        </w:trPr>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2,672,714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834,077</w:t>
            </w:r>
          </w:p>
        </w:tc>
      </w:tr>
      <w:tr>
        <w:trPr>
          <w:trHeight w:val="206"/>
        </w:trPr>
        <w:tc>
          <w:tcPr>
            <w:tcW w:w="88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flows used in investing activities</w:t>
            </w: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 - fixed-maturity securities available-for-sale</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(15,890,742)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(3,349,181)</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Purchase - equity securities available-for-sale</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(1,831,513)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(1,145,558)</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 or maturity - fixed-maturity securities available-for-sale</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6,401,092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716,892</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Sale - equity securities available-for-sale</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1,161,501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Acquisition of fixed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(182,164)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(165,829)</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Other investing activities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250,448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3,170</w:t>
            </w:r>
          </w:p>
        </w:tc>
      </w:tr>
      <w:tr>
        <w:trPr>
          <w:trHeight w:val="26"/>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cash flows used in investing activitie</w:t>
            </w:r>
            <w:r>
              <w:rPr>
                <w:rFonts w:ascii="Arial" w:cs="Arial" w:eastAsia="Arial" w:hAnsi="Arial"/>
                <w:sz w:val="17"/>
                <w:szCs w:val="17"/>
                <w:color w:val="auto"/>
              </w:rPr>
              <w: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(10,091,378)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(3,940,506)</w:t>
            </w:r>
          </w:p>
        </w:tc>
      </w:tr>
      <w:tr>
        <w:trPr>
          <w:trHeight w:val="206"/>
        </w:trPr>
        <w:tc>
          <w:tcPr>
            <w:tcW w:w="8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used in financing activities</w:t>
            </w: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Withholding taxes paid on net exercise of stock options</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(243,662)</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Excess tax benefit from exercise of stock options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221,136</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Purchase of treasury stock</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(95,881)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(128,763)</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Dividends paid</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(457,603)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(365,505)</w:t>
            </w:r>
          </w:p>
        </w:tc>
      </w:tr>
      <w:tr>
        <w:trPr>
          <w:trHeight w:val="26"/>
        </w:trPr>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Net cash flows used in financing activitie</w:t>
            </w:r>
            <w:r>
              <w:rPr>
                <w:rFonts w:ascii="Arial" w:cs="Arial" w:eastAsia="Arial" w:hAnsi="Arial"/>
                <w:sz w:val="17"/>
                <w:szCs w:val="17"/>
                <w:color w:val="auto"/>
              </w:rPr>
              <w:t>s</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(553,484)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(516,794)</w:t>
            </w:r>
          </w:p>
        </w:tc>
      </w:tr>
      <w:tr>
        <w:trPr>
          <w:trHeight w:val="206"/>
        </w:trPr>
        <w:tc>
          <w:tcPr>
            <w:tcW w:w="88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Decrease in cash and cash equivalents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(7,972,148)</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(3,623,223)</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13,551,372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9,906,878</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5,579,224</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6,283,655</w:t>
            </w:r>
          </w:p>
        </w:tc>
      </w:tr>
      <w:tr>
        <w:trPr>
          <w:trHeight w:val="20"/>
        </w:trPr>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8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paid for income taxes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300,500</w:t>
            </w:r>
          </w:p>
        </w:tc>
      </w:tr>
      <w:tr>
        <w:trPr>
          <w:trHeight w:val="206"/>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7"/>
                <w:szCs w:val="17"/>
                <w:color w:val="auto"/>
              </w:rPr>
              <w:t>Value of shares deducted from exercise of stock options for payment of withholding taxes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243,662</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and Texas; however, KICO writes substantially all of its business in New York. Through March 31, 2015, Kingstone, through its wholly owned subsidiary, Payments Inc., a licensed premium finance company in the State of New York, received fees for placing contracts with a third party licensed premium finance company (see Note 11 – Premium Finance Placement Fees).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financial statements should be read in conjunction with the consolidated financial statements as of and for the year ended December 31, 2015 and notes thereto included in the Company’s Annual Report on Form 10-K filed with the SEC on March 24, 2016.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three months ended March 31, 2016 may not be indicative of the results that may be expected for the year ending December 31, 2016.</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consolidated financial statements consist of Kingstone and its wholly owned subsidiaries; (1) KICO and its wholly owned subsidiaries, CMIC Properties, Inc. (“Properties”) and 15 Joys Lane, LLC (“15 Joys Lane”), which together own the land and building from which KICO operates, and (2) Payments Inc. All significant inter-company transactions have been eliminated in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24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 Revenue from Contracts with Customers (Topic 606). The core principle of the new guidance is that an entity should recognize revenue to reflect the transfer of goods and services to customers in an amount equal to the consideration the entity receives or expects to receive. ASU No. 2014-09, as amended by ASU No. 2015-14, ASU No. 2016-08 and ASU No. 2016-10, is effective for annual reporting periods beginning after December 15, 2017, including interim periods within that reporting period. Early adoption is permitted for annual reporting periods beginning after December 15, 2016. The Company will apply the guidance using a modified retrospective approach. The Company does not expect these amendments to have a material effect on its consolidated financial statements.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May 2015, FASB issued ASU 2015-09, Financial Services – Insurance (Topic 944): Disclosures About Short-Duration Contracts. The updated accounting guidance requires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is effective for annual periods beginning after December 15, 2015, and interim periods beginning after December 15, 2016, and is to be applied retrospectively. The new guidance affects disclosures only and will have no impact on the Company’s results of operations or financial position.</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January of 2016, the FASB issued ASU 2016-01 – Financial Instruments –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9" w:name="page10"/>
    <w:bookmarkEnd w:id="9"/>
    <w:p>
      <w:pPr>
        <w:jc w:val="both"/>
        <w:spacing w:after="0" w:line="294" w:lineRule="auto"/>
        <w:rPr>
          <w:sz w:val="20"/>
          <w:szCs w:val="20"/>
          <w:color w:val="auto"/>
        </w:rPr>
      </w:pPr>
      <w:r>
        <w:rPr>
          <w:rFonts w:ascii="Arial" w:cs="Arial" w:eastAsia="Arial" w:hAnsi="Arial"/>
          <w:sz w:val="15"/>
          <w:szCs w:val="15"/>
          <w:color w:val="auto"/>
        </w:rPr>
        <w:t>In February 2016, FASB issued ASU No. 2016-02 – Leases (Topic 842). Under this ASU, lessees will recognize a right-of-use 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January 2016, the FASB issued ASU No. 2016-09 – Compensation - Stock Compensation (Topic 718): Improvements to Employee Share-Based Payment Accounting. The amendments are intended to improve the accounting for employee share-based payments. These amendments to current accounting guidance will require all income tax effects of awards to be recognized in the income statement when the awards vest or are settled rather than through additional paid in capital in the equity section of the balance sheet. The amendments also permit an employer to repurchase an employee’s shares at the maximum statutory tax rate in the employee’s applicable jurisdiction for tax withholding purposes without triggering liability accounting. Finally, the amendments permit entities to make a one-time accounting policy election to account for forfeitures as they occur. Specific adoption methods depend on the issue being adopted and range from prospective to retrospective adoption. Early adoption is permitted, however all amendments must be adopted in the same period. The Company is evaluating whether the adoption of ASU 2016-09 will have a significant impact on its consolidated results of operations, financial position or cash flows.</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3 -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Available-for-Sale Securities</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amortized cost and fair value of investments in available-for-sale fixed-maturity securities and equity securities as of March 31, 2016 and December 31, 2015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1"/>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More than 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220"/>
              <w:spacing w:after="0" w:line="156"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3320" w:type="dxa"/>
            <w:vAlign w:val="bottom"/>
            <w:gridSpan w:val="2"/>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10,211,142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490,669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10,694,241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483,099</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Industrial and miscellaneous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45,367,395</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1,247,820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(210,199)</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(59,298)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46,345,718</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978,323</w:t>
            </w: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Residential mortgage backed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16,038,820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188,141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(36,904)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16,190,057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151,237</w:t>
            </w:r>
          </w:p>
        </w:tc>
        <w:tc>
          <w:tcPr>
            <w:tcW w:w="0" w:type="dxa"/>
            <w:vAlign w:val="bottom"/>
          </w:tcPr>
          <w:p>
            <w:pPr>
              <w:spacing w:after="0"/>
              <w:rPr>
                <w:sz w:val="1"/>
                <w:szCs w:val="1"/>
                <w:color w:val="auto"/>
              </w:rPr>
            </w:pPr>
          </w:p>
        </w:tc>
      </w:tr>
      <w:tr>
        <w:trPr>
          <w:trHeight w:val="26"/>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Total fixed-maturity securities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71,617,357</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1,926,630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(249,613)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(64,358)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73,230,016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1,612,659</w:t>
            </w: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b w:val="1"/>
                <w:bCs w:val="1"/>
                <w:color w:val="auto"/>
              </w:rPr>
              <w:t>Equity Securities: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3,187,826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77,621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3,235,375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47,549</w:t>
            </w: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Common stocks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6,313,286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542,527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(65,438)</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6,790,375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477,089</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equity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9,501,112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620,148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(65,438)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10,025,750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524,638</w:t>
            </w:r>
          </w:p>
        </w:tc>
        <w:tc>
          <w:tcPr>
            <w:tcW w:w="0" w:type="dxa"/>
            <w:vAlign w:val="bottom"/>
          </w:tcPr>
          <w:p>
            <w:pPr>
              <w:spacing w:after="0"/>
              <w:rPr>
                <w:sz w:val="1"/>
                <w:szCs w:val="1"/>
                <w:color w:val="auto"/>
              </w:rPr>
            </w:pPr>
          </w:p>
        </w:tc>
      </w:tr>
      <w:tr>
        <w:trPr>
          <w:trHeight w:val="206"/>
        </w:trPr>
        <w:tc>
          <w:tcPr>
            <w:tcW w:w="3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81,118,469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2,546,778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(315,051)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(94,430)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83,255,766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2,137,297</w:t>
            </w:r>
          </w:p>
        </w:tc>
        <w:tc>
          <w:tcPr>
            <w:tcW w:w="0" w:type="dxa"/>
            <w:vAlign w:val="bottom"/>
          </w:tcPr>
          <w:p>
            <w:pPr>
              <w:spacing w:after="0"/>
              <w:rPr>
                <w:sz w:val="1"/>
                <w:szCs w:val="1"/>
                <w:color w:val="auto"/>
              </w:rPr>
            </w:pPr>
          </w:p>
        </w:tc>
      </w:tr>
      <w:tr>
        <w:trPr>
          <w:trHeight w:val="803"/>
        </w:trPr>
        <w:tc>
          <w:tcPr>
            <w:tcW w:w="3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1"/>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More than 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220"/>
              <w:spacing w:after="0" w:line="156"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3320" w:type="dxa"/>
            <w:vAlign w:val="bottom"/>
            <w:gridSpan w:val="3"/>
          </w:tcPr>
          <w:p>
            <w:pPr>
              <w:spacing w:after="0"/>
              <w:rPr>
                <w:sz w:val="20"/>
                <w:szCs w:val="20"/>
                <w:color w:val="auto"/>
              </w:rPr>
            </w:pPr>
            <w:r>
              <w:rPr>
                <w:rFonts w:ascii="Arial" w:cs="Arial" w:eastAsia="Arial" w:hAnsi="Arial"/>
                <w:sz w:val="17"/>
                <w:szCs w:val="17"/>
                <w:b w:val="1"/>
                <w:bCs w:val="1"/>
                <w:color w:val="auto"/>
              </w:rPr>
              <w:t>Fixed-Maturity Securities: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20" w:type="dxa"/>
            <w:vAlign w:val="bottom"/>
            <w:gridSpan w:val="3"/>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Territories and Possessions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12,139,793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431,194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12,555,098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415,305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Corporate and other bonds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Industrial and miscellaneous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45,078,044</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490,444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(512,427)</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(99,593)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44,956,468</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(121,576)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Residential mortgage backed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5,003,292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48,375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(61,169)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4,990,498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(12,794)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 fixed-maturity securities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62,221,129</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970,013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(589,485)</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(99,593)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62,502,064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280,935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b w:val="1"/>
                <w:bCs w:val="1"/>
                <w:color w:val="auto"/>
              </w:rPr>
              <w:t>Equity Securities: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Preferred stocks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2,874,173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70,799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2,915,650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41,477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Common stocks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5,877,364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514,977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(103,721)</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6,288,620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411,256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equity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8,751,537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585,776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(103,721)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9,204,270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452,733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70,972,666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1,555,789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(693,206)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(128,915)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71,706,334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733,668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 w:firstLine="34"/>
        <w:spacing w:after="0" w:line="280" w:lineRule="auto"/>
        <w:rPr>
          <w:sz w:val="20"/>
          <w:szCs w:val="20"/>
          <w:color w:val="auto"/>
        </w:rPr>
      </w:pPr>
      <w:r>
        <w:rPr>
          <w:rFonts w:ascii="Arial" w:cs="Arial" w:eastAsia="Arial" w:hAnsi="Arial"/>
          <w:sz w:val="17"/>
          <w:szCs w:val="17"/>
          <w:color w:val="auto"/>
        </w:rPr>
        <w:t>A summary of the amortized cost and fair value of the Company’s investments in available-for-sale fixed-maturity securities by contractual maturity as of March 31, 2016 and December 31, 2015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6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2015</w:t>
            </w:r>
          </w:p>
        </w:tc>
      </w:tr>
      <w:tr>
        <w:trPr>
          <w:trHeight w:val="179"/>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Amortized</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06"/>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1,960,172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1,989,139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827,246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837,918</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One to five years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21,829,957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22,476,966</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17,146,349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17,393,571</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30,423,009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31,171,743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37,877,726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37,884,450</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More than 10 years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1,365,399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1,402,111</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1,366,516</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1,395,627</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16,038,820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16,190,057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5,003,292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4,990,498</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71,617,357</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73,230,016</w:t>
            </w:r>
          </w:p>
        </w:tc>
        <w:tc>
          <w:tcPr>
            <w:tcW w:w="2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62,221,129</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62,502,064</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amortized cost and fair value of investments in held-to-maturity fixed-maturity securities as of March 31, 2016 and December 31, 2015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0"/>
                <w:szCs w:val="10"/>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25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Gross Unrealized Losses</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54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3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 than 12</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More than 12</w:t>
            </w:r>
          </w:p>
        </w:tc>
        <w:tc>
          <w:tcPr>
            <w:tcW w:w="220" w:type="dxa"/>
            <w:vAlign w:val="bottom"/>
          </w:tcPr>
          <w:p>
            <w:pPr>
              <w:spacing w:after="0"/>
              <w:rPr>
                <w:sz w:val="15"/>
                <w:szCs w:val="15"/>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5"/>
                <w:szCs w:val="15"/>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606,398</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147,641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754,039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147,641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Territories and Possessions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1,418,827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88,948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(66,215)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1,441,560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22,733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Corporate and other bonds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Industrial and miscellaneous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3,115,297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152,036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(96,077)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3,171,031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5,140,522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388,625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(162,292)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5,366,630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9"/>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1"/>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More than 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7"/>
              <w:spacing w:after="0" w:line="156"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960" w:type="dxa"/>
            <w:vAlign w:val="bottom"/>
          </w:tcPr>
          <w:p>
            <w:pPr>
              <w:jc w:val="center"/>
              <w:ind w:right="99"/>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Months</w:t>
            </w:r>
          </w:p>
        </w:tc>
        <w:tc>
          <w:tcPr>
            <w:tcW w:w="14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606,389</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147,650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754,039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147,650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Territories and Possessions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1,417,679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70,284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(54,189)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1,433,774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16,095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Corporate and other bonds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Industrial and miscellaneous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3,114,804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82,265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(17,980)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(125,807)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3,053,282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(61,522)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5,138,872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300,199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(179,996)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5,241,095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March 31, 2016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is shown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737"/>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2015</w:t>
            </w:r>
          </w:p>
        </w:tc>
      </w:tr>
      <w:tr>
        <w:trPr>
          <w:trHeight w:val="179"/>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06"/>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One to five years</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506,790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500,000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496,245</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4,034,124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4,105,801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4,032,483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3,990,811</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More than 10 years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606,398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754,039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606,389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754,039</w:t>
            </w:r>
          </w:p>
        </w:tc>
      </w:tr>
      <w:tr>
        <w:trPr>
          <w:trHeight w:val="26"/>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5,140,522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5,366,630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5,138,872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5,241,095</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9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-7620</wp:posOffset>
            </wp:positionV>
            <wp:extent cx="15982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Income: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664,476</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510,955</w:t>
            </w:r>
          </w:p>
        </w:tc>
        <w:tc>
          <w:tcPr>
            <w:tcW w:w="0" w:type="dxa"/>
            <w:vAlign w:val="bottom"/>
          </w:tcPr>
          <w:p>
            <w:pPr>
              <w:spacing w:after="0"/>
              <w:rPr>
                <w:sz w:val="1"/>
                <w:szCs w:val="1"/>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175,951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122,569</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Total</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846,873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633,618</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Investment expenses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33,816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58,962</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813,057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574,656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Proceeds from the sale and maturity of fixed-maturity securities were $6,401,092 and $716,892 for the three months ended March 31, 2016 and 2015,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$1,161,501 and $-0- for the three months ended March 31, 2016 and 2015,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Company’s net realized gains (losses) on investments are summarized as follows:</w:t>
      </w:r>
    </w:p>
    <w:p>
      <w:pPr>
        <w:spacing w:after="0" w:line="29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-7620</wp:posOffset>
            </wp:positionV>
            <wp:extent cx="15982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4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realized gains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106,417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Gross realized losses</w:t>
            </w: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(105,543)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(67,494)</w:t>
            </w:r>
          </w:p>
        </w:tc>
      </w:tr>
      <w:tr>
        <w:trPr>
          <w:trHeight w:val="26"/>
        </w:trPr>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(67,494)</w:t>
            </w:r>
          </w:p>
        </w:tc>
      </w:tr>
      <w:tr>
        <w:trPr>
          <w:trHeight w:val="206"/>
        </w:trPr>
        <w:tc>
          <w:tcPr>
            <w:tcW w:w="88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Gross realized gains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82,688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realized losses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Net realized gains (losses)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80,436</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(67,494)</w:t>
            </w:r>
          </w:p>
        </w:tc>
      </w:tr>
      <w:tr>
        <w:trPr>
          <w:trHeight w:val="20"/>
        </w:trPr>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Review</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March 31, 2016 and December 31, 2015, there were 32 and 57 securities, respectively, that accounted for the gross unrealized loss. The Company determined that none of the unrealized losses were deemed to be OTTI for its portfolio of fixed-maturity investments and equity securities for the three months ended March 31, 2016 and 2015.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The Company held securities with unrealized losses representing declines that were considered temporary at March 31, 2016 and December 31, 2015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March 31, 2016</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Less than 12 months</w:t>
            </w:r>
          </w:p>
        </w:tc>
        <w:tc>
          <w:tcPr>
            <w:tcW w:w="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12 months or more</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No. of</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Positions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7"/>
              </w:rPr>
              <w:t>Political subdivisions of States,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334,827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(2,510)</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339,627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(5,060)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674,454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(7,570)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Corporate and other bonds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5,269,173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(210,199)</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687,228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(59,298)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5,956,401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(269,497)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Residential mortgage backed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securities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1,614,256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(36,904)</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1,614,256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(36,904)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fixed-maturity securities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7,218,256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(249,613)</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1,026,855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(64,358)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8,245,111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(313,971)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701,250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(30,072)</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701,250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(30,072)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Common stocks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1,502,700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(65,438)</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1,502,700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(65,438)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1,502,700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(65,438)</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701,250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(30,072)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2,203,950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(95,510)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8,720,956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(315,051)</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1,728,105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(94,430)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10,449,061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(409,481)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December 31, 2015</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Less than 12 months</w:t>
            </w:r>
          </w:p>
        </w:tc>
        <w:tc>
          <w:tcPr>
            <w:tcW w:w="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12 months or more</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No. of</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Positions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7"/>
              </w:rPr>
              <w:t>Political subdivisions of States,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1,432,005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(15,889)</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1,432,005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(15,889)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Corporate and other bonds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18,424,609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(512,427)</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(99,593)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19,060,702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(612,020)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Residential mortgage backed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securities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2,413,980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(61,169)</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2,413,980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(61,169)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fixed-maturity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22,270,594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(589,485)</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(99,593)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22,906,687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(689,078)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(29,322)</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702,000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(29,322)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Common stocks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2,538,900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(103,721)</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2,538,900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(103,721)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2,538,900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(103,721)</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(29,322)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3,240,900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(133,043)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24,809,494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(693,206)</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1,338,093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(128,915)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26,147,587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(822,121)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 Company’s investments are allocated among pricing input levels at March 31, 2016 and December 31, 2015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Political subdivisions of States, Territories and Possessions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10,694,241</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10,694,241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and other bonds industrial and miscellaneous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39,440,630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6,905,088</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46,345,718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mortgage backed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16,190,057</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16,190,057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fixed maturities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39,440,630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33,789,386</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73,230,016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10,025,750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10,025,750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investments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49,466,380</w:t>
            </w:r>
          </w:p>
        </w:tc>
        <w:tc>
          <w:tcPr>
            <w:tcW w:w="22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33,789,386</w:t>
            </w:r>
          </w:p>
        </w:tc>
        <w:tc>
          <w:tcPr>
            <w:tcW w:w="240" w:type="dxa"/>
            <w:vAlign w:val="bottom"/>
          </w:tcPr>
          <w:p>
            <w:pPr>
              <w:spacing w:after="0"/>
              <w:rPr>
                <w:sz w:val="17"/>
                <w:szCs w:val="17"/>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83,255,766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Political subdivisions of States, Territories and Possessions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12,555,098</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12,555,098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and other bonds industrial and miscellaneous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37,964,006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6,992,462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44,956,468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mortgage backed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4,990,498</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4,990,498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fixed maturities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37,964,006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24,538,058</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62,502,064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9,204,270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9,204,270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investments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47,168,276</w:t>
            </w:r>
          </w:p>
        </w:tc>
        <w:tc>
          <w:tcPr>
            <w:tcW w:w="22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24,538,058</w:t>
            </w:r>
          </w:p>
        </w:tc>
        <w:tc>
          <w:tcPr>
            <w:tcW w:w="240" w:type="dxa"/>
            <w:vAlign w:val="bottom"/>
          </w:tcPr>
          <w:p>
            <w:pPr>
              <w:spacing w:after="0"/>
              <w:rPr>
                <w:sz w:val="17"/>
                <w:szCs w:val="17"/>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71,706,334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of Financial Instruments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its fair value disclosures for financial instruments: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Equity securities and fixed income securities available-for-sale: </w:t>
      </w:r>
      <w:r>
        <w:rPr>
          <w:rFonts w:ascii="Arial" w:cs="Arial" w:eastAsia="Arial" w:hAnsi="Arial"/>
          <w:sz w:val="17"/>
          <w:szCs w:val="17"/>
          <w:color w:val="auto"/>
        </w:rPr>
        <w:t>Fair value disclosures for these investments are included in “Note 3 - Investments.”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6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accompanying condensed consolidated balance sheets for these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approximate their fair values due to the short-term nature of the assets.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Real estate: </w:t>
      </w:r>
      <w:r>
        <w:rPr>
          <w:rFonts w:ascii="Arial" w:cs="Arial" w:eastAsia="Arial" w:hAnsi="Arial"/>
          <w:sz w:val="17"/>
          <w:szCs w:val="17"/>
          <w:color w:val="auto"/>
        </w:rPr>
        <w:t>The fair value of the land and building included in property and equipment, which is used in the Company’s operations, approximates the carrying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fair value was based on an appraisal dated September 8, 2015 prepared using the sales comparison approach and income approach, and accordingly the real estate is a Level 3 asset under the fair value hierarchy.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as of March 31, 2016 and December 31, 2015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736"/>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Carrying 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Carrying Value</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Fixed-maturity securities held-to-maturity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5,140,522</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5,366,630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5,138,872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5,241,095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5,579,224</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5,579,224</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13,551,372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13,551,372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10,522,191</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10,522,191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10,621,655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10,621,655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Reinsurance receivables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35,830,346</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35,830,346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31,270,235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31,270,235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Real estate, net of accumulated depreciation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1,698,035</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1,710,897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1,925,000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Reinsurance balances payable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3,225,893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3,225,893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1,688,922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1,688,922</w:t>
            </w:r>
          </w:p>
        </w:tc>
        <w:tc>
          <w:tcPr>
            <w:tcW w:w="0" w:type="dxa"/>
            <w:vAlign w:val="bottom"/>
          </w:tcPr>
          <w:p>
            <w:pPr>
              <w:spacing w:after="0"/>
              <w:rPr>
                <w:sz w:val="1"/>
                <w:szCs w:val="1"/>
                <w:color w:val="auto"/>
              </w:rPr>
            </w:pPr>
          </w:p>
        </w:tc>
      </w:tr>
      <w:tr>
        <w:trPr>
          <w:trHeight w:val="426"/>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Note 6 – Property and Casualty Insurance Activity</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Premiums Earned</w:t>
            </w: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060" w:type="dxa"/>
            <w:vAlign w:val="bottom"/>
            <w:gridSpan w:val="3"/>
          </w:tcPr>
          <w:p>
            <w:pPr>
              <w:spacing w:after="0"/>
              <w:rPr>
                <w:sz w:val="20"/>
                <w:szCs w:val="20"/>
                <w:color w:val="auto"/>
              </w:rPr>
            </w:pPr>
            <w:r>
              <w:rPr>
                <w:rFonts w:ascii="Arial" w:cs="Arial" w:eastAsia="Arial" w:hAnsi="Arial"/>
                <w:sz w:val="17"/>
                <w:szCs w:val="17"/>
                <w:color w:val="auto"/>
              </w:rPr>
              <w:t>Premiums written, ceded and earned are as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Direct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Assumed</w:t>
            </w:r>
          </w:p>
        </w:tc>
        <w:tc>
          <w:tcPr>
            <w:tcW w:w="10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Ceded</w:t>
            </w:r>
          </w:p>
        </w:tc>
        <w:tc>
          <w:tcPr>
            <w:tcW w:w="16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2"/>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Three months ended March 31, 2016</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Premiums written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23,043,325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(8,386,528)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14,661,875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60"/>
              <w:spacing w:after="0"/>
              <w:rPr>
                <w:sz w:val="20"/>
                <w:szCs w:val="20"/>
                <w:color w:val="auto"/>
              </w:rPr>
            </w:pPr>
            <w:r>
              <w:rPr>
                <w:rFonts w:ascii="Arial" w:cs="Arial" w:eastAsia="Arial" w:hAnsi="Arial"/>
                <w:sz w:val="17"/>
                <w:szCs w:val="17"/>
                <w:color w:val="auto"/>
              </w:rPr>
              <w:t>Change in unearned premiums</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(126,428)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3,571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(7,343)</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(130,200)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Premiums earned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22,916,897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(8,393,871)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14,531,675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Three months ended March 31, 2015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60"/>
              <w:spacing w:after="0"/>
              <w:rPr>
                <w:sz w:val="20"/>
                <w:szCs w:val="20"/>
                <w:color w:val="auto"/>
              </w:rPr>
            </w:pPr>
            <w:r>
              <w:rPr>
                <w:rFonts w:ascii="Arial" w:cs="Arial" w:eastAsia="Arial" w:hAnsi="Arial"/>
                <w:sz w:val="17"/>
                <w:szCs w:val="17"/>
                <w:color w:val="auto"/>
              </w:rPr>
              <w:t>Premiums written</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19,489,429</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7,911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(8,619,406)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10,877,934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Change in unearned premiums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(472,331)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(23,716)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(492,135)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7"/>
                <w:szCs w:val="17"/>
                <w:color w:val="auto"/>
              </w:rPr>
              <w:t>Premiums earned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19,017,098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11,823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(8,643,122)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10,385,799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March 31, 2016 and December 31, 2015 was approximately $1,732,000 and $1,199,000, respectively.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9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-7620</wp:posOffset>
            </wp:positionV>
            <wp:extent cx="159829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39,876,500</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39,912,683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Less reinsurance recoverables</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(16,706,364)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(18,249,526)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balance, beginning of period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23,170,136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21,663,157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Incurred related to:</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Current year</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9,903,094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6,956,761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Prior years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(419,239)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106,456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Total incurred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9,483,855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7,063,217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Paid related to:</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year</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3,006,210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1,685,306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Prior years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3,421,820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3,201,258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paid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6,428,030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4,886,564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balance at end of period</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26,225,961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23,839,810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color w:val="auto"/>
              </w:rPr>
              <w:t>Add reinsurance recoverables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19,804,804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18,311,454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46,030,765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42,151,264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Incurred losses and LAE are net of reinsurance recoveries under reinsurance contracts of $4,313,667 and $5,448,387 for the three months ended March 31, 2016 and 2015, respectively.</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Prior year incurred loss and LAE development is based upon estimates by line of business and accident year. Prior year loss and LAE development incurred during the three months ended March 31, 2016 and 2015 was $(419,239) favorable and $106,456 unfavorable, respectively. The Company’s management continually monitors claims activity to assess the appropriateness of carried case and incurred but not reported (“IBNR”) reserves, giving consideration to Company and industry trends.</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monthly basis, the Company reviews by line of business existing reserves, new claims, changes to existing case reserves and paid losses with respect to the current and prior years. Several methods are used, varying by product line and accident year, in order to determine the required IBNR reserves. These methods include the following: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Paid Loss Development </w:t>
      </w:r>
      <w:r>
        <w:rPr>
          <w:rFonts w:ascii="Arial" w:cs="Arial" w:eastAsia="Arial" w:hAnsi="Arial"/>
          <w:sz w:val="16"/>
          <w:szCs w:val="16"/>
          <w:color w:val="auto"/>
        </w:rPr>
        <w:t>– historical patterns of paid loss development are used to project future paid loss emergence in order to estimate required reserves.</w:t>
      </w:r>
    </w:p>
    <w:p>
      <w:pPr>
        <w:spacing w:after="0" w:line="25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 future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loss emergence in order to estimate required reserves.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7"/>
          <w:szCs w:val="17"/>
          <w:i w:val="1"/>
          <w:iCs w:val="1"/>
          <w:color w:val="auto"/>
        </w:rPr>
        <w:t xml:space="preserve">Paid Bornhuetter-Ferguson (“BF”) </w:t>
      </w:r>
      <w:r>
        <w:rPr>
          <w:rFonts w:ascii="Arial" w:cs="Arial" w:eastAsia="Arial" w:hAnsi="Arial"/>
          <w:sz w:val="17"/>
          <w:szCs w:val="17"/>
          <w:color w:val="auto"/>
        </w:rPr>
        <w:t>– an estimated loss ratio for a particular accident year is determined, and is weighted against the portion of the accident year</w:t>
      </w:r>
      <w:r>
        <w:rPr>
          <w:rFonts w:ascii="Arial" w:cs="Arial" w:eastAsia="Arial" w:hAnsi="Arial"/>
          <w:sz w:val="17"/>
          <w:szCs w:val="17"/>
          <w:i w:val="1"/>
          <w:iCs w:val="1"/>
          <w:color w:val="auto"/>
        </w:rPr>
        <w:t xml:space="preserve"> </w:t>
      </w:r>
      <w:r>
        <w:rPr>
          <w:rFonts w:ascii="Arial" w:cs="Arial" w:eastAsia="Arial" w:hAnsi="Arial"/>
          <w:sz w:val="17"/>
          <w:szCs w:val="17"/>
          <w:color w:val="auto"/>
        </w:rPr>
        <w:t>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Incurred Bornhuetter-Ferguson (“BF”) </w:t>
      </w:r>
      <w:r>
        <w:rPr>
          <w:rFonts w:ascii="Arial" w:cs="Arial" w:eastAsia="Arial" w:hAnsi="Arial"/>
          <w:sz w:val="17"/>
          <w:szCs w:val="17"/>
          <w:color w:val="auto"/>
        </w:rPr>
        <w:t>- an estimated loss ratio for a particular accident year is determined, and is weighted against the portion of the accident year</w:t>
      </w:r>
      <w:r>
        <w:rPr>
          <w:rFonts w:ascii="Arial" w:cs="Arial" w:eastAsia="Arial" w:hAnsi="Arial"/>
          <w:sz w:val="17"/>
          <w:szCs w:val="17"/>
          <w:i w:val="1"/>
          <w:iCs w:val="1"/>
          <w:color w:val="auto"/>
        </w:rPr>
        <w:t xml:space="preserve"> </w:t>
      </w:r>
      <w:r>
        <w:rPr>
          <w:rFonts w:ascii="Arial" w:cs="Arial" w:eastAsia="Arial" w:hAnsi="Arial"/>
          <w:sz w:val="17"/>
          <w:szCs w:val="17"/>
          <w:color w:val="auto"/>
        </w:rPr>
        <w:t>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2013 and prior is limited although there remains the possibility of adverse development on reported claims (‘case development’ IBNR).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Auto Line of Business</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 on or after May 1, 2015. The Company had 34 and 599 commercial auto policies in force as of March 31, 2016 and 2015,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Reinsurance</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Company’s quota share reinsurance treaties are on a July 1 through June 30 fiscal year basis; therefore, for year to date fiscal periods after June 30, two separate treaties will be included in such periods.</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quota share reinsurance treaty in effect for the three months ended March 31, 2016 for its personal lines business, which primarily consists of homeowners’ policies, was covered under the July 1, 2015/June 30, 2016 treaty year (“2015/2016 Treaty”). The Company’s quota share reinsurance treaty in effect for the three months ended March 31, 2015 was covered under the July 1, 2014/June 30, 2015 treaty year (“2014/2015 Treaty”).</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personal lines quota share treaty that covered the July 1, 2013/June 30, 2014 treaty year was a two year treaty that expired on June 30, 2015. Effective July 1, 2014, the Company exercised its contractual option to reduce the ceding percentage in the personal lines quota share treaty from 75% to 55%. The Company entered into new annual treaties with different terms effective July 1, 2015. The Company’s 2014/2015 Treaty and 2015/2016 Treaty provide for the following material terms: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Treaty Year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July 1, 2015</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w w:val="95"/>
              </w:rPr>
              <w:t>July 1, 2014</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5"/>
              </w:rPr>
              <w:t>to</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Line of Busines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June 30, 2016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June 30, 2015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8760" w:type="dxa"/>
            <w:vAlign w:val="bottom"/>
            <w:gridSpan w:val="6"/>
          </w:tcPr>
          <w:p>
            <w:pPr>
              <w:spacing w:after="0"/>
              <w:rPr>
                <w:sz w:val="20"/>
                <w:szCs w:val="20"/>
                <w:color w:val="auto"/>
              </w:rPr>
            </w:pPr>
            <w:r>
              <w:rPr>
                <w:rFonts w:ascii="Arial" w:cs="Arial" w:eastAsia="Arial" w:hAnsi="Arial"/>
                <w:sz w:val="17"/>
                <w:szCs w:val="17"/>
                <w:color w:val="auto"/>
              </w:rPr>
              <w:t>Personal Lines: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760" w:type="dxa"/>
            <w:vAlign w:val="bottom"/>
            <w:gridSpan w:val="6"/>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Percent ceded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Risk retained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360,000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Excess of loss coverage above quota share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3,750,000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750,000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4,050,000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Losses per occurrence subject to reinsurance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Expiration date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June 30, 2016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June 30,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Personal Umbrella</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Percent ceded - first million dollars of coverage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Percent ceded - excess of one million dollars of coverage</w:t>
            </w:r>
          </w:p>
        </w:tc>
        <w:tc>
          <w:tcPr>
            <w:tcW w:w="1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Risk retained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2,900,000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Expiration date</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June 30, 2016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June 30, 2015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8740" w:type="dxa"/>
            <w:vAlign w:val="bottom"/>
            <w:gridSpan w:val="5"/>
          </w:tcPr>
          <w:p>
            <w:pPr>
              <w:spacing w:after="0" w:line="167" w:lineRule="exact"/>
              <w:rPr>
                <w:sz w:val="20"/>
                <w:szCs w:val="20"/>
                <w:color w:val="auto"/>
              </w:rPr>
            </w:pPr>
            <w:r>
              <w:rPr>
                <w:rFonts w:ascii="Arial" w:cs="Arial" w:eastAsia="Arial" w:hAnsi="Arial"/>
                <w:sz w:val="17"/>
                <w:szCs w:val="17"/>
                <w:color w:val="auto"/>
              </w:rPr>
              <w:t>Commercial Lines: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General liability commercial policies, except for commercial auto</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Percent ceded (terminated effective July 1, 2014)</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Risk retained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425,000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Excess of loss coverage above quota share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4,075,000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425,000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4,075,000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Losses per occurrence subject to reinsurance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8740" w:type="dxa"/>
            <w:vAlign w:val="bottom"/>
            <w:gridSpan w:val="5"/>
          </w:tcPr>
          <w:p>
            <w:pPr>
              <w:spacing w:after="0" w:line="167" w:lineRule="exact"/>
              <w:rPr>
                <w:sz w:val="20"/>
                <w:szCs w:val="20"/>
                <w:color w:val="auto"/>
              </w:rPr>
            </w:pPr>
            <w:r>
              <w:rPr>
                <w:rFonts w:ascii="Arial" w:cs="Arial" w:eastAsia="Arial" w:hAnsi="Arial"/>
                <w:sz w:val="17"/>
                <w:szCs w:val="17"/>
                <w:color w:val="auto"/>
              </w:rPr>
              <w:t>Commercial Auto:</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top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Risk retained</w:t>
            </w:r>
          </w:p>
        </w:tc>
        <w:tc>
          <w:tcPr>
            <w:tcW w:w="744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Excess of loss coverage in excess of risk retained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1,700,000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740" w:type="dxa"/>
            <w:vAlign w:val="bottom"/>
            <w:gridSpan w:val="5"/>
            <w:shd w:val="clear" w:color="auto" w:fill="CCEEFF"/>
          </w:tcPr>
          <w:p>
            <w:pPr>
              <w:spacing w:after="0" w:line="167" w:lineRule="exact"/>
              <w:rPr>
                <w:sz w:val="20"/>
                <w:szCs w:val="20"/>
                <w:color w:val="auto"/>
              </w:rPr>
            </w:pPr>
            <w:r>
              <w:rPr>
                <w:rFonts w:ascii="Arial" w:cs="Arial" w:eastAsia="Arial" w:hAnsi="Arial"/>
                <w:sz w:val="17"/>
                <w:szCs w:val="17"/>
                <w:color w:val="auto"/>
              </w:rPr>
              <w:t>Catastrophe Reinsurance:</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6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Initial loss subject to personal lines quota share treaty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Risk retained per catastrophe occurrence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Catastrophe loss coverage in excess of quota share coverage (2) (3)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176,000,000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137,000,000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Severe winter weather aggregate (3)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88"/>
              </w:rPr>
              <w:t>Yes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88"/>
              </w:rPr>
              <w:t>Yes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Reinstatement premium protection (4)</w:t>
            </w: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Yes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20" w:hanging="222"/>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21" w:lineRule="exact"/>
        <w:rPr>
          <w:rFonts w:ascii="Arial" w:cs="Arial" w:eastAsia="Arial" w:hAnsi="Arial"/>
          <w:sz w:val="17"/>
          <w:szCs w:val="17"/>
          <w:color w:val="auto"/>
        </w:rPr>
      </w:pPr>
    </w:p>
    <w:p>
      <w:pPr>
        <w:ind w:left="320" w:hanging="222"/>
        <w:spacing w:after="0" w:line="253"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320" w:hanging="222"/>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Effective July 1, 2014, our catastrophe treaty also covers losses caused by severe winter weather during any consecutive 28 day period.</w:t>
      </w:r>
    </w:p>
    <w:p>
      <w:pPr>
        <w:spacing w:after="0" w:line="11" w:lineRule="exact"/>
        <w:rPr>
          <w:rFonts w:ascii="Arial" w:cs="Arial" w:eastAsia="Arial" w:hAnsi="Arial"/>
          <w:sz w:val="17"/>
          <w:szCs w:val="17"/>
          <w:color w:val="auto"/>
        </w:rPr>
      </w:pPr>
    </w:p>
    <w:p>
      <w:pPr>
        <w:ind w:left="320" w:hanging="222"/>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24" w:name="page25"/>
    <w:bookmarkEnd w:id="24"/>
    <w:p>
      <w:pPr>
        <w:spacing w:after="0" w:line="280" w:lineRule="auto"/>
        <w:rPr>
          <w:sz w:val="20"/>
          <w:szCs w:val="20"/>
          <w:color w:val="auto"/>
        </w:rPr>
      </w:pPr>
      <w:r>
        <w:rPr>
          <w:rFonts w:ascii="Arial" w:cs="Arial" w:eastAsia="Arial" w:hAnsi="Arial"/>
          <w:sz w:val="17"/>
          <w:szCs w:val="17"/>
          <w:color w:val="auto"/>
        </w:rPr>
        <w:t>The single maximum risks per occurrence to which the Company is subject under the new treaties effective July 1, 2015 and under the treaties that expired on June 30, 2015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4"/>
          </w:tcPr>
          <w:p>
            <w:pPr>
              <w:ind w:left="760"/>
              <w:spacing w:after="0"/>
              <w:rPr>
                <w:sz w:val="20"/>
                <w:szCs w:val="20"/>
                <w:color w:val="auto"/>
              </w:rPr>
            </w:pPr>
            <w:r>
              <w:rPr>
                <w:rFonts w:ascii="Arial" w:cs="Arial" w:eastAsia="Arial" w:hAnsi="Arial"/>
                <w:sz w:val="14"/>
                <w:szCs w:val="14"/>
                <w:b w:val="1"/>
                <w:bCs w:val="1"/>
                <w:color w:val="auto"/>
              </w:rPr>
              <w:t>July 1, 2015 - June 30, 2016</w:t>
            </w:r>
          </w:p>
        </w:tc>
        <w:tc>
          <w:tcPr>
            <w:tcW w:w="60" w:type="dxa"/>
            <w:vAlign w:val="bottom"/>
          </w:tcPr>
          <w:p>
            <w:pPr>
              <w:spacing w:after="0"/>
              <w:rPr>
                <w:sz w:val="15"/>
                <w:szCs w:val="15"/>
                <w:color w:val="auto"/>
              </w:rPr>
            </w:pPr>
          </w:p>
        </w:tc>
        <w:tc>
          <w:tcPr>
            <w:tcW w:w="3200" w:type="dxa"/>
            <w:vAlign w:val="bottom"/>
            <w:gridSpan w:val="4"/>
          </w:tcPr>
          <w:p>
            <w:pPr>
              <w:ind w:left="780"/>
              <w:spacing w:after="0"/>
              <w:rPr>
                <w:sz w:val="20"/>
                <w:szCs w:val="20"/>
                <w:color w:val="auto"/>
              </w:rPr>
            </w:pPr>
            <w:r>
              <w:rPr>
                <w:rFonts w:ascii="Arial" w:cs="Arial" w:eastAsia="Arial" w:hAnsi="Arial"/>
                <w:sz w:val="14"/>
                <w:szCs w:val="14"/>
                <w:b w:val="1"/>
                <w:bCs w:val="1"/>
                <w:color w:val="auto"/>
              </w:rPr>
              <w:t>July 1, 2014 - June 30, 2015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7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Treaty</w:t>
            </w:r>
          </w:p>
        </w:tc>
        <w:tc>
          <w:tcPr>
            <w:tcW w:w="10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20" w:type="dxa"/>
            <w:vAlign w:val="bottom"/>
            <w:tcBorders>
              <w:top w:val="single" w:sz="8" w:color="auto"/>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Extent of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Risk Retained</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Extent of Loss</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$450,000</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$800,000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ind w:left="40"/>
              <w:spacing w:after="0"/>
              <w:rPr>
                <w:sz w:val="20"/>
                <w:szCs w:val="20"/>
                <w:color w:val="auto"/>
              </w:rPr>
            </w:pPr>
            <w:r>
              <w:rPr>
                <w:rFonts w:ascii="Arial" w:cs="Arial" w:eastAsia="Arial" w:hAnsi="Arial"/>
                <w:sz w:val="17"/>
                <w:szCs w:val="17"/>
                <w:color w:val="auto"/>
              </w:rPr>
              <w:t>$750,000 - $4,500,000</w:t>
            </w:r>
          </w:p>
        </w:tc>
        <w:tc>
          <w:tcPr>
            <w:tcW w:w="10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None(1)</w:t>
            </w:r>
          </w:p>
        </w:tc>
        <w:tc>
          <w:tcPr>
            <w:tcW w:w="1880" w:type="dxa"/>
            <w:vAlign w:val="bottom"/>
            <w:gridSpan w:val="2"/>
          </w:tcPr>
          <w:p>
            <w:pPr>
              <w:ind w:left="100"/>
              <w:spacing w:after="0"/>
              <w:rPr>
                <w:sz w:val="20"/>
                <w:szCs w:val="20"/>
                <w:color w:val="auto"/>
              </w:rPr>
            </w:pPr>
            <w:r>
              <w:rPr>
                <w:rFonts w:ascii="Arial" w:cs="Arial" w:eastAsia="Arial" w:hAnsi="Arial"/>
                <w:sz w:val="17"/>
                <w:szCs w:val="17"/>
                <w:color w:val="auto"/>
              </w:rPr>
              <w:t>$800,000 - $4,000,000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ind w:left="40"/>
              <w:spacing w:after="0"/>
              <w:rPr>
                <w:sz w:val="20"/>
                <w:szCs w:val="20"/>
                <w:color w:val="auto"/>
              </w:rPr>
            </w:pPr>
            <w:r>
              <w:rPr>
                <w:rFonts w:ascii="Arial" w:cs="Arial" w:eastAsia="Arial" w:hAnsi="Arial"/>
                <w:sz w:val="17"/>
                <w:szCs w:val="17"/>
                <w:color w:val="auto"/>
                <w:w w:val="94"/>
              </w:rPr>
              <w:t>$1,000,000 - $3,000,000</w:t>
            </w:r>
          </w:p>
        </w:tc>
        <w:tc>
          <w:tcPr>
            <w:tcW w:w="10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None(1)</w:t>
            </w:r>
          </w:p>
        </w:tc>
        <w:tc>
          <w:tcPr>
            <w:tcW w:w="1880" w:type="dxa"/>
            <w:vAlign w:val="bottom"/>
            <w:gridSpan w:val="2"/>
          </w:tcPr>
          <w:p>
            <w:pPr>
              <w:ind w:left="100"/>
              <w:spacing w:after="0"/>
              <w:rPr>
                <w:sz w:val="20"/>
                <w:szCs w:val="20"/>
                <w:color w:val="auto"/>
              </w:rPr>
            </w:pPr>
            <w:r>
              <w:rPr>
                <w:rFonts w:ascii="Arial" w:cs="Arial" w:eastAsia="Arial" w:hAnsi="Arial"/>
                <w:sz w:val="17"/>
                <w:szCs w:val="17"/>
                <w:color w:val="auto"/>
                <w:w w:val="94"/>
              </w:rPr>
              <w:t>$1,000,000 - $3,000,000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$425,000</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ind w:left="40"/>
              <w:spacing w:after="0"/>
              <w:rPr>
                <w:sz w:val="20"/>
                <w:szCs w:val="20"/>
                <w:color w:val="auto"/>
              </w:rPr>
            </w:pPr>
            <w:r>
              <w:rPr>
                <w:rFonts w:ascii="Arial" w:cs="Arial" w:eastAsia="Arial" w:hAnsi="Arial"/>
                <w:sz w:val="17"/>
                <w:szCs w:val="17"/>
                <w:color w:val="auto"/>
              </w:rPr>
              <w:t>$425,000 - $4,500,000</w:t>
            </w:r>
          </w:p>
        </w:tc>
        <w:tc>
          <w:tcPr>
            <w:tcW w:w="10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None(1)</w:t>
            </w:r>
          </w:p>
        </w:tc>
        <w:tc>
          <w:tcPr>
            <w:tcW w:w="1880" w:type="dxa"/>
            <w:vAlign w:val="bottom"/>
            <w:gridSpan w:val="2"/>
          </w:tcPr>
          <w:p>
            <w:pPr>
              <w:ind w:left="100"/>
              <w:spacing w:after="0"/>
              <w:rPr>
                <w:sz w:val="20"/>
                <w:szCs w:val="20"/>
                <w:color w:val="auto"/>
              </w:rPr>
            </w:pPr>
            <w:r>
              <w:rPr>
                <w:rFonts w:ascii="Arial" w:cs="Arial" w:eastAsia="Arial" w:hAnsi="Arial"/>
                <w:sz w:val="17"/>
                <w:szCs w:val="17"/>
                <w:color w:val="auto"/>
              </w:rPr>
              <w:t>$400,000 - $4,000,000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$300,000</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ind w:left="40"/>
              <w:spacing w:after="0"/>
              <w:rPr>
                <w:sz w:val="20"/>
                <w:szCs w:val="20"/>
                <w:color w:val="auto"/>
              </w:rPr>
            </w:pPr>
            <w:r>
              <w:rPr>
                <w:rFonts w:ascii="Arial" w:cs="Arial" w:eastAsia="Arial" w:hAnsi="Arial"/>
                <w:sz w:val="17"/>
                <w:szCs w:val="17"/>
                <w:color w:val="auto"/>
              </w:rPr>
              <w:t>$300,000 - $2,000,000</w:t>
            </w:r>
          </w:p>
        </w:tc>
        <w:tc>
          <w:tcPr>
            <w:tcW w:w="10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None(1)</w:t>
            </w:r>
          </w:p>
        </w:tc>
        <w:tc>
          <w:tcPr>
            <w:tcW w:w="1880" w:type="dxa"/>
            <w:vAlign w:val="bottom"/>
            <w:gridSpan w:val="2"/>
          </w:tcPr>
          <w:p>
            <w:pPr>
              <w:ind w:left="100"/>
              <w:spacing w:after="0"/>
              <w:rPr>
                <w:sz w:val="20"/>
                <w:szCs w:val="20"/>
                <w:color w:val="auto"/>
              </w:rPr>
            </w:pPr>
            <w:r>
              <w:rPr>
                <w:rFonts w:ascii="Arial" w:cs="Arial" w:eastAsia="Arial" w:hAnsi="Arial"/>
                <w:sz w:val="17"/>
                <w:szCs w:val="17"/>
                <w:color w:val="auto"/>
              </w:rPr>
              <w:t>$300,000 - $2,000,000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Catastrophe (2)</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$2,400,000</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ind w:left="40"/>
              <w:spacing w:after="0" w:line="194" w:lineRule="exact"/>
              <w:rPr>
                <w:sz w:val="20"/>
                <w:szCs w:val="20"/>
                <w:color w:val="auto"/>
              </w:rPr>
            </w:pPr>
            <w:r>
              <w:rPr>
                <w:rFonts w:ascii="Arial" w:cs="Arial" w:eastAsia="Arial" w:hAnsi="Arial"/>
                <w:sz w:val="17"/>
                <w:szCs w:val="17"/>
                <w:color w:val="auto"/>
              </w:rPr>
              <w:t>$4,000,000 -</w:t>
            </w:r>
          </w:p>
        </w:tc>
        <w:tc>
          <w:tcPr>
            <w:tcW w:w="100" w:type="dxa"/>
            <w:vAlign w:val="bottom"/>
          </w:tcPr>
          <w:p>
            <w:pPr>
              <w:spacing w:after="0"/>
              <w:rPr>
                <w:sz w:val="16"/>
                <w:szCs w:val="16"/>
                <w:color w:val="auto"/>
              </w:rPr>
            </w:pPr>
          </w:p>
        </w:tc>
        <w:tc>
          <w:tcPr>
            <w:tcW w:w="1260" w:type="dxa"/>
            <w:vAlign w:val="bottom"/>
            <w:gridSpan w:val="2"/>
          </w:tcPr>
          <w:p>
            <w:pPr>
              <w:ind w:left="840"/>
              <w:spacing w:after="0" w:line="194" w:lineRule="exact"/>
              <w:rPr>
                <w:sz w:val="20"/>
                <w:szCs w:val="20"/>
                <w:color w:val="auto"/>
              </w:rPr>
            </w:pPr>
            <w:r>
              <w:rPr>
                <w:rFonts w:ascii="Arial" w:cs="Arial" w:eastAsia="Arial" w:hAnsi="Arial"/>
                <w:sz w:val="17"/>
                <w:szCs w:val="17"/>
                <w:color w:val="auto"/>
                <w:w w:val="98"/>
              </w:rPr>
              <w:t>None</w:t>
            </w:r>
          </w:p>
        </w:tc>
        <w:tc>
          <w:tcPr>
            <w:tcW w:w="188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$4,000,000 -</w:t>
            </w:r>
          </w:p>
        </w:tc>
        <w:tc>
          <w:tcPr>
            <w:tcW w:w="120" w:type="dxa"/>
            <w:vAlign w:val="bottom"/>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Arial" w:cs="Arial" w:eastAsia="Arial" w:hAnsi="Arial"/>
                <w:sz w:val="17"/>
                <w:szCs w:val="17"/>
                <w:color w:val="auto"/>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$180,000,000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2"/>
          </w:tcPr>
          <w:p>
            <w:pPr>
              <w:jc w:val="right"/>
              <w:ind w:right="797"/>
              <w:spacing w:after="0"/>
              <w:rPr>
                <w:sz w:val="20"/>
                <w:szCs w:val="20"/>
                <w:color w:val="auto"/>
              </w:rPr>
            </w:pPr>
            <w:r>
              <w:rPr>
                <w:rFonts w:ascii="Arial" w:cs="Arial" w:eastAsia="Arial" w:hAnsi="Arial"/>
                <w:sz w:val="17"/>
                <w:szCs w:val="17"/>
                <w:color w:val="auto"/>
                <w:w w:val="94"/>
              </w:rPr>
              <w:t>$141,000,000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$141,000,000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hanging="357"/>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243" w:lineRule="exact"/>
        <w:rPr>
          <w:rFonts w:ascii="Arial" w:cs="Arial" w:eastAsia="Arial" w:hAnsi="Arial"/>
          <w:sz w:val="17"/>
          <w:szCs w:val="17"/>
          <w:color w:val="auto"/>
        </w:rPr>
      </w:pPr>
    </w:p>
    <w:p>
      <w:pPr>
        <w:ind w:left="360" w:hanging="357"/>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estimated ultimate treaty year loss ratios (“Loss Ratio(s)”) for treaties in effect for the three months ended March 31, 2016 are attributable to contracts for the 2015/2016 Treaty. The Company’s Loss Ratios for treaties in effect for the three months ended March 31, 2015 are attributable to contracts for the 2014/2015 Treaty.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color w:val="auto"/>
        </w:rPr>
        <w:t>Treaties in effect for the three months ended March 31, 2016</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Under the 2015/2016 Treaty, the Company is receiving a higher upfront fixed provisional rate in exchange for a less favorable sliding scale contingent rate. Under this arrangement, the Company earns more provisional ceding commissions, while contingent ceding commissions are reduced due to the less favorable sliding scale rate. The Company’s Loss Ratio for the period July 1, 2015 through March 31, 2016, which is attributable to the 2015/2016 Treaty, was higher than the contractual Loss Ratio at which provisional ceding commissions are earned. Accordingly, for the three month period ended March 31, 2016, the Company’s contingent ceding commission earned was reduced as a result of the estimated Loss Ratio for the 2015/2016 Treaty.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Treaties in effect for the three months ended March 31, 2015</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Company’s Loss Ratio for the period July 1, 2014 through March 31, 2015, which is attributable to the 2014/2015 Treaty, was lower than the contractual Loss Ratio at which the provisional ceding commissions are earned. As a result of severe winter weather during the three months ended March 31, 2015, the Loss Ratio attributable to this treaty as of March 31, 2015 was greater than the Loss Ratio as of December 31, 2014. Accordingly, for the three months ended March 31, 2015, the Company’s contingent ceding commission earned was reduced as a result of the increase in the estimated Loss Ratio for the 2014/2015 Treaty.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the treaties that were in effect for three months ended March 31, 2016 and 2015, the Loss Ratios from prior years’ treaties are subject to change as loss reserves from those periods increase or decrease, resulting in an increase or decrease in the commission rate and contingent ceding commissions earned.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Ceding commission revenue consists of the following:</w:t>
      </w:r>
    </w:p>
    <w:p>
      <w:pPr>
        <w:spacing w:after="0" w:line="26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-7620</wp:posOffset>
            </wp:positionV>
            <wp:extent cx="159829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06"/>
        </w:trPr>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3,099,614</w:t>
            </w:r>
          </w:p>
        </w:tc>
        <w:tc>
          <w:tcPr>
            <w:tcW w:w="3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2,915,029</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Contingent ceding commissions earned</w:t>
            </w: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(329,277)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174,375</w:t>
            </w:r>
          </w:p>
        </w:tc>
      </w:tr>
      <w:tr>
        <w:trPr>
          <w:trHeight w:val="26"/>
        </w:trPr>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88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2,770,337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3,089,404</w:t>
            </w:r>
          </w:p>
        </w:tc>
      </w:tr>
      <w:tr>
        <w:trPr>
          <w:trHeight w:val="20"/>
        </w:trPr>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Provisional ceding commissions are settled monthly. Balances due from reinsurers for contingent ceding commissions on quota share treaties are settled annually based on the loss ratio of each treaty year that ends on June 30.</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 Declared</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Dividends declared and paid on Common Stock were $457,603 and $365,505 for the three months ended March 31, 2016 and 2015, respectively. The Company’s Board of Directors approved a quarterly dividend on May 11, 2016 of $.0625 per share payable in cash on June 15, 2016 to stockholders of record as of May 31, 2016 (see Note 12).</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Stock Options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subject to stockholder approval on or before August 12, 2015,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results of operations for the three months ended March 31, 2016 and 2015 include stock-based stock option compensation expense totaling approximately $32,000 and $39,000, respectively. Stock-based compensation expense related to stock options for the three months ended March 31, 2016 and 2015 is net of estimated forfeitures of 17% for both periods. Such amounts have been included in the condensed consolidated statements of income and comprehensive income within other operating expenses.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Stock-based compensation expense in 2016 and 2015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The weighted average estimated fair value of stock options granted during the three months ended March 31, 2016 was $1.97 per share. No options were granted during the three months March 31, 2015. The fair value of stock options at the grant date was estimated using the Black-Scholes option-pricing model. The following weighted average assumptions were used for grants during the following periods: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92"/>
              </w:rPr>
              <w:t>March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18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57"/>
              <w:spacing w:after="0" w:line="142" w:lineRule="exact"/>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297"/>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7"/>
                <w:szCs w:val="17"/>
                <w:color w:val="auto"/>
              </w:rPr>
              <w:t>Volatility</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31.61%</w:t>
            </w:r>
          </w:p>
        </w:tc>
        <w:tc>
          <w:tcPr>
            <w:tcW w:w="380" w:type="dxa"/>
            <w:vAlign w:val="bottom"/>
          </w:tcPr>
          <w:p>
            <w:pPr>
              <w:spacing w:after="0"/>
              <w:rPr>
                <w:sz w:val="17"/>
                <w:szCs w:val="17"/>
                <w:color w:val="auto"/>
              </w:rPr>
            </w:pPr>
          </w:p>
        </w:tc>
        <w:tc>
          <w:tcPr>
            <w:tcW w:w="820" w:type="dxa"/>
            <w:vAlign w:val="bottom"/>
          </w:tcPr>
          <w:p>
            <w:pPr>
              <w:jc w:val="center"/>
              <w:ind w:right="297"/>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297"/>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7"/>
                <w:szCs w:val="17"/>
                <w:color w:val="auto"/>
              </w:rPr>
              <w:t>Expected Life</w:t>
            </w:r>
          </w:p>
        </w:tc>
        <w:tc>
          <w:tcPr>
            <w:tcW w:w="1660" w:type="dxa"/>
            <w:vAlign w:val="bottom"/>
            <w:gridSpan w:val="3"/>
          </w:tcPr>
          <w:p>
            <w:pPr>
              <w:ind w:left="480"/>
              <w:spacing w:after="0"/>
              <w:rPr>
                <w:sz w:val="20"/>
                <w:szCs w:val="20"/>
                <w:color w:val="auto"/>
              </w:rPr>
            </w:pPr>
            <w:r>
              <w:rPr>
                <w:rFonts w:ascii="Arial" w:cs="Arial" w:eastAsia="Arial" w:hAnsi="Arial"/>
                <w:sz w:val="17"/>
                <w:szCs w:val="17"/>
                <w:color w:val="auto"/>
              </w:rPr>
              <w:t>3.25 years</w:t>
            </w:r>
          </w:p>
        </w:tc>
        <w:tc>
          <w:tcPr>
            <w:tcW w:w="820" w:type="dxa"/>
            <w:vAlign w:val="bottom"/>
          </w:tcPr>
          <w:p>
            <w:pPr>
              <w:jc w:val="center"/>
              <w:ind w:right="297"/>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A summary of stock option activity under the Company’s 2014 Plan for the three months ended March 31, 2016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Exercise Price per</w:t>
            </w: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Share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Contractual Term</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339,750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904,775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25,000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7.85</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Exercised</w:t>
            </w: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March 31, 2016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364,750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663,610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March 31, 2016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aggregate intrinsic value of options outstanding and options exercisable at March 31, 2016 is calculated as the difference between the exercise price of the underlying options and the market price of the Company’s Common Stock for the options that had exercise prices that were lower than the $8.26 closing price of the Company’s Common Stock on March 31, 2016. No options were exercised during the three months ended March 31, 2016.</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All of the 120,000 options exercised during the three months ended March 31, 2015 were Net Exercises.</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As of March 31, 2016, the fair value of unamortized compensation cost related to unvested stock option awards was approximately $98,000. Unamortized compensation cost as of March 31, 2016 is expected to be recognized over a remaining weighted-average vesting period of 1.51 years.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2016, there were 625,000 shares reserved for grants under the 2014 Plan.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Equity Compensation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January 4, 2016, the Company granted a total of 6,000 shares of restricted common stock under the 2014 Plan to its three then non-employee directors. On March 29, 2016, the Company granted 1,500 shares of restricted common stock under the 2014 Plan to a newly elected non-employee director. One-third of the shares granted will vest on each of the three following anniversaries following the grant date. The fair value of the shares will be determined on each of the vesting dates. For the three months ended March 31, 2016, no stock-based compensation for these grants is included in the condensed consolidated statements of income and comprehensive income.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Private Placement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See Note 12 Subsequent Events.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Note 8 – Income Taxes</w:t>
      </w:r>
    </w:p>
    <w:p>
      <w:pPr>
        <w:spacing w:after="0" w:line="24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financial statements taken as a whole for the respective periods. The Company has evaluated this year’s amounts in relation to the current and prior reporting periods and determined that a restatement of those prior reporting periods is not appropriate.</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 Significant components of the Company’s deferred tax assets and liabilities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Deferred tax asset: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operating loss carryovers (1)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131,626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150,492</w:t>
            </w: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Claims reserve discount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459,217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405,709</w:t>
            </w:r>
          </w:p>
        </w:tc>
        <w:tc>
          <w:tcPr>
            <w:tcW w:w="0" w:type="dxa"/>
            <w:vAlign w:val="bottom"/>
          </w:tcPr>
          <w:p>
            <w:pPr>
              <w:spacing w:after="0"/>
              <w:rPr>
                <w:sz w:val="1"/>
                <w:szCs w:val="1"/>
                <w:color w:val="auto"/>
              </w:rPr>
            </w:pPr>
          </w:p>
        </w:tc>
      </w:tr>
      <w:tr>
        <w:trPr>
          <w:trHeight w:val="20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Unearned premium</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2,600,074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2,555,012</w:t>
            </w: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Deferred ceding commission revenue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2,181,511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2,187,923</w:t>
            </w:r>
          </w:p>
        </w:tc>
        <w:tc>
          <w:tcPr>
            <w:tcW w:w="0" w:type="dxa"/>
            <w:vAlign w:val="bottom"/>
          </w:tcPr>
          <w:p>
            <w:pPr>
              <w:spacing w:after="0"/>
              <w:rPr>
                <w:sz w:val="1"/>
                <w:szCs w:val="1"/>
                <w:color w:val="auto"/>
              </w:rPr>
            </w:pPr>
          </w:p>
        </w:tc>
      </w:tr>
      <w:tr>
        <w:trPr>
          <w:trHeight w:val="20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92,904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151,250</w:t>
            </w:r>
          </w:p>
        </w:tc>
        <w:tc>
          <w:tcPr>
            <w:tcW w:w="0" w:type="dxa"/>
            <w:vAlign w:val="bottom"/>
          </w:tcPr>
          <w:p>
            <w:pPr>
              <w:spacing w:after="0"/>
              <w:rPr>
                <w:sz w:val="1"/>
                <w:szCs w:val="1"/>
                <w:color w:val="auto"/>
              </w:rPr>
            </w:pPr>
          </w:p>
        </w:tc>
      </w:tr>
      <w:tr>
        <w:trPr>
          <w:trHeight w:val="26"/>
        </w:trPr>
        <w:tc>
          <w:tcPr>
            <w:tcW w:w="118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Total deferred tax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5,465,332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5,450,386</w:t>
            </w:r>
          </w:p>
        </w:tc>
        <w:tc>
          <w:tcPr>
            <w:tcW w:w="0" w:type="dxa"/>
            <w:vAlign w:val="bottom"/>
          </w:tcPr>
          <w:p>
            <w:pPr>
              <w:spacing w:after="0"/>
              <w:rPr>
                <w:sz w:val="1"/>
                <w:szCs w:val="1"/>
                <w:color w:val="auto"/>
              </w:rPr>
            </w:pPr>
          </w:p>
        </w:tc>
      </w:tr>
      <w:tr>
        <w:trPr>
          <w:trHeight w:val="206"/>
        </w:trPr>
        <w:tc>
          <w:tcPr>
            <w:tcW w:w="118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Deferred tax liability: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Investment in KICO (2)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1,169,000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1,169,000</w:t>
            </w: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Deferred acquisition costs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3,732,274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3,684,004</w:t>
            </w:r>
          </w:p>
        </w:tc>
        <w:tc>
          <w:tcPr>
            <w:tcW w:w="0" w:type="dxa"/>
            <w:vAlign w:val="bottom"/>
          </w:tcPr>
          <w:p>
            <w:pPr>
              <w:spacing w:after="0"/>
              <w:rPr>
                <w:sz w:val="1"/>
                <w:szCs w:val="1"/>
                <w:color w:val="auto"/>
              </w:rPr>
            </w:pPr>
          </w:p>
        </w:tc>
      </w:tr>
      <w:tr>
        <w:trPr>
          <w:trHeight w:val="20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Intangibles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557,222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597,657</w:t>
            </w: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367,642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415,938</w:t>
            </w:r>
          </w:p>
        </w:tc>
        <w:tc>
          <w:tcPr>
            <w:tcW w:w="0" w:type="dxa"/>
            <w:vAlign w:val="bottom"/>
          </w:tcPr>
          <w:p>
            <w:pPr>
              <w:spacing w:after="0"/>
              <w:rPr>
                <w:sz w:val="1"/>
                <w:szCs w:val="1"/>
                <w:color w:val="auto"/>
              </w:rPr>
            </w:pPr>
          </w:p>
        </w:tc>
      </w:tr>
      <w:tr>
        <w:trPr>
          <w:trHeight w:val="20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unrealized appreciation of securities - available for sale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745,504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255,977</w:t>
            </w:r>
          </w:p>
        </w:tc>
        <w:tc>
          <w:tcPr>
            <w:tcW w:w="0" w:type="dxa"/>
            <w:vAlign w:val="bottom"/>
          </w:tcPr>
          <w:p>
            <w:pPr>
              <w:spacing w:after="0"/>
              <w:rPr>
                <w:sz w:val="1"/>
                <w:szCs w:val="1"/>
                <w:color w:val="auto"/>
              </w:rPr>
            </w:pPr>
          </w:p>
        </w:tc>
      </w:tr>
      <w:tr>
        <w:trPr>
          <w:trHeight w:val="26"/>
        </w:trPr>
        <w:tc>
          <w:tcPr>
            <w:tcW w:w="118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Total deferred tax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6,571,642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6,122,576</w:t>
            </w:r>
          </w:p>
        </w:tc>
        <w:tc>
          <w:tcPr>
            <w:tcW w:w="0" w:type="dxa"/>
            <w:vAlign w:val="bottom"/>
          </w:tcPr>
          <w:p>
            <w:pPr>
              <w:spacing w:after="0"/>
              <w:rPr>
                <w:sz w:val="1"/>
                <w:szCs w:val="1"/>
                <w:color w:val="auto"/>
              </w:rPr>
            </w:pPr>
          </w:p>
        </w:tc>
      </w:tr>
      <w:tr>
        <w:trPr>
          <w:trHeight w:val="206"/>
        </w:trPr>
        <w:tc>
          <w:tcPr>
            <w:tcW w:w="118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Net deferred income tax liability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jc w:val="right"/>
              <w:ind w:right="11"/>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(1,106,310)</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(672,190)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180" w:type="dxa"/>
            <w:vAlign w:val="bottom"/>
            <w:tcBorders>
              <w:bottom w:val="single" w:sz="8" w:color="808080"/>
            </w:tcBorders>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7200" w:type="dxa"/>
            <w:vAlign w:val="bottom"/>
            <w:gridSpan w:val="2"/>
          </w:tcPr>
          <w:p>
            <w:pPr>
              <w:spacing w:after="0"/>
              <w:rPr>
                <w:sz w:val="20"/>
                <w:szCs w:val="20"/>
                <w:color w:val="auto"/>
              </w:rPr>
            </w:pPr>
            <w:r>
              <w:rPr>
                <w:rFonts w:ascii="Arial" w:cs="Arial" w:eastAsia="Arial" w:hAnsi="Arial"/>
                <w:sz w:val="17"/>
                <w:szCs w:val="17"/>
                <w:color w:val="auto"/>
              </w:rPr>
              <w:t>(1) The deferred tax assets from net operating loss carryovers (“NOL”) are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602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Type of NOL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0"/>
        </w:trPr>
        <w:tc>
          <w:tcPr>
            <w:tcW w:w="118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State only (A)</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563,108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540,865</w:t>
            </w:r>
          </w:p>
        </w:tc>
        <w:tc>
          <w:tcPr>
            <w:tcW w:w="1400" w:type="dxa"/>
            <w:vAlign w:val="bottom"/>
            <w:gridSpan w:val="4"/>
            <w:shd w:val="clear" w:color="auto" w:fill="CCEEFF"/>
          </w:tcPr>
          <w:p>
            <w:pPr>
              <w:jc w:val="center"/>
              <w:ind w:right="60"/>
              <w:spacing w:after="0"/>
              <w:rPr>
                <w:sz w:val="20"/>
                <w:szCs w:val="20"/>
                <w:color w:val="auto"/>
              </w:rPr>
            </w:pPr>
            <w:r>
              <w:rPr>
                <w:rFonts w:ascii="Arial" w:cs="Arial" w:eastAsia="Arial" w:hAnsi="Arial"/>
                <w:sz w:val="17"/>
                <w:szCs w:val="17"/>
                <w:color w:val="auto"/>
                <w:w w:val="89"/>
              </w:rPr>
              <w:t>December 31, 2036</w:t>
            </w: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(441,682)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(403,973)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State only, net of valuation allowance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121,426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136,892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Amount subject to Annual Limitation, federal only (B)</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10,200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13,600</w:t>
            </w:r>
          </w:p>
        </w:tc>
        <w:tc>
          <w:tcPr>
            <w:tcW w:w="1400" w:type="dxa"/>
            <w:vAlign w:val="bottom"/>
            <w:gridSpan w:val="4"/>
          </w:tcPr>
          <w:p>
            <w:pPr>
              <w:jc w:val="center"/>
              <w:ind w:right="60"/>
              <w:spacing w:after="0"/>
              <w:rPr>
                <w:sz w:val="20"/>
                <w:szCs w:val="20"/>
                <w:color w:val="auto"/>
              </w:rPr>
            </w:pPr>
            <w:r>
              <w:rPr>
                <w:rFonts w:ascii="Arial" w:cs="Arial" w:eastAsia="Arial" w:hAnsi="Arial"/>
                <w:sz w:val="17"/>
                <w:szCs w:val="17"/>
                <w:color w:val="auto"/>
                <w:w w:val="89"/>
              </w:rPr>
              <w:t>December 31, 2019</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deferred tax asset from net operating loss carryovers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131,626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150,492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71"/>
        </w:trPr>
        <w:tc>
          <w:tcPr>
            <w:tcW w:w="7200" w:type="dxa"/>
            <w:vAlign w:val="bottom"/>
            <w:tcBorders>
              <w:top w:val="single" w:sz="8" w:color="CCEEFF"/>
            </w:tcBorders>
            <w:gridSpan w:val="2"/>
          </w:tcPr>
          <w:p>
            <w:pPr>
              <w:ind w:left="5620"/>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80" w:type="dxa"/>
            <w:vAlign w:val="bottom"/>
            <w:tcBorders>
              <w:bottom w:val="single" w:sz="8" w:color="808080"/>
            </w:tcBorders>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-1767840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-1767840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9" w:name="page30"/>
    <w:bookmarkEnd w:id="29"/>
    <w:p>
      <w:pPr>
        <w:jc w:val="both"/>
        <w:ind w:firstLine="3"/>
        <w:spacing w:after="0" w:line="260" w:lineRule="auto"/>
        <w:tabs>
          <w:tab w:leader="none" w:pos="294" w:val="left"/>
        </w:tabs>
        <w:numPr>
          <w:ilvl w:val="0"/>
          <w:numId w:val="3"/>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March 31, 2016 and December 31, 2015 was approximately $8,663,000 and $8,321,000,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2036.</w:t>
      </w:r>
    </w:p>
    <w:p>
      <w:pPr>
        <w:spacing w:after="0" w:line="205" w:lineRule="exact"/>
        <w:rPr>
          <w:rFonts w:ascii="Arial" w:cs="Arial" w:eastAsia="Arial" w:hAnsi="Arial"/>
          <w:sz w:val="17"/>
          <w:szCs w:val="17"/>
          <w:color w:val="auto"/>
        </w:rPr>
      </w:pPr>
    </w:p>
    <w:p>
      <w:pPr>
        <w:jc w:val="both"/>
        <w:ind w:firstLine="3"/>
        <w:spacing w:after="0" w:line="266" w:lineRule="auto"/>
        <w:tabs>
          <w:tab w:leader="none" w:pos="27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has an NOL of $30,000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(2) Deferred tax liability - investment in KICO</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2016 and 2015. If any had been recognized these would have been reported in income tax expense.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tax returns for years ended December 31, 2012 through 2015 are subject to examination, generally for three years after filing.</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Earnings Per Common Share</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0" w:name="page31"/>
    <w:bookmarkEnd w:id="30"/>
    <w:p>
      <w:pPr>
        <w:jc w:val="both"/>
        <w:spacing w:after="0" w:line="262" w:lineRule="auto"/>
        <w:rPr>
          <w:sz w:val="20"/>
          <w:szCs w:val="20"/>
          <w:color w:val="auto"/>
        </w:rPr>
      </w:pPr>
      <w:r>
        <w:rPr>
          <w:rFonts w:ascii="Arial" w:cs="Arial" w:eastAsia="Arial" w:hAnsi="Arial"/>
          <w:sz w:val="17"/>
          <w:szCs w:val="17"/>
          <w:color w:val="auto"/>
        </w:rPr>
        <w:t>The computation of diluted earnings per common share excludes outstanding options in periods where the exercise of such options would be anti-dilutive. For the three months ended March 31, 2016 and 2015, the inclusion of 54,327 and 77,500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weighted average number of common shares used in the calculation of basic and diluted earnings per common share follows:</w:t>
      </w:r>
    </w:p>
    <w:p>
      <w:pPr>
        <w:spacing w:after="0" w:line="29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-7620</wp:posOffset>
            </wp:positionV>
            <wp:extent cx="159829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tcPr>
          <w:p>
            <w:pPr>
              <w:spacing w:after="0"/>
              <w:rPr>
                <w:sz w:val="14"/>
                <w:szCs w:val="14"/>
                <w:color w:val="auto"/>
              </w:rPr>
            </w:pP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06"/>
        </w:trPr>
        <w:tc>
          <w:tcPr>
            <w:tcW w:w="8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7,322,385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7,318,271</w:t>
            </w: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Effect of dilutive securities, common share equivalents</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38,179</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26,292</w:t>
            </w:r>
          </w:p>
        </w:tc>
      </w:tr>
      <w:tr>
        <w:trPr>
          <w:trHeight w:val="206"/>
        </w:trPr>
        <w:tc>
          <w:tcPr>
            <w:tcW w:w="880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used for computing diluted earnings per share</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7,360,564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7,344,563</w:t>
            </w:r>
          </w:p>
        </w:tc>
      </w:tr>
      <w:tr>
        <w:trPr>
          <w:trHeight w:val="20"/>
        </w:trPr>
        <w:tc>
          <w:tcPr>
            <w:tcW w:w="8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4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March 27, 2015, the Company entered into a lease agreement for an additional office facility for KICO located in Valley Stream, NY under a non-cancelable operating lease. In addition to the base rental costs, occupancy lease agreements generally provide for rent escalations resulting from increased assessments from real estate taxes and other charges.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lease commencement date was July 1, 2015 and rent commencement begins January 1, 2016. The lease has a term of seven years and six months.</w:t>
      </w:r>
    </w:p>
    <w:p>
      <w:pPr>
        <w:spacing w:after="0" w:line="255"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color w:val="auto"/>
        </w:rPr>
        <w:t>Rent expense under the lease will be recognized on a straight-line basis over the lease term. At March 31, 2016, cumulative rent expense exceeded cumulative rent payments by $53,190. This difference is recorded as deferred rent and is included in accounts payable, accrued expenses and other liabilities in the accompanying condensed consolidated balance sheets.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As of March 31, 2016, aggregate future minimum rental commitments under the Company’s lease agreement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2016 (nine months)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75,563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104,276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107,926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111,703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115,613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243,506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758,587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Rent expense for the three months ended March 31, 2016 amounted to $26,126 and is included in the condensed consolidated statements of income and comprehensive income within other underwriting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Premium Finance Placement Fees</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July 17,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The Company received a one-time payment of $350,000 in exchange for the fees that the Company would have received during the Termination Period. The Company’s premium financing business consisted of the placement fees that Payments earned from placing contracts.</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Placement fee revenue included in other income and the related direct expenses included in other operating expenses in the condensed consolidated statements of net income and comprehensive income are as follows (unaudited:</w:t>
      </w:r>
    </w:p>
    <w:p>
      <w:pPr>
        <w:spacing w:after="0" w:line="24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-7620</wp:posOffset>
            </wp:positionV>
            <wp:extent cx="159829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53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Placement fee revenue</w:t>
            </w:r>
          </w:p>
        </w:tc>
        <w:tc>
          <w:tcPr>
            <w:tcW w:w="530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54,343</w:t>
            </w:r>
          </w:p>
        </w:tc>
        <w:tc>
          <w:tcPr>
            <w:tcW w:w="0" w:type="dxa"/>
            <w:vAlign w:val="bottom"/>
          </w:tcPr>
          <w:p>
            <w:pPr>
              <w:spacing w:after="0"/>
              <w:rPr>
                <w:sz w:val="1"/>
                <w:szCs w:val="1"/>
                <w:color w:val="auto"/>
              </w:rPr>
            </w:pPr>
          </w:p>
        </w:tc>
      </w:tr>
      <w:tr>
        <w:trPr>
          <w:trHeight w:val="206"/>
        </w:trPr>
        <w:tc>
          <w:tcPr>
            <w:tcW w:w="4400" w:type="dxa"/>
            <w:vAlign w:val="bottom"/>
          </w:tcPr>
          <w:p>
            <w:pPr>
              <w:ind w:left="40"/>
              <w:spacing w:after="0"/>
              <w:rPr>
                <w:sz w:val="20"/>
                <w:szCs w:val="20"/>
                <w:color w:val="auto"/>
              </w:rPr>
            </w:pPr>
            <w:r>
              <w:rPr>
                <w:rFonts w:ascii="Arial" w:cs="Arial" w:eastAsia="Arial" w:hAnsi="Arial"/>
                <w:sz w:val="17"/>
                <w:szCs w:val="17"/>
                <w:color w:val="auto"/>
              </w:rPr>
              <w:t>Early termination fee</w:t>
            </w:r>
          </w:p>
        </w:tc>
        <w:tc>
          <w:tcPr>
            <w:tcW w:w="4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Direct expenses</w:t>
            </w:r>
          </w:p>
        </w:tc>
        <w:tc>
          <w:tcPr>
            <w:tcW w:w="4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(12,989)</w:t>
            </w:r>
          </w:p>
        </w:tc>
        <w:tc>
          <w:tcPr>
            <w:tcW w:w="0" w:type="dxa"/>
            <w:vAlign w:val="bottom"/>
          </w:tcPr>
          <w:p>
            <w:pPr>
              <w:spacing w:after="0"/>
              <w:rPr>
                <w:sz w:val="1"/>
                <w:szCs w:val="1"/>
                <w:color w:val="auto"/>
              </w:rPr>
            </w:pPr>
          </w:p>
        </w:tc>
      </w:tr>
      <w:tr>
        <w:trPr>
          <w:trHeight w:val="26"/>
        </w:trPr>
        <w:tc>
          <w:tcPr>
            <w:tcW w:w="44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00" w:type="dxa"/>
            <w:vAlign w:val="bottom"/>
          </w:tcPr>
          <w:p>
            <w:pPr>
              <w:ind w:left="40"/>
              <w:spacing w:after="0"/>
              <w:rPr>
                <w:sz w:val="20"/>
                <w:szCs w:val="20"/>
                <w:color w:val="auto"/>
              </w:rPr>
            </w:pPr>
            <w:r>
              <w:rPr>
                <w:rFonts w:ascii="Arial" w:cs="Arial" w:eastAsia="Arial" w:hAnsi="Arial"/>
                <w:sz w:val="17"/>
                <w:szCs w:val="17"/>
                <w:color w:val="auto"/>
              </w:rPr>
              <w:t>Net income before taxes from placement fees</w:t>
            </w:r>
          </w:p>
        </w:tc>
        <w:tc>
          <w:tcPr>
            <w:tcW w:w="4400" w:type="dxa"/>
            <w:vAlign w:val="bottom"/>
          </w:tcPr>
          <w:p>
            <w:pPr>
              <w:spacing w:after="0"/>
              <w:rPr>
                <w:sz w:val="17"/>
                <w:szCs w:val="17"/>
                <w:color w:val="auto"/>
              </w:rPr>
            </w:pPr>
          </w:p>
        </w:tc>
        <w:tc>
          <w:tcPr>
            <w:tcW w:w="900" w:type="dxa"/>
            <w:vAlign w:val="bottom"/>
          </w:tcPr>
          <w:p>
            <w:pPr>
              <w:jc w:val="right"/>
              <w:ind w:right="714"/>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391,354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400" w:type="dxa"/>
            <w:vAlign w:val="bottom"/>
            <w:vMerge w:val="restart"/>
          </w:tcPr>
          <w:p>
            <w:pPr>
              <w:jc w:val="right"/>
              <w:ind w:right="2920"/>
              <w:spacing w:after="0"/>
              <w:rPr>
                <w:sz w:val="20"/>
                <w:szCs w:val="20"/>
                <w:color w:val="auto"/>
              </w:rPr>
            </w:pPr>
            <w:r>
              <w:rPr>
                <w:rFonts w:ascii="Arial" w:cs="Arial" w:eastAsia="Arial" w:hAnsi="Arial"/>
                <w:sz w:val="17"/>
                <w:szCs w:val="17"/>
                <w:color w:val="auto"/>
              </w:rPr>
              <w:t>32</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44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00" w:type="dxa"/>
            <w:vAlign w:val="bottom"/>
            <w:tcBorders>
              <w:bottom w:val="single" w:sz="8" w:color="808080"/>
            </w:tcBorders>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Note 12 – Subsequent Events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Company has evaluated events that occurred subsequent to March 31, 2016 through the date these financial statements were issued for matters that required disclosure or adjustment in these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On May 11, 2016, the Company’s Board of Directors approved a quarterly dividend of $.0625 per share payable in cash on June 15, 2016 to stockholders of record as of May 31, 2016.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Private Placement of Common Stock</w:t>
      </w:r>
    </w:p>
    <w:p>
      <w:pPr>
        <w:spacing w:after="0" w:line="243" w:lineRule="exact"/>
        <w:rPr>
          <w:sz w:val="20"/>
          <w:szCs w:val="20"/>
          <w:color w:val="auto"/>
        </w:rPr>
      </w:pPr>
    </w:p>
    <w:p>
      <w:pPr>
        <w:ind w:right="320"/>
        <w:spacing w:after="0" w:line="349" w:lineRule="auto"/>
        <w:rPr>
          <w:sz w:val="20"/>
          <w:szCs w:val="20"/>
          <w:color w:val="auto"/>
        </w:rPr>
      </w:pPr>
      <w:r>
        <w:rPr>
          <w:rFonts w:ascii="Arial" w:cs="Arial" w:eastAsia="Arial" w:hAnsi="Arial"/>
          <w:sz w:val="15"/>
          <w:szCs w:val="15"/>
          <w:color w:val="auto"/>
        </w:rPr>
        <w:t>On April 18, 2016 the Company sold 595,238 newly issued shares of its common stock to RenaissanceRe Ventures Ltd., a subsidiary of RenaissanceRe Holdings Ltd. (NYSE:RNR) (“RenaissanceRe”), in a private placement. RenaissanceRe is a global provider of catastrophe and specialty reinsurance and insurance.</w:t>
      </w:r>
    </w:p>
    <w:p>
      <w:pPr>
        <w:spacing w:after="0" w:line="144" w:lineRule="exact"/>
        <w:rPr>
          <w:sz w:val="20"/>
          <w:szCs w:val="20"/>
          <w:color w:val="auto"/>
        </w:rPr>
      </w:pPr>
    </w:p>
    <w:p>
      <w:pPr>
        <w:jc w:val="both"/>
        <w:ind w:right="500"/>
        <w:spacing w:after="0" w:line="349" w:lineRule="auto"/>
        <w:rPr>
          <w:sz w:val="20"/>
          <w:szCs w:val="20"/>
          <w:color w:val="auto"/>
        </w:rPr>
      </w:pPr>
      <w:r>
        <w:rPr>
          <w:rFonts w:ascii="Arial" w:cs="Arial" w:eastAsia="Arial" w:hAnsi="Arial"/>
          <w:sz w:val="15"/>
          <w:szCs w:val="15"/>
          <w:color w:val="auto"/>
        </w:rPr>
        <w:t>The new common shares were sold to RenaissanceRe at a price of $8.40 per share. The Company received net proceeds of approximately $4,850,000 from the private placement. The Company intends to use the net proceeds of the offering to support the continued growth of KICO, and for general corporate purposes.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3" w:name="page34"/>
    <w:bookmarkEnd w:id="33"/>
    <w:p>
      <w:pPr>
        <w:spacing w:after="0"/>
        <w:tabs>
          <w:tab w:leader="none" w:pos="1200" w:val="left"/>
        </w:tabs>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offer property and casualty insurance products to small businesses and individuals in New York State through our subsidiary, Kingstone Insurance Company (“KICO”). KICO’s insureds are located primarily in downstate New York, consisting of New York City, Long Island and Westchester County. We are also licensed in the States of New Jersey, Connecticut, Pennsylvania, Rhode Island and Texas.</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21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for losses, various loss adjustment expenses (“LAE”) are incurred such as insurance adjusters’ fees and litigation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operating expenses include our corporate expenses as a holding company. These expenses include legal and auditing fees, executive employment costs, and other costs directly associated with being a public company.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Lines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Our product lines include the following:</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3-4 family dwelling package, cooperative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condominium, renters, equipment breakdown and service line endorsements, and personal umbrella policies.</w:t>
      </w:r>
    </w:p>
    <w:p>
      <w:pPr>
        <w:spacing w:after="0" w:line="189" w:lineRule="exact"/>
        <w:rPr>
          <w:sz w:val="20"/>
          <w:szCs w:val="20"/>
          <w:color w:val="auto"/>
        </w:rPr>
      </w:pPr>
    </w:p>
    <w:p>
      <w:pPr>
        <w:jc w:val="both"/>
        <w:ind w:firstLine="675"/>
        <w:spacing w:after="0" w:line="266"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We offer business owners policies, which consist primarily of small business retail, service, and office risks without a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We also write artisan’s liability policies for small independent contractors with seven or fewer employees. In addition, we write special multi-peril policies for larger and more specialized business owners’ risks, including those with limited residential exposures.</w:t>
      </w:r>
    </w:p>
    <w:p>
      <w:pPr>
        <w:spacing w:after="0" w:line="20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b w:val="1"/>
          <w:bCs w:val="1"/>
          <w:i w:val="1"/>
          <w:iCs w:val="1"/>
          <w:color w:val="auto"/>
        </w:rPr>
        <w:t xml:space="preserve">Commercial automobile: </w:t>
      </w:r>
      <w:r>
        <w:rPr>
          <w:rFonts w:ascii="Arial" w:cs="Arial" w:eastAsia="Arial" w:hAnsi="Arial"/>
          <w:sz w:val="17"/>
          <w:szCs w:val="17"/>
          <w:color w:val="auto"/>
        </w:rPr>
        <w:t>Until recently we provided liability and physical damage coverage for light vehicles owned by small contractors and artisans.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However, due to the poor performance of this line, effective October 1, 2014, we decided to no longer accept new commercial auto policies. In February 2015, we decided to no longer offer renewals to our existing commercial auto policies beginning with those that expired on or after May 1, 2015. As of April 30, 2016 we have no commercial auto policies in force and this product line will be in run-off until all claims are paid.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4" w:name="page35"/>
    <w:bookmarkEnd w:id="34"/>
    <w:p>
      <w:pPr>
        <w:jc w:val="both"/>
        <w:ind w:firstLine="620"/>
        <w:spacing w:after="0" w:line="280"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also have a small participation in mandatory state joint underwriting associations.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ratio of net losses and loss adjustment expenses (“LAE”) incurred to net premiums earned.</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20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 excludes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214"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2016 Compared to Three Months Ended March 31, 2015</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93"/>
              </w:rPr>
              <w:t>Three months ended March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Direct written premiums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23,043</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19,489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3,554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Assumed written premiums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980" w:type="dxa"/>
            <w:vAlign w:val="bottom"/>
          </w:tcPr>
          <w:p>
            <w:pPr>
              <w:jc w:val="right"/>
              <w:spacing w:after="0"/>
              <w:rPr>
                <w:sz w:val="20"/>
                <w:szCs w:val="20"/>
                <w:color w:val="auto"/>
              </w:rPr>
            </w:pPr>
            <w:r>
              <w:rPr>
                <w:rFonts w:ascii="Arial" w:cs="Arial" w:eastAsia="Arial" w:hAnsi="Arial"/>
                <w:sz w:val="17"/>
                <w:szCs w:val="17"/>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23,048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19,497</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3,551</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Ceded written premiums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Ceded to quota share treaties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(1,505)</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Ceded to excess of loss treaties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307</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12</w:t>
            </w:r>
          </w:p>
        </w:tc>
        <w:tc>
          <w:tcPr>
            <w:tcW w:w="980" w:type="dxa"/>
            <w:vAlign w:val="bottom"/>
          </w:tcPr>
          <w:p>
            <w:pPr>
              <w:jc w:val="right"/>
              <w:spacing w:after="0"/>
              <w:rPr>
                <w:sz w:val="20"/>
                <w:szCs w:val="20"/>
                <w:color w:val="auto"/>
              </w:rPr>
            </w:pPr>
            <w:r>
              <w:rPr>
                <w:rFonts w:ascii="Arial" w:cs="Arial" w:eastAsia="Arial" w:hAnsi="Arial"/>
                <w:sz w:val="17"/>
                <w:szCs w:val="17"/>
                <w:color w:val="auto"/>
              </w:rPr>
              <w:t>3.9 %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Ceded to catastrophe treaties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Total ceded written premiums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(233)</w:t>
            </w: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Net written premiums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14,662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10,878</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3,784</w:t>
            </w:r>
          </w:p>
        </w:tc>
        <w:tc>
          <w:tcPr>
            <w:tcW w:w="980" w:type="dxa"/>
            <w:vAlign w:val="bottom"/>
          </w:tcPr>
          <w:p>
            <w:pPr>
              <w:jc w:val="right"/>
              <w:spacing w:after="0"/>
              <w:rPr>
                <w:sz w:val="20"/>
                <w:szCs w:val="20"/>
                <w:color w:val="auto"/>
              </w:rPr>
            </w:pPr>
            <w:r>
              <w:rPr>
                <w:rFonts w:ascii="Arial" w:cs="Arial" w:eastAsia="Arial" w:hAnsi="Arial"/>
                <w:sz w:val="17"/>
                <w:szCs w:val="17"/>
                <w:color w:val="auto"/>
              </w:rPr>
              <w:t>34.8 %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Change in net unearned premiums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tcBorders>
              <w:top w:val="single" w:sz="8" w:color="CCEEFF"/>
            </w:tcBorders>
            <w:gridSpan w:val="2"/>
          </w:tcPr>
          <w:p>
            <w:pPr>
              <w:ind w:left="40"/>
              <w:spacing w:after="0"/>
              <w:rPr>
                <w:sz w:val="20"/>
                <w:szCs w:val="20"/>
                <w:color w:val="auto"/>
              </w:rPr>
            </w:pPr>
            <w:r>
              <w:rPr>
                <w:rFonts w:ascii="Arial" w:cs="Arial" w:eastAsia="Arial" w:hAnsi="Arial"/>
                <w:sz w:val="17"/>
                <w:szCs w:val="17"/>
                <w:color w:val="auto"/>
              </w:rPr>
              <w:t>Net premiums earned</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14,532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10,386</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4,146</w:t>
            </w: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39.9 %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Ceding commission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Excluding the effect of catastrophes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(1,434)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Effect of catastrophes (1)</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(1,115)</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1,115</w:t>
            </w:r>
          </w:p>
        </w:tc>
        <w:tc>
          <w:tcPr>
            <w:tcW w:w="980" w:type="dxa"/>
            <w:vAlign w:val="bottom"/>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Net investment income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574</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239</w:t>
            </w:r>
          </w:p>
        </w:tc>
        <w:tc>
          <w:tcPr>
            <w:tcW w:w="980" w:type="dxa"/>
            <w:vAlign w:val="bottom"/>
          </w:tcPr>
          <w:p>
            <w:pPr>
              <w:jc w:val="right"/>
              <w:spacing w:after="0"/>
              <w:rPr>
                <w:sz w:val="20"/>
                <w:szCs w:val="20"/>
                <w:color w:val="auto"/>
              </w:rPr>
            </w:pPr>
            <w:r>
              <w:rPr>
                <w:rFonts w:ascii="Arial" w:cs="Arial" w:eastAsia="Arial" w:hAnsi="Arial"/>
                <w:sz w:val="17"/>
                <w:szCs w:val="17"/>
                <w:color w:val="auto"/>
              </w:rPr>
              <w:t>41.6 %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realized gain(loss) on investments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Other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(382)</w:t>
            </w:r>
          </w:p>
        </w:tc>
        <w:tc>
          <w:tcPr>
            <w:tcW w:w="980" w:type="dxa"/>
            <w:vAlign w:val="bottom"/>
          </w:tcPr>
          <w:p>
            <w:pPr>
              <w:jc w:val="right"/>
              <w:spacing w:after="0"/>
              <w:rPr>
                <w:sz w:val="20"/>
                <w:szCs w:val="20"/>
                <w:color w:val="auto"/>
              </w:rPr>
            </w:pPr>
            <w:r>
              <w:rPr>
                <w:rFonts w:ascii="Arial" w:cs="Arial" w:eastAsia="Arial" w:hAnsi="Arial"/>
                <w:sz w:val="17"/>
                <w:szCs w:val="17"/>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14,613</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3,831</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Loss and loss adjustment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Direct and assumed: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11,460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8,426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3,034</w:t>
            </w:r>
          </w:p>
        </w:tc>
        <w:tc>
          <w:tcPr>
            <w:tcW w:w="980" w:type="dxa"/>
            <w:vAlign w:val="bottom"/>
          </w:tcPr>
          <w:p>
            <w:pPr>
              <w:jc w:val="right"/>
              <w:spacing w:after="0"/>
              <w:rPr>
                <w:sz w:val="20"/>
                <w:szCs w:val="20"/>
                <w:color w:val="auto"/>
              </w:rPr>
            </w:pPr>
            <w:r>
              <w:rPr>
                <w:rFonts w:ascii="Arial" w:cs="Arial" w:eastAsia="Arial" w:hAnsi="Arial"/>
                <w:sz w:val="17"/>
                <w:szCs w:val="17"/>
                <w:color w:val="auto"/>
              </w:rPr>
              <w:t>36.0 %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Losses from catastrophes (1)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(1,748)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tcBorders>
              <w:top w:val="single" w:sz="8" w:color="CCEEFF"/>
            </w:tcBorders>
            <w:gridSpan w:val="2"/>
          </w:tcPr>
          <w:p>
            <w:pPr>
              <w:ind w:left="40"/>
              <w:spacing w:after="0"/>
              <w:rPr>
                <w:sz w:val="20"/>
                <w:szCs w:val="20"/>
                <w:color w:val="auto"/>
              </w:rPr>
            </w:pPr>
            <w:r>
              <w:rPr>
                <w:rFonts w:ascii="Arial" w:cs="Arial" w:eastAsia="Arial" w:hAnsi="Arial"/>
                <w:sz w:val="17"/>
                <w:szCs w:val="17"/>
                <w:color w:val="auto"/>
              </w:rPr>
              <w:t>Total direct and assumed loss and loss adjustment expenses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13,797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12,511</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10.3 %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Ceded loss and loss adjustment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Losses from catastrophes (1)</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(1,312)</w:t>
            </w:r>
          </w:p>
        </w:tc>
        <w:tc>
          <w:tcPr>
            <w:tcW w:w="980" w:type="dxa"/>
            <w:vAlign w:val="bottom"/>
          </w:tcPr>
          <w:p>
            <w:pPr>
              <w:jc w:val="right"/>
              <w:spacing w:after="0"/>
              <w:rPr>
                <w:sz w:val="20"/>
                <w:szCs w:val="20"/>
                <w:color w:val="auto"/>
              </w:rPr>
            </w:pPr>
            <w:r>
              <w:rPr>
                <w:rFonts w:ascii="Arial" w:cs="Arial" w:eastAsia="Arial" w:hAnsi="Arial"/>
                <w:sz w:val="17"/>
                <w:szCs w:val="17"/>
                <w:color w:val="auto"/>
              </w:rPr>
              <w:t>(58.4)%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ceded loss and loss adjustment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(1,135)</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loss and loss adjustment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8,082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2,857</w:t>
            </w:r>
          </w:p>
        </w:tc>
        <w:tc>
          <w:tcPr>
            <w:tcW w:w="980" w:type="dxa"/>
            <w:vAlign w:val="bottom"/>
          </w:tcPr>
          <w:p>
            <w:pPr>
              <w:jc w:val="right"/>
              <w:spacing w:after="0"/>
              <w:rPr>
                <w:sz w:val="20"/>
                <w:szCs w:val="20"/>
                <w:color w:val="auto"/>
              </w:rPr>
            </w:pPr>
            <w:r>
              <w:rPr>
                <w:rFonts w:ascii="Arial" w:cs="Arial" w:eastAsia="Arial" w:hAnsi="Arial"/>
                <w:sz w:val="17"/>
                <w:szCs w:val="17"/>
                <w:color w:val="auto"/>
              </w:rPr>
              <w:t>54.7 %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Losses from catastrophes (1)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tcBorders>
              <w:top w:val="single" w:sz="8" w:color="CCEEFF"/>
            </w:tcBorders>
            <w:gridSpan w:val="2"/>
          </w:tcPr>
          <w:p>
            <w:pPr>
              <w:ind w:left="40"/>
              <w:spacing w:after="0"/>
              <w:rPr>
                <w:sz w:val="20"/>
                <w:szCs w:val="20"/>
                <w:color w:val="auto"/>
              </w:rPr>
            </w:pPr>
            <w:r>
              <w:rPr>
                <w:rFonts w:ascii="Arial" w:cs="Arial" w:eastAsia="Arial" w:hAnsi="Arial"/>
                <w:sz w:val="17"/>
                <w:szCs w:val="17"/>
                <w:color w:val="auto"/>
              </w:rPr>
              <w:t>Net loss and loss adjustment expenses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9,484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7,063</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2,421</w:t>
            </w: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34.3 %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Commission expense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858</w:t>
            </w:r>
          </w:p>
        </w:tc>
        <w:tc>
          <w:tcPr>
            <w:tcW w:w="980" w:type="dxa"/>
            <w:vAlign w:val="bottom"/>
          </w:tcPr>
          <w:p>
            <w:pPr>
              <w:jc w:val="right"/>
              <w:spacing w:after="0"/>
              <w:rPr>
                <w:sz w:val="20"/>
                <w:szCs w:val="20"/>
                <w:color w:val="auto"/>
              </w:rPr>
            </w:pPr>
            <w:r>
              <w:rPr>
                <w:rFonts w:ascii="Arial" w:cs="Arial" w:eastAsia="Arial" w:hAnsi="Arial"/>
                <w:sz w:val="17"/>
                <w:szCs w:val="17"/>
                <w:color w:val="auto"/>
              </w:rPr>
              <w:t>25.1 %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 underwriting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Other operating expenses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328</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980" w:type="dxa"/>
            <w:vAlign w:val="bottom"/>
          </w:tcPr>
          <w:p>
            <w:pPr>
              <w:jc w:val="right"/>
              <w:spacing w:after="0"/>
              <w:rPr>
                <w:sz w:val="20"/>
                <w:szCs w:val="20"/>
                <w:color w:val="auto"/>
              </w:rPr>
            </w:pPr>
            <w:r>
              <w:rPr>
                <w:rFonts w:ascii="Arial" w:cs="Arial" w:eastAsia="Arial" w:hAnsi="Arial"/>
                <w:sz w:val="17"/>
                <w:szCs w:val="17"/>
                <w:color w:val="auto"/>
              </w:rPr>
              <w:t>0.3 %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Total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14,039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3,675</w:t>
            </w:r>
          </w:p>
        </w:tc>
        <w:tc>
          <w:tcPr>
            <w:tcW w:w="980" w:type="dxa"/>
            <w:vAlign w:val="bottom"/>
          </w:tcPr>
          <w:p>
            <w:pPr>
              <w:jc w:val="right"/>
              <w:spacing w:after="0"/>
              <w:rPr>
                <w:sz w:val="20"/>
                <w:szCs w:val="20"/>
                <w:color w:val="auto"/>
              </w:rPr>
            </w:pPr>
            <w:r>
              <w:rPr>
                <w:rFonts w:ascii="Arial" w:cs="Arial" w:eastAsia="Arial" w:hAnsi="Arial"/>
                <w:sz w:val="17"/>
                <w:szCs w:val="17"/>
                <w:color w:val="auto"/>
              </w:rPr>
              <w:t>26.2 %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80" w:type="dxa"/>
            <w:vAlign w:val="bottom"/>
            <w:gridSpan w:val="2"/>
          </w:tcPr>
          <w:p>
            <w:pPr>
              <w:ind w:left="40"/>
              <w:spacing w:after="0"/>
              <w:rPr>
                <w:sz w:val="20"/>
                <w:szCs w:val="20"/>
                <w:color w:val="auto"/>
              </w:rPr>
            </w:pPr>
            <w:r>
              <w:rPr>
                <w:rFonts w:ascii="Arial" w:cs="Arial" w:eastAsia="Arial" w:hAnsi="Arial"/>
                <w:sz w:val="17"/>
                <w:szCs w:val="17"/>
                <w:color w:val="auto"/>
              </w:rPr>
              <w:t>Income from operations before taxes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574</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157</w:t>
            </w:r>
          </w:p>
        </w:tc>
        <w:tc>
          <w:tcPr>
            <w:tcW w:w="980" w:type="dxa"/>
            <w:vAlign w:val="bottom"/>
          </w:tcPr>
          <w:p>
            <w:pPr>
              <w:jc w:val="right"/>
              <w:spacing w:after="0"/>
              <w:rPr>
                <w:sz w:val="20"/>
                <w:szCs w:val="20"/>
                <w:color w:val="auto"/>
              </w:rPr>
            </w:pPr>
            <w:r>
              <w:rPr>
                <w:rFonts w:ascii="Arial" w:cs="Arial" w:eastAsia="Arial" w:hAnsi="Arial"/>
                <w:sz w:val="17"/>
                <w:szCs w:val="17"/>
                <w:color w:val="auto"/>
              </w:rPr>
              <w:t>27.4%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Provision for income tax</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80" w:type="dxa"/>
            <w:vAlign w:val="bottom"/>
            <w:tcBorders>
              <w:top w:val="single" w:sz="8" w:color="CCEEFF"/>
            </w:tcBorders>
            <w:gridSpan w:val="2"/>
          </w:tcPr>
          <w:p>
            <w:pPr>
              <w:ind w:left="4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
        <w:spacing w:after="0" w:line="260" w:lineRule="auto"/>
        <w:tabs>
          <w:tab w:leader="none" w:pos="279"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months ended March 31, 2016 and 2015,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00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0"/>
                <w:szCs w:val="10"/>
                <w:color w:val="auto"/>
              </w:rPr>
            </w:pPr>
          </w:p>
        </w:tc>
        <w:tc>
          <w:tcPr>
            <w:tcW w:w="13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7"/>
              </w:rPr>
              <w:t>Percentage Point</w:t>
            </w: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3"/>
              </w:rPr>
              <w:t>Percent Change</w:t>
            </w:r>
          </w:p>
        </w:tc>
        <w:tc>
          <w:tcPr>
            <w:tcW w:w="2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6760" w:type="dxa"/>
            <w:vAlign w:val="bottom"/>
            <w:gridSpan w:val="2"/>
          </w:tcPr>
          <w:p>
            <w:pPr>
              <w:ind w:left="40"/>
              <w:spacing w:after="0"/>
              <w:rPr>
                <w:sz w:val="20"/>
                <w:szCs w:val="20"/>
                <w:color w:val="auto"/>
              </w:rPr>
            </w:pPr>
            <w:r>
              <w:rPr>
                <w:rFonts w:ascii="Arial" w:cs="Arial" w:eastAsia="Arial" w:hAnsi="Arial"/>
                <w:sz w:val="17"/>
                <w:szCs w:val="17"/>
                <w:b w:val="1"/>
                <w:bCs w:val="1"/>
                <w:color w:val="auto"/>
              </w:rPr>
              <w:t>Key ratios: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loss ratio</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7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31.6%</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29.9%</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1.7</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5.7 %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combined ratio</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Direct written premiums during the three months ended March 31, 2016 (“2016”) were $23,043,000 compared to $19,489,000 during the three months ended March 31, 2015 (“2015”). The increase of $3,554,000, or 18.2%, was primarily due to an increase in policies in-force during 2016 as compared to 2015. We wrote more new policies as a result of continued demand for our products in the markets that we serve. Policies in-force increased by 17.5% as of March 31, 2016 compared to March 31, 2015.</w:t>
      </w:r>
    </w:p>
    <w:p>
      <w:pPr>
        <w:spacing w:after="0" w:line="179"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Our growth rate in direct premiums written was dampened somewhat due to the suspension,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 on or after May 1, 2015. Our direct written premiums in our continuing lines of business grew by 21.6% in 2016 compared to 2015. Policies-in-force in our continuing lines of business increased by 18.9% as March 31, 2016 compared to March 31, 2015.</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describes the quota share reinsurance ceding rates in effect during 2016 and 2015.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253"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4"/>
        </w:trPr>
        <w:tc>
          <w:tcPr>
            <w:tcW w:w="87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45"/>
              <w:spacing w:after="0" w:line="148"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48"/>
              <w:spacing w:after="0" w:line="148"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760" w:type="dxa"/>
            <w:vAlign w:val="bottom"/>
          </w:tcPr>
          <w:p>
            <w:pPr>
              <w:spacing w:after="0"/>
              <w:rPr>
                <w:sz w:val="10"/>
                <w:szCs w:val="10"/>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("2015/2016 Treaty")</w:t>
            </w:r>
          </w:p>
        </w:tc>
        <w:tc>
          <w:tcPr>
            <w:tcW w:w="11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("2014/2015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7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Treaty")</w:t>
            </w:r>
          </w:p>
        </w:tc>
        <w:tc>
          <w:tcPr>
            <w:tcW w:w="0" w:type="dxa"/>
            <w:vAlign w:val="bottom"/>
          </w:tcPr>
          <w:p>
            <w:pPr>
              <w:spacing w:after="0"/>
              <w:rPr>
                <w:sz w:val="1"/>
                <w:szCs w:val="1"/>
                <w:color w:val="auto"/>
              </w:rPr>
            </w:pPr>
          </w:p>
        </w:tc>
      </w:tr>
      <w:tr>
        <w:trPr>
          <w:trHeight w:val="398"/>
        </w:trPr>
        <w:tc>
          <w:tcPr>
            <w:tcW w:w="8760" w:type="dxa"/>
            <w:vAlign w:val="bottom"/>
          </w:tcPr>
          <w:p>
            <w:pPr>
              <w:ind w:left="40"/>
              <w:spacing w:after="0"/>
              <w:rPr>
                <w:sz w:val="20"/>
                <w:szCs w:val="20"/>
                <w:color w:val="auto"/>
              </w:rPr>
            </w:pPr>
            <w:r>
              <w:rPr>
                <w:rFonts w:ascii="Arial" w:cs="Arial" w:eastAsia="Arial" w:hAnsi="Arial"/>
                <w:sz w:val="17"/>
                <w:szCs w:val="17"/>
                <w:b w:val="1"/>
                <w:bCs w:val="1"/>
                <w:color w:val="auto"/>
              </w:rPr>
              <w:t>Quota share reinsurance rates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Net written premiums increased $3,784,000, or 34.8%, to $14,662,000 in 2016 from $10,878,000 in 2015.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88" w:right="239" w:bottom="1440" w:gutter="0" w:footer="0" w:header="0"/>
        </w:sectPr>
      </w:pPr>
    </w:p>
    <w:bookmarkStart w:id="37" w:name="page38"/>
    <w:bookmarkEnd w:id="37"/>
    <w:p>
      <w:pPr>
        <w:jc w:val="both"/>
        <w:ind w:firstLine="620"/>
        <w:spacing w:after="0" w:line="283" w:lineRule="auto"/>
        <w:rPr>
          <w:sz w:val="20"/>
          <w:szCs w:val="20"/>
          <w:color w:val="auto"/>
        </w:rPr>
      </w:pPr>
      <w:r>
        <w:rPr>
          <w:rFonts w:ascii="Arial" w:cs="Arial" w:eastAsia="Arial" w:hAnsi="Arial"/>
          <w:sz w:val="16"/>
          <w:szCs w:val="16"/>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The new treaty is on a “net” of catastrophe reinsurance basis, as opposed to the “gross” arrangement that existed in prior years. Under a “net” arrangement, all catastrophe reinsurance coverage is now purchased directly by us, which increases our ceded premium for that component.</w:t>
      </w:r>
    </w:p>
    <w:p>
      <w:pPr>
        <w:spacing w:after="0" w:line="190"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all of our direct written premiums subject to the quota share, compared to catastrophe premiums being paid only on the amount of written premiums that we retained under the expired “gross” basis. As a result of the increase in our personal lines business and the change to a “net” basis for our personal lines quota share treaty, ceded catastrophe premiums increased by $1,260,000, or 128.0%, to $2,244,000 in 2016 from $984,000 in 2015.</w:t>
      </w:r>
    </w:p>
    <w:p>
      <w:pPr>
        <w:spacing w:after="0" w:line="187"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An increase in written premiums will also increase the premiums ceded under our excess of loss treaties, which incrementally reduces our net written premiums. In 2016, our ceded excess of loss reinsurance premiums increased by $12,000 over the ceded premiums for 2015.</w:t>
      </w:r>
    </w:p>
    <w:p>
      <w:pPr>
        <w:spacing w:after="0" w:line="16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Net premiums earned increased $4,146,000, or 39.9%, to $14,532,000 in 2016 from $10,386,000 in 2015. The increase was primarily due to us retaining more earned premiums as result of the reduction of the quota share percentage in our personal lines quota share treaty. The decreases in our quota share ceding percentages from the July 1, 2015 and 2014 Cut-offs gave us a return of premiums previously ceded, which increases our net premiums earned during the twelve month periods after the Cut-offs. In addition, as premiums written earn ratably over a twelve month period, net premiums earned in 2016 increased due to the higher net written premiums generated for the twelve months ended March 31, 2016 compared to the twelve months ended March 31, 2015.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describes the quota share provisional ceding commission rates in effect during 2016 and 2015. This table should be referred to in conjunction with the discussion for ceding commission revenue that follows.</w:t>
      </w:r>
    </w:p>
    <w:p>
      <w:pPr>
        <w:spacing w:after="0" w:line="24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4"/>
        </w:trPr>
        <w:tc>
          <w:tcPr>
            <w:tcW w:w="49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51"/>
              <w:spacing w:after="0" w:line="148"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48"/>
              <w:spacing w:after="0" w:line="148"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9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("2015/2016 Treaty")</w:t>
            </w:r>
          </w:p>
        </w:tc>
        <w:tc>
          <w:tcPr>
            <w:tcW w:w="11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("2014/2015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Treaty")</w:t>
            </w:r>
          </w:p>
        </w:tc>
        <w:tc>
          <w:tcPr>
            <w:tcW w:w="0" w:type="dxa"/>
            <w:vAlign w:val="bottom"/>
          </w:tcPr>
          <w:p>
            <w:pPr>
              <w:spacing w:after="0"/>
              <w:rPr>
                <w:sz w:val="1"/>
                <w:szCs w:val="1"/>
                <w:color w:val="auto"/>
              </w:rPr>
            </w:pPr>
          </w:p>
        </w:tc>
      </w:tr>
      <w:tr>
        <w:trPr>
          <w:trHeight w:val="398"/>
        </w:trPr>
        <w:tc>
          <w:tcPr>
            <w:tcW w:w="4920" w:type="dxa"/>
            <w:vAlign w:val="bottom"/>
          </w:tcPr>
          <w:p>
            <w:pPr>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5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811"/>
        </w:trPr>
        <w:tc>
          <w:tcPr>
            <w:tcW w:w="4920" w:type="dxa"/>
            <w:vAlign w:val="bottom"/>
          </w:tcPr>
          <w:p>
            <w:pPr>
              <w:spacing w:after="0"/>
              <w:rPr>
                <w:sz w:val="24"/>
                <w:szCs w:val="24"/>
                <w:color w:val="auto"/>
              </w:rPr>
            </w:pPr>
          </w:p>
        </w:tc>
        <w:tc>
          <w:tcPr>
            <w:tcW w:w="3840" w:type="dxa"/>
            <w:vAlign w:val="bottom"/>
          </w:tcPr>
          <w:p>
            <w:pPr>
              <w:jc w:val="right"/>
              <w:ind w:right="2874"/>
              <w:spacing w:after="0"/>
              <w:rPr>
                <w:sz w:val="20"/>
                <w:szCs w:val="20"/>
                <w:color w:val="auto"/>
              </w:rPr>
            </w:pPr>
            <w:r>
              <w:rPr>
                <w:rFonts w:ascii="Arial" w:cs="Arial" w:eastAsia="Arial" w:hAnsi="Arial"/>
                <w:sz w:val="17"/>
                <w:szCs w:val="17"/>
                <w:color w:val="auto"/>
              </w:rPr>
              <w:t>38</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92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8" w:name="page39"/>
    <w:bookmarkEnd w:id="38"/>
    <w:p>
      <w:pPr>
        <w:ind w:left="62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4"/>
              </w:rPr>
              <w:t>Three months ended March 31,</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2"/>
        </w:trPr>
        <w:tc>
          <w:tcPr>
            <w:tcW w:w="59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8"/>
                <w:szCs w:val="18"/>
                <w:color w:val="auto"/>
              </w:rPr>
            </w:pPr>
          </w:p>
        </w:tc>
      </w:tr>
      <w:tr>
        <w:trPr>
          <w:trHeight w:val="206"/>
        </w:trPr>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5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3,099</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40"/>
              <w:spacing w:after="0"/>
              <w:rPr>
                <w:sz w:val="20"/>
                <w:szCs w:val="20"/>
                <w:color w:val="auto"/>
              </w:rPr>
            </w:pPr>
            <w:r>
              <w:rPr>
                <w:rFonts w:ascii="Arial" w:cs="Arial" w:eastAsia="Arial" w:hAnsi="Arial"/>
                <w:sz w:val="17"/>
                <w:szCs w:val="17"/>
                <w:color w:val="auto"/>
              </w:rPr>
              <w:t>Contingent ceding commissions earned excluding</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the effect of catastrophes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tcPr>
          <w:p>
            <w:pPr>
              <w:ind w:left="40"/>
              <w:spacing w:after="0"/>
              <w:rPr>
                <w:sz w:val="20"/>
                <w:szCs w:val="20"/>
                <w:color w:val="auto"/>
              </w:rPr>
            </w:pPr>
            <w:r>
              <w:rPr>
                <w:rFonts w:ascii="Arial" w:cs="Arial" w:eastAsia="Arial" w:hAnsi="Arial"/>
                <w:sz w:val="17"/>
                <w:szCs w:val="17"/>
                <w:color w:val="auto"/>
              </w:rPr>
              <w:t>Effect of catastrophes on ceding commissions earned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(1,115)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1,115</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(289.1)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26"/>
        </w:trPr>
        <w:tc>
          <w:tcPr>
            <w:tcW w:w="5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2,770</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3,089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Ceding commission revenue was $2,770,000 in 2016 compared to $3,089,000 in 2015. The decrease of $319,000, or 10.3%, was due to a decrease in contingent ceding commissions earned, partially offset by an increase in provisional ceding commissions earned.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receive a provisional ceding commission based on ceded written premiums. Under the terms of the 2015/2016 Treaty, the provisional ceding commission rate increased to 55% from 40% under the 2014/2015 Treaty. The $184,000 increase in provisional ceding commissions earned is due to: (1) an increase in personal lines direct written premiums subject to the quota share and (2) an increase in the provisional ceding commission rates under the 2015/2016 Treaty, partially offset by (1) a decrease in the amount of premiums subject to provisional ceding commissions due to the reduction in quota share rates and (2) a decrease in the percentage of ceded premiums subject to quota share under the “net” 2015/2016 Treaty compared to the “gross” 2014/2015 Treaty</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243"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As a result of the increase in the provisional ceding commission rate to 55% under the 2015/2016 Treaty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17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treaty described in the table above that was in effect during 2016 are subject to change based on losses incurred from claims with accident dates beginning July 1, 2015. The amount of contingent ceding commissions we are eligible to receive under our prior years’ quota share treaties is subject to change based on losses incurred related to claims with accident dates before July 1, 2015 under those treaties.</w:t>
      </w:r>
    </w:p>
    <w:p>
      <w:pPr>
        <w:spacing w:after="0" w:line="206"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The term of our expired personal lines reinsurance quota share treaty covered the period from July 1, 2013 to June 30, 2015 (“2013/2015 Treaty”). The computation to arrive at contingent ceding commission revenue under the 2013/2015 Treaty included catastrophe losses and LAE incurred from severe winter weather during 2015 (see discussion of “Net Loss and LAE” below). Such losses increased our ceded loss ratio in our 2013/2015 Treaty, which reduced our contingent ceding commission revenue in accordance with the sliding scale discussed above in 2015 by $1,115,000. Catastrophe losses for 2016 have no impact on our contingent ceding commission revenue since the ultimate loss ratio used to determine these commissions was not affected by the 2016 severe winter weather. See “Reinsurance” below for changes to our personal lines quota share treaty effective July 1, 2015</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auto"/>
        </w:rPr>
        <w:t>Net Investment Income</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Net investment income was $813,000 in 2016 compared to $574,000 in 2015. The increase of $239,000, or 41.6%, was due to an increase in average invested assets in 2016. The increase in cash and invested assets resulted primarily from increased operating cash flows for the period after March 31, 2015. The increase in operating cash flows is due in part from the reduction in quota share rates on July 1, 2015. The reduction in quota share rates results in a decline in ceded premiums, which leads to more cash flow and more invested funds. The pre-tax equivalent investment yield on estimated annual income, excluding cash, was 4.80% and 4.79% as of March 31, 2016 and 2015,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243"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Other income was $249,000 in 2016 compared to $631,000 in 2015. The decrease of $382,000, or 60.5%, was primarily due to the $350,000 we received in 2015 as early settlement of the termination agreement that generated placement fees in our premium finance business (see Note 11 to the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Net loss and LAE was $9,484,000 in 2016 compared to $7,063,000 in 2015. The net loss ratio was 65.3% in 2016 compared to 68.0% in 2015, a decrease of 2.7 percentage points. 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128270</wp:posOffset>
            </wp:positionV>
            <wp:extent cx="3974465" cy="3695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74465" cy="369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0" w:name="page41"/>
    <w:bookmarkEnd w:id="40"/>
    <w:p>
      <w:pPr>
        <w:jc w:val="both"/>
        <w:ind w:firstLine="620"/>
        <w:spacing w:after="0" w:line="272" w:lineRule="auto"/>
        <w:rPr>
          <w:sz w:val="20"/>
          <w:szCs w:val="20"/>
          <w:color w:val="auto"/>
        </w:rPr>
      </w:pPr>
      <w:r>
        <w:rPr>
          <w:rFonts w:ascii="Arial" w:cs="Arial" w:eastAsia="Arial" w:hAnsi="Arial"/>
          <w:sz w:val="16"/>
          <w:szCs w:val="16"/>
          <w:color w:val="auto"/>
        </w:rPr>
        <w:t>During 2016, the net loss ratio decreased compared to 2015 due to a combination of several factors. First, there was continued improvement in the impact of prior year loss development, as we recorded 2.9 points of favorable prior year loss development in 2016 compared to 1.0 point of adverse (unfavorable) prior year development in 2015, or an improvement of 3.9 points year-over-year. The favorable prior year development relates mostly to commercial auto and commercial lines for accident years 2014 and prior. Second, the impact of severe winter weather, determined as the losses incurred above those expected in an average winter season, was lower in 2016 than in 2015. Severe winter weather had a 9.7 point impact on the net loss ratio in 2016 compared to 17.7 points in 2015, or a decrease of 8.0 points. In general, 2016 was a more benign winter season than 2015. However, there was one severe freezing event in mid-February with temperatures below zero in many locations. This single event resulted in numerous claims from frozen pipes and resulting water damage. Because of its timing during the start of a holiday week, this event also resulted in a few very large water damage claims that impacted our loss ratio. Thus, the average loss severity per claim was higher for the 2016 winter season than in 2015 even though the impact on the net loss ratio was lower than in 2015. As in prior years, the winter claim provision in our catastrophe reinsurance treaty that adds coverage for winter weather losses in excess of $4,000,000 over any 28 day period was not triggered. Finally, offsetting some of these improvements was an increase in the core loss ratio (excluding prior year loss development and severe winter weather), which was 58.5% in 2016 compared to 49.3% in 2015, or an increase of 9.2 points. The increase in the core net loss ratio was driven by higher average claims severity for our personal lines business. This was caused by an increase in larger fire claims in 2016 compared to 2015. See table below under “Additional Financial Information” summarizing net loss ratios by line of business.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Commercial Auto Line of Business</w:t>
      </w:r>
    </w:p>
    <w:p>
      <w:pPr>
        <w:spacing w:after="0" w:line="24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March 31, 2016, we had 34 commercial auto policies in force, which represented 0.1% of our policies in force.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Commission expense was $4,270,000 in 2016 or 18.6% of direct earned premiums. Commission expense was $3,412,000 in 2015 or 17.9% of direct earned premiums. The increase of $858,000, or 25.1%, is due to the increase in direct written premiums in 2016 as compared to 2015 and a change in the mix of business to lines of business with higher commission rates, and an increase in bonus commissions.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243"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Other underwriting expenses were $3,346,000 in 2016 compared to $2,999,000 in 2015. The increase of $347,000, or 11.6%, in other underwriting expenses was primarily due to expenses directly and indirectly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$1,516,000 in 2016 compared to $1,314,000 in 2015. The increase of $202,000, or 15.4%,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decreased to 14.5% in 2016 from 15.4% in 2015. Other underwriting expenses as a percentage of direct earned premiums decreased to 14.6% in 2016 from 15.8% in 2015.</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Our net underwriting expense ratio in 2016 was 31.6% compared with 29.9% in 2015. The following table shows the individual components of our net underwriting expense ratio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160" w:type="dxa"/>
            <w:vAlign w:val="bottom"/>
            <w:gridSpan w:val="4"/>
          </w:tcPr>
          <w:p>
            <w:pPr>
              <w:jc w:val="center"/>
              <w:ind w:left="311"/>
              <w:spacing w:after="0"/>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0"/>
        </w:trPr>
        <w:tc>
          <w:tcPr>
            <w:tcW w:w="73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March 31,</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60" w:type="dxa"/>
            <w:vAlign w:val="bottom"/>
            <w:gridSpan w:val="2"/>
          </w:tcPr>
          <w:p>
            <w:pPr>
              <w:ind w:left="7760"/>
              <w:spacing w:after="0"/>
              <w:rPr>
                <w:sz w:val="20"/>
                <w:szCs w:val="20"/>
                <w:color w:val="auto"/>
              </w:rPr>
            </w:pPr>
            <w:r>
              <w:rPr>
                <w:rFonts w:ascii="Arial" w:cs="Arial" w:eastAsia="Arial" w:hAnsi="Arial"/>
                <w:sz w:val="14"/>
                <w:szCs w:val="14"/>
                <w:b w:val="1"/>
                <w:bCs w:val="1"/>
                <w:color w:val="auto"/>
                <w:w w:val="89"/>
              </w:rPr>
              <w:t>2016</w:t>
            </w:r>
          </w:p>
        </w:tc>
        <w:tc>
          <w:tcPr>
            <w:tcW w:w="1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Point Change</w:t>
            </w:r>
          </w:p>
        </w:tc>
        <w:tc>
          <w:tcPr>
            <w:tcW w:w="0" w:type="dxa"/>
            <w:vAlign w:val="bottom"/>
          </w:tcPr>
          <w:p>
            <w:pPr>
              <w:spacing w:after="0"/>
              <w:rPr>
                <w:sz w:val="1"/>
                <w:szCs w:val="1"/>
                <w:color w:val="auto"/>
              </w:rPr>
            </w:pPr>
          </w:p>
        </w:tc>
      </w:tr>
      <w:tr>
        <w:trPr>
          <w:trHeight w:val="206"/>
        </w:trPr>
        <w:tc>
          <w:tcPr>
            <w:tcW w:w="73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Ceding commission revenue - provisional</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(21.3)%</w:t>
            </w:r>
          </w:p>
        </w:tc>
        <w:tc>
          <w:tcPr>
            <w:tcW w:w="7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(28.1)%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6"/>
        </w:trPr>
        <w:tc>
          <w:tcPr>
            <w:tcW w:w="8060" w:type="dxa"/>
            <w:vAlign w:val="bottom"/>
            <w:gridSpan w:val="2"/>
          </w:tcPr>
          <w:p>
            <w:pPr>
              <w:ind w:left="40"/>
              <w:spacing w:after="0"/>
              <w:rPr>
                <w:sz w:val="20"/>
                <w:szCs w:val="20"/>
                <w:color w:val="auto"/>
              </w:rPr>
            </w:pPr>
            <w:r>
              <w:rPr>
                <w:rFonts w:ascii="Arial" w:cs="Arial" w:eastAsia="Arial" w:hAnsi="Arial"/>
                <w:sz w:val="17"/>
                <w:szCs w:val="17"/>
                <w:color w:val="auto"/>
              </w:rPr>
              <w:t>Ceding commission revenue - contingent</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2.2</w:t>
            </w:r>
          </w:p>
        </w:tc>
        <w:tc>
          <w:tcPr>
            <w:tcW w:w="74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(1.7)</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6"/>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w:t>
            </w:r>
          </w:p>
        </w:tc>
        <w:tc>
          <w:tcPr>
            <w:tcW w:w="7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8060" w:type="dxa"/>
            <w:vAlign w:val="bottom"/>
            <w:gridSpan w:val="2"/>
          </w:tcPr>
          <w:p>
            <w:pPr>
              <w:spacing w:after="0"/>
              <w:rPr>
                <w:sz w:val="20"/>
                <w:szCs w:val="20"/>
                <w:color w:val="auto"/>
              </w:rPr>
            </w:pPr>
            <w:r>
              <w:rPr>
                <w:rFonts w:ascii="Arial" w:cs="Arial" w:eastAsia="Arial" w:hAnsi="Arial"/>
                <w:sz w:val="17"/>
                <w:szCs w:val="17"/>
                <w:color w:val="auto"/>
              </w:rPr>
              <w:t>Acquistion costs and other underwriting expenses:</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Commission expense</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29.4</w:t>
            </w:r>
          </w:p>
        </w:tc>
        <w:tc>
          <w:tcPr>
            <w:tcW w:w="7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6"/>
        </w:trPr>
        <w:tc>
          <w:tcPr>
            <w:tcW w:w="7340" w:type="dxa"/>
            <w:vAlign w:val="bottom"/>
          </w:tcPr>
          <w:p>
            <w:pPr>
              <w:ind w:left="40"/>
              <w:spacing w:after="0"/>
              <w:rPr>
                <w:sz w:val="20"/>
                <w:szCs w:val="20"/>
                <w:color w:val="auto"/>
              </w:rPr>
            </w:pPr>
            <w:r>
              <w:rPr>
                <w:rFonts w:ascii="Arial" w:cs="Arial" w:eastAsia="Arial" w:hAnsi="Arial"/>
                <w:sz w:val="17"/>
                <w:szCs w:val="17"/>
                <w:color w:val="auto"/>
              </w:rPr>
              <w:t>Other underwriting expenses</w:t>
            </w:r>
          </w:p>
        </w:tc>
        <w:tc>
          <w:tcPr>
            <w:tcW w:w="7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23.0</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28.9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underwriting expense ratio</w:t>
            </w:r>
          </w:p>
        </w:tc>
        <w:tc>
          <w:tcPr>
            <w:tcW w:w="7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782"/>
        <w:spacing w:after="0" w:line="266" w:lineRule="auto"/>
        <w:rPr>
          <w:sz w:val="20"/>
          <w:szCs w:val="20"/>
          <w:color w:val="auto"/>
        </w:rPr>
      </w:pPr>
      <w:r>
        <w:rPr>
          <w:rFonts w:ascii="Arial" w:cs="Arial" w:eastAsia="Arial" w:hAnsi="Arial"/>
          <w:sz w:val="17"/>
          <w:szCs w:val="17"/>
          <w:color w:val="auto"/>
        </w:rPr>
        <w:t>The increase of 1.7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2015.</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operating expenses, related to the expenses of our holding company, were $329,000 in 2016 compared to $328,000 in 2015. The increase in 2016 of $1,000, or 0.3%, was primarily due to immaterial net fluctuations in various other operating expenses.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Depreciation and Amortization</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Depreciation and amortization was $284,000 in 2016 compared to $236,000 in 2015. The increase of $48,000, or 20.3%, in depreciation and amortization was primarily due to depreciation on newly purchased assets used to upgrade our systems infrastructure and the Kingston, New York home office building from which we operate.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Income tax expense in 2016 was $190,000, which resulted in an effective tax rate of 26.0%. Income tax expense in 2015 was $192,000, which resulted in an effective tax rate of 33.4%. Income before taxes was $731,000 in 2016 compared to $574,000 in 2015. The decrease in the effective tax rate by 7.4 percentage points in 2016 is a result of the increase in benefits from various permanent differences.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24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Net income was $541,000 in 2016 compared to $382,000 in 2015. The increase in net income of $158,000, or 41.4%, was due to the circumstances described above that caused the increase in our net premiums earned, net investment income, and a decrease in our net loss ratio, partially offset by a decrease in ceding commission revenue, other income, and increases in other underwriting expenses related to premium growth and other 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2" w:name="page43"/>
    <w:bookmarkEnd w:id="42"/>
    <w:p>
      <w:pPr>
        <w:jc w:val="center"/>
        <w:ind w:left="8620"/>
        <w:spacing w:after="0"/>
        <w:rPr>
          <w:sz w:val="20"/>
          <w:szCs w:val="20"/>
          <w:color w:val="auto"/>
        </w:rPr>
      </w:pPr>
      <w:r>
        <w:rPr>
          <w:rFonts w:ascii="Arial" w:cs="Arial" w:eastAsia="Arial" w:hAnsi="Arial"/>
          <w:sz w:val="14"/>
          <w:szCs w:val="14"/>
          <w:b w:val="1"/>
          <w:bCs w:val="1"/>
          <w:color w:val="auto"/>
        </w:rPr>
        <w:t>For the Three Months Ended</w:t>
      </w: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-7620</wp:posOffset>
            </wp:positionV>
            <wp:extent cx="159004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90040"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760" w:type="dxa"/>
            <w:vAlign w:val="bottom"/>
            <w:gridSpan w:val="2"/>
          </w:tcPr>
          <w:p>
            <w:pPr>
              <w:spacing w:after="0"/>
              <w:rPr>
                <w:sz w:val="20"/>
                <w:szCs w:val="20"/>
                <w:color w:val="auto"/>
              </w:rPr>
            </w:pPr>
            <w:r>
              <w:rPr>
                <w:rFonts w:ascii="Arial" w:cs="Arial" w:eastAsia="Arial" w:hAnsi="Arial"/>
                <w:sz w:val="17"/>
                <w:szCs w:val="17"/>
                <w:color w:val="auto"/>
              </w:rPr>
              <w:t>Gross premiums written: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17,441,086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14,237,717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3,128,138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2,799,370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auto(1)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535,236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2,431,915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1,872,615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56,057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52,402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23,048,403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19,497,340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40" w:type="dxa"/>
            <w:vAlign w:val="bottom"/>
          </w:tcPr>
          <w:p>
            <w:pPr>
              <w:spacing w:after="0"/>
              <w:rPr>
                <w:sz w:val="20"/>
                <w:szCs w:val="20"/>
                <w:color w:val="auto"/>
              </w:rPr>
            </w:pPr>
            <w:r>
              <w:rPr>
                <w:rFonts w:ascii="Arial" w:cs="Arial" w:eastAsia="Arial" w:hAnsi="Arial"/>
                <w:sz w:val="17"/>
                <w:szCs w:val="17"/>
                <w:color w:val="auto"/>
              </w:rPr>
              <w:t>Net premiums written: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9,385,438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5,952,781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2,814,905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2,537,775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auto(1)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485,914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2,431,915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1,872,615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38,102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28,850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14,661,875</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10,877,935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40" w:type="dxa"/>
            <w:vAlign w:val="bottom"/>
          </w:tcPr>
          <w:p>
            <w:pPr>
              <w:spacing w:after="0"/>
              <w:rPr>
                <w:sz w:val="20"/>
                <w:szCs w:val="20"/>
                <w:color w:val="auto"/>
              </w:rPr>
            </w:pPr>
            <w:r>
              <w:rPr>
                <w:rFonts w:ascii="Arial" w:cs="Arial" w:eastAsia="Arial" w:hAnsi="Arial"/>
                <w:sz w:val="17"/>
                <w:szCs w:val="17"/>
                <w:color w:val="auto"/>
              </w:rPr>
              <w:t>Net premiums earned: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9,463,896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5,960,475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2,680,725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2,412,143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auto(1)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85,088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662,632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2,255,854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1,306,577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46,112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43,972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14,531,675</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10,385,799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40" w:type="dxa"/>
            <w:vAlign w:val="bottom"/>
          </w:tcPr>
          <w:p>
            <w:pPr>
              <w:spacing w:after="0"/>
              <w:rPr>
                <w:sz w:val="20"/>
                <w:szCs w:val="20"/>
                <w:color w:val="auto"/>
              </w:rPr>
            </w:pPr>
            <w:r>
              <w:rPr>
                <w:rFonts w:ascii="Arial" w:cs="Arial" w:eastAsia="Arial" w:hAnsi="Arial"/>
                <w:sz w:val="17"/>
                <w:szCs w:val="17"/>
                <w:color w:val="auto"/>
              </w:rPr>
              <w:t>Net loss and loss adjustment expenses: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7,548,551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4,348,571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910,834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1,467,693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auto(1)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(456,486)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339,208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988,553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547,741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77,146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Unallocated loss adjustment expenses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416,324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282,858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9,483,855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7,063,217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ratio:</w:t>
            </w:r>
          </w:p>
        </w:tc>
        <w:tc>
          <w:tcPr>
            <w:tcW w:w="4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6"/>
        </w:trPr>
        <w:tc>
          <w:tcPr>
            <w:tcW w:w="5560" w:type="dxa"/>
            <w:vAlign w:val="bottom"/>
            <w:gridSpan w:val="2"/>
          </w:tcPr>
          <w:p>
            <w:pPr>
              <w:spacing w:after="0"/>
              <w:rPr>
                <w:sz w:val="20"/>
                <w:szCs w:val="20"/>
                <w:color w:val="auto"/>
              </w:rPr>
            </w:pPr>
            <w:r>
              <w:rPr>
                <w:rFonts w:ascii="Arial" w:cs="Arial" w:eastAsia="Arial" w:hAnsi="Arial"/>
                <w:sz w:val="17"/>
                <w:szCs w:val="17"/>
                <w:color w:val="auto"/>
              </w:rPr>
              <w:t>Personal lines</w:t>
            </w:r>
          </w:p>
        </w:tc>
        <w:tc>
          <w:tcPr>
            <w:tcW w:w="4900" w:type="dxa"/>
            <w:vAlign w:val="bottom"/>
          </w:tcPr>
          <w:p>
            <w:pPr>
              <w:jc w:val="right"/>
              <w:ind w:right="334"/>
              <w:spacing w:after="0"/>
              <w:rPr>
                <w:sz w:val="20"/>
                <w:szCs w:val="20"/>
                <w:color w:val="auto"/>
              </w:rPr>
            </w:pPr>
            <w:r>
              <w:rPr>
                <w:rFonts w:ascii="Arial" w:cs="Arial" w:eastAsia="Arial" w:hAnsi="Arial"/>
                <w:sz w:val="17"/>
                <w:szCs w:val="17"/>
                <w:color w:val="auto"/>
              </w:rPr>
              <w:t>79.8%</w:t>
            </w:r>
          </w:p>
        </w:tc>
        <w:tc>
          <w:tcPr>
            <w:tcW w:w="960" w:type="dxa"/>
            <w:vAlign w:val="bottom"/>
          </w:tcPr>
          <w:p>
            <w:pPr>
              <w:jc w:val="right"/>
              <w:spacing w:after="0"/>
              <w:rPr>
                <w:sz w:val="20"/>
                <w:szCs w:val="20"/>
                <w:color w:val="auto"/>
              </w:rPr>
            </w:pPr>
            <w:r>
              <w:rPr>
                <w:rFonts w:ascii="Arial" w:cs="Arial" w:eastAsia="Arial" w:hAnsi="Arial"/>
                <w:sz w:val="17"/>
                <w:szCs w:val="17"/>
                <w:color w:val="auto"/>
              </w:rPr>
              <w:t>73.0%</w:t>
            </w:r>
          </w:p>
        </w:tc>
      </w:tr>
      <w:tr>
        <w:trPr>
          <w:trHeight w:val="206"/>
        </w:trPr>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490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34.0%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r>
      <w:tr>
        <w:trPr>
          <w:trHeight w:val="206"/>
        </w:trPr>
        <w:tc>
          <w:tcPr>
            <w:tcW w:w="5560" w:type="dxa"/>
            <w:vAlign w:val="bottom"/>
            <w:gridSpan w:val="2"/>
          </w:tcPr>
          <w:p>
            <w:pPr>
              <w:spacing w:after="0"/>
              <w:rPr>
                <w:sz w:val="20"/>
                <w:szCs w:val="20"/>
                <w:color w:val="auto"/>
              </w:rPr>
            </w:pPr>
            <w:r>
              <w:rPr>
                <w:rFonts w:ascii="Arial" w:cs="Arial" w:eastAsia="Arial" w:hAnsi="Arial"/>
                <w:sz w:val="17"/>
                <w:szCs w:val="17"/>
                <w:color w:val="auto"/>
              </w:rPr>
              <w:t>Commercial auto(1)</w:t>
            </w:r>
          </w:p>
        </w:tc>
        <w:tc>
          <w:tcPr>
            <w:tcW w:w="4900" w:type="dxa"/>
            <w:vAlign w:val="bottom"/>
          </w:tcPr>
          <w:p>
            <w:pPr>
              <w:jc w:val="right"/>
              <w:ind w:right="334"/>
              <w:spacing w:after="0"/>
              <w:rPr>
                <w:sz w:val="20"/>
                <w:szCs w:val="20"/>
                <w:color w:val="auto"/>
              </w:rPr>
            </w:pPr>
            <w:r>
              <w:rPr>
                <w:rFonts w:ascii="Arial" w:cs="Arial" w:eastAsia="Arial" w:hAnsi="Arial"/>
                <w:sz w:val="17"/>
                <w:szCs w:val="17"/>
                <w:color w:val="auto"/>
              </w:rPr>
              <w:t>-536.5%</w:t>
            </w:r>
          </w:p>
        </w:tc>
        <w:tc>
          <w:tcPr>
            <w:tcW w:w="960" w:type="dxa"/>
            <w:vAlign w:val="bottom"/>
          </w:tcPr>
          <w:p>
            <w:pPr>
              <w:jc w:val="right"/>
              <w:spacing w:after="0"/>
              <w:rPr>
                <w:sz w:val="20"/>
                <w:szCs w:val="20"/>
                <w:color w:val="auto"/>
              </w:rPr>
            </w:pPr>
            <w:r>
              <w:rPr>
                <w:rFonts w:ascii="Arial" w:cs="Arial" w:eastAsia="Arial" w:hAnsi="Arial"/>
                <w:sz w:val="17"/>
                <w:szCs w:val="17"/>
                <w:color w:val="auto"/>
              </w:rPr>
              <w:t>51.2%</w:t>
            </w:r>
          </w:p>
        </w:tc>
      </w:tr>
      <w:tr>
        <w:trPr>
          <w:trHeight w:val="206"/>
        </w:trPr>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490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43.8%</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06"/>
        </w:trPr>
        <w:tc>
          <w:tcPr>
            <w:tcW w:w="5560" w:type="dxa"/>
            <w:vAlign w:val="bottom"/>
            <w:gridSpan w:val="2"/>
          </w:tcPr>
          <w:p>
            <w:pPr>
              <w:spacing w:after="0"/>
              <w:rPr>
                <w:sz w:val="20"/>
                <w:szCs w:val="20"/>
                <w:color w:val="auto"/>
              </w:rPr>
            </w:pPr>
            <w:r>
              <w:rPr>
                <w:rFonts w:ascii="Arial" w:cs="Arial" w:eastAsia="Arial" w:hAnsi="Arial"/>
                <w:sz w:val="17"/>
                <w:szCs w:val="17"/>
                <w:color w:val="auto"/>
              </w:rPr>
              <w:t>Other(2)</w:t>
            </w:r>
          </w:p>
        </w:tc>
        <w:tc>
          <w:tcPr>
            <w:tcW w:w="4900" w:type="dxa"/>
            <w:vAlign w:val="bottom"/>
          </w:tcPr>
          <w:p>
            <w:pPr>
              <w:jc w:val="right"/>
              <w:ind w:right="334"/>
              <w:spacing w:after="0"/>
              <w:rPr>
                <w:sz w:val="20"/>
                <w:szCs w:val="20"/>
                <w:color w:val="auto"/>
              </w:rPr>
            </w:pPr>
            <w:r>
              <w:rPr>
                <w:rFonts w:ascii="Arial" w:cs="Arial" w:eastAsia="Arial" w:hAnsi="Arial"/>
                <w:sz w:val="17"/>
                <w:szCs w:val="17"/>
                <w:color w:val="auto"/>
              </w:rPr>
              <w:t>165.0%</w:t>
            </w:r>
          </w:p>
        </w:tc>
        <w:tc>
          <w:tcPr>
            <w:tcW w:w="960" w:type="dxa"/>
            <w:vAlign w:val="bottom"/>
          </w:tcPr>
          <w:p>
            <w:pPr>
              <w:jc w:val="right"/>
              <w:spacing w:after="0"/>
              <w:rPr>
                <w:sz w:val="20"/>
                <w:szCs w:val="20"/>
                <w:color w:val="auto"/>
              </w:rPr>
            </w:pPr>
            <w:r>
              <w:rPr>
                <w:rFonts w:ascii="Arial" w:cs="Arial" w:eastAsia="Arial" w:hAnsi="Arial"/>
                <w:sz w:val="17"/>
                <w:szCs w:val="17"/>
                <w:color w:val="auto"/>
              </w:rPr>
              <w:t>175.4%</w:t>
            </w:r>
          </w:p>
        </w:tc>
      </w:tr>
      <w:tr>
        <w:trPr>
          <w:trHeight w:val="206"/>
        </w:trPr>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490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65.3%</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r>
      <w:tr>
        <w:trPr>
          <w:trHeight w:val="103"/>
        </w:trPr>
        <w:tc>
          <w:tcPr>
            <w:tcW w:w="1180" w:type="dxa"/>
            <w:vAlign w:val="bottom"/>
            <w:tcBorders>
              <w:bottom w:val="single" w:sz="8" w:color="808080"/>
            </w:tcBorders>
          </w:tcPr>
          <w:p>
            <w:pPr>
              <w:spacing w:after="0"/>
              <w:rPr>
                <w:sz w:val="8"/>
                <w:szCs w:val="8"/>
                <w:color w:val="auto"/>
              </w:rPr>
            </w:pPr>
          </w:p>
        </w:tc>
        <w:tc>
          <w:tcPr>
            <w:tcW w:w="4380" w:type="dxa"/>
            <w:vAlign w:val="bottom"/>
          </w:tcPr>
          <w:p>
            <w:pPr>
              <w:spacing w:after="0"/>
              <w:rPr>
                <w:sz w:val="8"/>
                <w:szCs w:val="8"/>
                <w:color w:val="auto"/>
              </w:rPr>
            </w:pPr>
          </w:p>
        </w:tc>
        <w:tc>
          <w:tcPr>
            <w:tcW w:w="490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91" w:lineRule="exact"/>
        <w:rPr>
          <w:sz w:val="20"/>
          <w:szCs w:val="20"/>
          <w:color w:val="auto"/>
        </w:rPr>
      </w:pPr>
    </w:p>
    <w:p>
      <w:pPr>
        <w:ind w:left="620" w:hanging="212"/>
        <w:spacing w:after="0" w:line="280"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October 1, 2014 we decided to no longer accept applications for new commercial auto coverage. In February 2015, we decided to no longer offer renewals to our existing commercial auto policies beginning with those that expired on or after May 1, 2015.</w:t>
      </w:r>
    </w:p>
    <w:p>
      <w:pPr>
        <w:spacing w:after="0" w:line="189" w:lineRule="exact"/>
        <w:rPr>
          <w:rFonts w:ascii="Arial" w:cs="Arial" w:eastAsia="Arial" w:hAnsi="Arial"/>
          <w:sz w:val="17"/>
          <w:szCs w:val="17"/>
          <w:color w:val="auto"/>
        </w:rPr>
      </w:pPr>
    </w:p>
    <w:p>
      <w:pPr>
        <w:ind w:left="620" w:hanging="212"/>
        <w:spacing w:after="0" w:line="280"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295"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-7620</wp:posOffset>
            </wp:positionV>
            <wp:extent cx="159004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90040"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premiums earned</w:t>
            </w:r>
          </w:p>
        </w:tc>
        <w:tc>
          <w:tcPr>
            <w:tcW w:w="44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14,531,675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10,385,799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Ceding commission revenue</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2,770,337</w:t>
            </w: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3,089,404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813,057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574,656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Net realized gain(loss) on investments</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80,436</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(67,494)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248,998</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220,336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18,444,503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14,202,701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and loss adjustment expenses</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9,483,855</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7,063,217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Commission expense</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4,270,066</w:t>
            </w: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3,412,327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underwriting expenses</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3,346,441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2,999,155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283,538</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234,816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expenses</w:t>
            </w: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17,383,900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13,709,515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Borders>
              <w:top w:val="single" w:sz="8" w:color="CCEEFF"/>
            </w:tcBorders>
          </w:tcPr>
          <w:p>
            <w:pPr>
              <w:spacing w:after="0"/>
              <w:rPr>
                <w:sz w:val="17"/>
                <w:szCs w:val="17"/>
                <w:color w:val="auto"/>
              </w:rPr>
            </w:pPr>
          </w:p>
        </w:tc>
        <w:tc>
          <w:tcPr>
            <w:tcW w:w="4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1,060,603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493,186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272,438</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118,062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w:t>
            </w:r>
            <w:r>
              <w:rPr>
                <w:rFonts w:ascii="Arial" w:cs="Arial" w:eastAsia="Arial" w:hAnsi="Arial"/>
                <w:sz w:val="17"/>
                <w:szCs w:val="17"/>
                <w:color w:val="auto"/>
              </w:rPr>
              <w:t>e</w:t>
            </w:r>
          </w:p>
        </w:tc>
        <w:tc>
          <w:tcPr>
            <w:tcW w:w="42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788,165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375,124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Borders>
              <w:top w:val="single" w:sz="8" w:color="CCEEFF"/>
            </w:tcBorders>
          </w:tcPr>
          <w:p>
            <w:pPr>
              <w:spacing w:after="0"/>
              <w:rPr>
                <w:sz w:val="17"/>
                <w:szCs w:val="17"/>
                <w:color w:val="auto"/>
              </w:rPr>
            </w:pPr>
          </w:p>
        </w:tc>
        <w:tc>
          <w:tcPr>
            <w:tcW w:w="4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b w:val="1"/>
                <w:bCs w:val="1"/>
                <w:color w:val="auto"/>
              </w:rPr>
              <w:t>Key Measures:</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ratio</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Net underwriting expense ratio</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31.6%</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combined ratio</w:t>
            </w:r>
          </w:p>
        </w:tc>
        <w:tc>
          <w:tcPr>
            <w:tcW w:w="4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96.9%</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80" w:type="dxa"/>
            <w:vAlign w:val="bottom"/>
            <w:tcBorders>
              <w:top w:val="single" w:sz="8" w:color="CCEEFF"/>
            </w:tcBorders>
          </w:tcPr>
          <w:p>
            <w:pPr>
              <w:spacing w:after="0"/>
              <w:rPr>
                <w:sz w:val="17"/>
                <w:szCs w:val="17"/>
                <w:color w:val="auto"/>
              </w:rPr>
            </w:pPr>
          </w:p>
        </w:tc>
        <w:tc>
          <w:tcPr>
            <w:tcW w:w="4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Reconciliation of net underwriting expense ratio:</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Acquisition costs and other</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underwriting expenses</w:t>
            </w:r>
          </w:p>
        </w:tc>
        <w:tc>
          <w:tcPr>
            <w:tcW w:w="44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7,616,507</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6,411,482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Less: Ceding commission revenue</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(2,770,337)</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(3,089,404)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Other income</w:t>
            </w: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(248,998)</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(220,336)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Net underwriting expenses</w:t>
            </w:r>
          </w:p>
        </w:tc>
        <w:tc>
          <w:tcPr>
            <w:tcW w:w="426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4,597,172</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220"/>
              <w:spacing w:after="0"/>
              <w:rPr>
                <w:sz w:val="20"/>
                <w:szCs w:val="20"/>
                <w:color w:val="auto"/>
              </w:rPr>
            </w:pPr>
            <w:r>
              <w:rPr>
                <w:rFonts w:ascii="Arial" w:cs="Arial" w:eastAsia="Arial" w:hAnsi="Arial"/>
                <w:sz w:val="17"/>
                <w:szCs w:val="17"/>
                <w:color w:val="auto"/>
                <w:w w:val="87"/>
              </w:rPr>
              <w:t>3,101,742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Net premiums earned</w:t>
            </w:r>
          </w:p>
        </w:tc>
        <w:tc>
          <w:tcPr>
            <w:tcW w:w="448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14,531,675</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10,385,799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Net Underwriting Expense Ratio</w:t>
            </w:r>
          </w:p>
        </w:tc>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31.6%</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60" w:type="dxa"/>
            <w:vAlign w:val="bottom"/>
            <w:vMerge w:val="restart"/>
          </w:tcPr>
          <w:p>
            <w:pPr>
              <w:jc w:val="right"/>
              <w:ind w:right="2874"/>
              <w:spacing w:after="0"/>
              <w:rPr>
                <w:sz w:val="20"/>
                <w:szCs w:val="20"/>
                <w:color w:val="auto"/>
              </w:rPr>
            </w:pPr>
            <w:r>
              <w:rPr>
                <w:rFonts w:ascii="Arial" w:cs="Arial" w:eastAsia="Arial" w:hAnsi="Arial"/>
                <w:sz w:val="17"/>
                <w:szCs w:val="17"/>
                <w:color w:val="auto"/>
              </w:rPr>
              <w:t>44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Direct</w:t>
            </w:r>
          </w:p>
        </w:tc>
        <w:tc>
          <w:tcPr>
            <w:tcW w:w="20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Assumed</w:t>
            </w:r>
          </w:p>
        </w:tc>
        <w:tc>
          <w:tcPr>
            <w:tcW w:w="24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Ceded</w:t>
            </w:r>
          </w:p>
        </w:tc>
        <w:tc>
          <w:tcPr>
            <w:tcW w:w="22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2"/>
        </w:trPr>
        <w:tc>
          <w:tcPr>
            <w:tcW w:w="44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March 31, 2016</w:t>
            </w:r>
          </w:p>
        </w:tc>
        <w:tc>
          <w:tcPr>
            <w:tcW w:w="1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Written premiums</w:t>
            </w:r>
          </w:p>
        </w:tc>
        <w:tc>
          <w:tcPr>
            <w:tcW w:w="18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23,043,325</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5,078</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(8,386,528)</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14,661,875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Change in unearned premiums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(126,428)</w:t>
            </w: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3,571</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(7,343)</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(130,200)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Earned premiums</w:t>
            </w: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22,916,897</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8,649</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(8,393,871)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14,531,675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Loss and loss adjustment expenses exluding</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the effect of catastrophes</w:t>
            </w:r>
          </w:p>
        </w:tc>
        <w:tc>
          <w:tcPr>
            <w:tcW w:w="180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11,437,764</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22,297</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(3,378,683)</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8,081,378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Catastrophe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2,337,461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(934,984)</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1,402,477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Loss and loss adjustment expenses</w:t>
            </w:r>
          </w:p>
        </w:tc>
        <w:tc>
          <w:tcPr>
            <w:tcW w:w="158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13,775,225</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22,297</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(4,313,667)</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9,483,855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Loss ratio excluding the effect of catastrophes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49.9%</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257.8%</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40.3%</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Catastrophe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Loss ratio</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60.1%</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257.8%</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51.4%</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b w:val="1"/>
                <w:bCs w:val="1"/>
                <w:color w:val="auto"/>
              </w:rPr>
              <w:t>Three months ended March 31, 2015</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Written premiums</w:t>
            </w:r>
          </w:p>
        </w:tc>
        <w:tc>
          <w:tcPr>
            <w:tcW w:w="18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19,489,429</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7,911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(8,619,406)</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10,877,934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Change in unearned premiums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(472,331)</w:t>
            </w: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3,912</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(23,716)</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(492,135)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Earned premiums</w:t>
            </w: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19,017,098</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11,823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(8,643,122)</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10,385,799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Loss and loss adjustment expenses exluding</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the effect of catastrophes</w:t>
            </w:r>
          </w:p>
        </w:tc>
        <w:tc>
          <w:tcPr>
            <w:tcW w:w="180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8,368,211</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58,042</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(3,201,444)</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5,224,809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Catastrophe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4,085,351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(2,246,943)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1,838,408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Loss and loss adjustment expenses</w:t>
            </w:r>
          </w:p>
        </w:tc>
        <w:tc>
          <w:tcPr>
            <w:tcW w:w="158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12,453,562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58,042</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(5,448,387)</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7,063,217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Loss ratio excluding the effect of catastrophes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44.0%</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490.9%</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37.0%</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Catastrophe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Loss ratio</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65.5%</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490.9%</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63.0%</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vMerge w:val="restart"/>
          </w:tcPr>
          <w:p>
            <w:pPr>
              <w:jc w:val="right"/>
              <w:ind w:right="114"/>
              <w:spacing w:after="0"/>
              <w:rPr>
                <w:sz w:val="20"/>
                <w:szCs w:val="20"/>
                <w:color w:val="auto"/>
              </w:rPr>
            </w:pPr>
            <w:r>
              <w:rPr>
                <w:rFonts w:ascii="Arial" w:cs="Arial" w:eastAsia="Arial" w:hAnsi="Arial"/>
                <w:sz w:val="17"/>
                <w:szCs w:val="17"/>
                <w:color w:val="auto"/>
              </w:rPr>
              <w:t>45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5" w:name="page46"/>
    <w:bookmarkEnd w:id="45"/>
    <w:p>
      <w:pPr>
        <w:ind w:left="62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295"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-7620</wp:posOffset>
            </wp:positionV>
            <wp:extent cx="159004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90040"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06"/>
        </w:trPr>
        <w:tc>
          <w:tcPr>
            <w:tcW w:w="8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14,531,675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10,385,799</w:t>
            </w:r>
          </w:p>
        </w:tc>
      </w:tr>
      <w:tr>
        <w:trPr>
          <w:trHeight w:val="206"/>
        </w:trPr>
        <w:tc>
          <w:tcPr>
            <w:tcW w:w="8760" w:type="dxa"/>
            <w:vAlign w:val="bottom"/>
          </w:tcPr>
          <w:p>
            <w:pPr>
              <w:ind w:left="40"/>
              <w:spacing w:after="0"/>
              <w:rPr>
                <w:sz w:val="20"/>
                <w:szCs w:val="20"/>
                <w:color w:val="auto"/>
              </w:rPr>
            </w:pPr>
            <w:r>
              <w:rPr>
                <w:rFonts w:ascii="Arial" w:cs="Arial" w:eastAsia="Arial" w:hAnsi="Arial"/>
                <w:sz w:val="17"/>
                <w:szCs w:val="17"/>
                <w:color w:val="auto"/>
              </w:rPr>
              <w:t>Ceding commission revenue (1)</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2,770,337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3,089,404</w:t>
            </w: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248,998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220,336</w:t>
            </w:r>
          </w:p>
        </w:tc>
      </w:tr>
      <w:tr>
        <w:trPr>
          <w:trHeight w:val="206"/>
        </w:trPr>
        <w:tc>
          <w:tcPr>
            <w:tcW w:w="8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9,483,855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7,063,217</w:t>
            </w:r>
          </w:p>
        </w:tc>
        <w:tc>
          <w:tcPr>
            <w:tcW w:w="160" w:type="dxa"/>
            <w:vAlign w:val="bottom"/>
            <w:shd w:val="clear" w:color="auto" w:fill="CCEEFF"/>
          </w:tcPr>
          <w:p>
            <w:pPr>
              <w:spacing w:after="0"/>
              <w:rPr>
                <w:sz w:val="17"/>
                <w:szCs w:val="17"/>
                <w:color w:val="auto"/>
              </w:rPr>
            </w:pPr>
          </w:p>
        </w:tc>
      </w:tr>
      <w:tr>
        <w:trPr>
          <w:trHeight w:val="206"/>
        </w:trPr>
        <w:tc>
          <w:tcPr>
            <w:tcW w:w="8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Acquistion costs and other underwriting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8760" w:type="dxa"/>
            <w:vAlign w:val="bottom"/>
          </w:tcPr>
          <w:p>
            <w:pPr>
              <w:ind w:left="40"/>
              <w:spacing w:after="0"/>
              <w:rPr>
                <w:sz w:val="20"/>
                <w:szCs w:val="20"/>
                <w:color w:val="auto"/>
              </w:rPr>
            </w:pPr>
            <w:r>
              <w:rPr>
                <w:rFonts w:ascii="Arial" w:cs="Arial" w:eastAsia="Arial" w:hAnsi="Arial"/>
                <w:sz w:val="17"/>
                <w:szCs w:val="17"/>
                <w:color w:val="auto"/>
              </w:rPr>
              <w:t>Commission expense</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4,270,066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7"/>
                <w:szCs w:val="17"/>
                <w:color w:val="auto"/>
                <w:w w:val="87"/>
              </w:rPr>
              <w:t>3,412,327</w:t>
            </w:r>
          </w:p>
        </w:tc>
        <w:tc>
          <w:tcPr>
            <w:tcW w:w="160" w:type="dxa"/>
            <w:vAlign w:val="bottom"/>
          </w:tcPr>
          <w:p>
            <w:pPr>
              <w:spacing w:after="0"/>
              <w:rPr>
                <w:sz w:val="17"/>
                <w:szCs w:val="17"/>
                <w:color w:val="auto"/>
              </w:rPr>
            </w:pPr>
          </w:p>
        </w:tc>
      </w:tr>
      <w:tr>
        <w:trPr>
          <w:trHeight w:val="212"/>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underwriting expenses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3,346,441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2,999,155</w:t>
            </w:r>
          </w:p>
        </w:tc>
        <w:tc>
          <w:tcPr>
            <w:tcW w:w="160" w:type="dxa"/>
            <w:vAlign w:val="bottom"/>
            <w:shd w:val="clear" w:color="auto" w:fill="CCEEFF"/>
          </w:tcPr>
          <w:p>
            <w:pPr>
              <w:spacing w:after="0"/>
              <w:rPr>
                <w:sz w:val="18"/>
                <w:szCs w:val="18"/>
                <w:color w:val="auto"/>
              </w:rPr>
            </w:pPr>
          </w:p>
        </w:tc>
      </w:tr>
      <w:tr>
        <w:trPr>
          <w:trHeight w:val="206"/>
        </w:trPr>
        <w:tc>
          <w:tcPr>
            <w:tcW w:w="876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Total acquistion costs and other</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2"/>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underwriting expenses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7,616,507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6,411,482</w:t>
            </w:r>
          </w:p>
        </w:tc>
      </w:tr>
      <w:tr>
        <w:trPr>
          <w:trHeight w:val="206"/>
        </w:trPr>
        <w:tc>
          <w:tcPr>
            <w:tcW w:w="8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2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Underwriting income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450,648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220,840</w:t>
            </w:r>
          </w:p>
        </w:tc>
      </w:tr>
      <w:tr>
        <w:trPr>
          <w:trHeight w:val="20"/>
        </w:trPr>
        <w:tc>
          <w:tcPr>
            <w:tcW w:w="8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Key Measures: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8760" w:type="dxa"/>
            <w:vAlign w:val="bottom"/>
          </w:tcPr>
          <w:p>
            <w:pPr>
              <w:ind w:left="40"/>
              <w:spacing w:after="0"/>
              <w:rPr>
                <w:sz w:val="20"/>
                <w:szCs w:val="20"/>
                <w:color w:val="auto"/>
              </w:rPr>
            </w:pPr>
            <w:r>
              <w:rPr>
                <w:rFonts w:ascii="Arial" w:cs="Arial" w:eastAsia="Arial" w:hAnsi="Arial"/>
                <w:sz w:val="17"/>
                <w:szCs w:val="17"/>
                <w:color w:val="auto"/>
              </w:rPr>
              <w:t>Net loss ratio excluding the effect of catastrophes</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55.6%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50.3%</w:t>
            </w: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 of catastrophe loss on net loss ratio (2) (3)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6"/>
        </w:trPr>
        <w:tc>
          <w:tcPr>
            <w:tcW w:w="87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8760" w:type="dxa"/>
            <w:vAlign w:val="bottom"/>
          </w:tcPr>
          <w:p>
            <w:pPr>
              <w:ind w:left="40"/>
              <w:spacing w:after="0"/>
              <w:rPr>
                <w:sz w:val="20"/>
                <w:szCs w:val="20"/>
                <w:color w:val="auto"/>
              </w:rPr>
            </w:pPr>
            <w:r>
              <w:rPr>
                <w:rFonts w:ascii="Arial" w:cs="Arial" w:eastAsia="Arial" w:hAnsi="Arial"/>
                <w:sz w:val="17"/>
                <w:szCs w:val="17"/>
                <w:color w:val="auto"/>
              </w:rPr>
              <w:t>Net loss ratio</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65.3%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68.0%</w:t>
            </w:r>
          </w:p>
        </w:tc>
      </w:tr>
      <w:tr>
        <w:trPr>
          <w:trHeight w:val="206"/>
        </w:trPr>
        <w:tc>
          <w:tcPr>
            <w:tcW w:w="87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8760" w:type="dxa"/>
            <w:vAlign w:val="bottom"/>
          </w:tcPr>
          <w:p>
            <w:pPr>
              <w:ind w:left="40"/>
              <w:spacing w:after="0"/>
              <w:rPr>
                <w:sz w:val="20"/>
                <w:szCs w:val="20"/>
                <w:color w:val="auto"/>
              </w:rPr>
            </w:pPr>
            <w:r>
              <w:rPr>
                <w:rFonts w:ascii="Arial" w:cs="Arial" w:eastAsia="Arial" w:hAnsi="Arial"/>
                <w:sz w:val="17"/>
                <w:szCs w:val="17"/>
                <w:color w:val="auto"/>
              </w:rPr>
              <w:t>Net underwriting expense ratio excluding the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 of catastrophes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06"/>
        </w:trPr>
        <w:tc>
          <w:tcPr>
            <w:tcW w:w="8760" w:type="dxa"/>
            <w:vAlign w:val="bottom"/>
          </w:tcPr>
          <w:p>
            <w:pPr>
              <w:ind w:left="40"/>
              <w:spacing w:after="0"/>
              <w:rPr>
                <w:sz w:val="20"/>
                <w:szCs w:val="20"/>
                <w:color w:val="auto"/>
              </w:rPr>
            </w:pPr>
            <w:r>
              <w:rPr>
                <w:rFonts w:ascii="Arial" w:cs="Arial" w:eastAsia="Arial" w:hAnsi="Arial"/>
                <w:sz w:val="17"/>
                <w:szCs w:val="17"/>
                <w:color w:val="auto"/>
              </w:rPr>
              <w:t>Effect of catastrophe loss on net underwriting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expense ratio (1) (2) (3)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6"/>
        </w:trPr>
        <w:tc>
          <w:tcPr>
            <w:tcW w:w="87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876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31.6%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29.9%</w:t>
            </w:r>
          </w:p>
        </w:tc>
      </w:tr>
      <w:tr>
        <w:trPr>
          <w:trHeight w:val="206"/>
        </w:trPr>
        <w:tc>
          <w:tcPr>
            <w:tcW w:w="87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8760" w:type="dxa"/>
            <w:vAlign w:val="bottom"/>
          </w:tcPr>
          <w:p>
            <w:pPr>
              <w:ind w:left="40"/>
              <w:spacing w:after="0"/>
              <w:rPr>
                <w:sz w:val="20"/>
                <w:szCs w:val="20"/>
                <w:color w:val="auto"/>
              </w:rPr>
            </w:pPr>
            <w:r>
              <w:rPr>
                <w:rFonts w:ascii="Arial" w:cs="Arial" w:eastAsia="Arial" w:hAnsi="Arial"/>
                <w:sz w:val="17"/>
                <w:szCs w:val="17"/>
                <w:color w:val="auto"/>
              </w:rPr>
              <w:t>Net combined ratio excluding the effect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of catastrophes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69.4%</w:t>
            </w:r>
          </w:p>
        </w:tc>
      </w:tr>
      <w:tr>
        <w:trPr>
          <w:trHeight w:val="206"/>
        </w:trPr>
        <w:tc>
          <w:tcPr>
            <w:tcW w:w="8760" w:type="dxa"/>
            <w:vAlign w:val="bottom"/>
          </w:tcPr>
          <w:p>
            <w:pPr>
              <w:ind w:left="40"/>
              <w:spacing w:after="0"/>
              <w:rPr>
                <w:sz w:val="20"/>
                <w:szCs w:val="20"/>
                <w:color w:val="auto"/>
              </w:rPr>
            </w:pPr>
            <w:r>
              <w:rPr>
                <w:rFonts w:ascii="Arial" w:cs="Arial" w:eastAsia="Arial" w:hAnsi="Arial"/>
                <w:sz w:val="17"/>
                <w:szCs w:val="17"/>
                <w:color w:val="auto"/>
              </w:rPr>
              <w:t>Effect of catastrophe loss on net combined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ratio (1) (2) (3)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6"/>
        </w:trPr>
        <w:tc>
          <w:tcPr>
            <w:tcW w:w="87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8760" w:type="dxa"/>
            <w:vAlign w:val="bottom"/>
          </w:tcPr>
          <w:p>
            <w:pPr>
              <w:ind w:left="40"/>
              <w:spacing w:after="0"/>
              <w:rPr>
                <w:sz w:val="20"/>
                <w:szCs w:val="20"/>
                <w:color w:val="auto"/>
              </w:rPr>
            </w:pPr>
            <w:r>
              <w:rPr>
                <w:rFonts w:ascii="Arial" w:cs="Arial" w:eastAsia="Arial" w:hAnsi="Arial"/>
                <w:sz w:val="17"/>
                <w:szCs w:val="17"/>
                <w:color w:val="auto"/>
              </w:rPr>
              <w:t>Net combined ratio</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96.9%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97.9%</w:t>
            </w:r>
          </w:p>
        </w:tc>
      </w:tr>
      <w:tr>
        <w:trPr>
          <w:trHeight w:val="206"/>
        </w:trPr>
        <w:tc>
          <w:tcPr>
            <w:tcW w:w="87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Reconciliation of net underwriting expense ratio: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costs and other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underwriting expenses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7,616,507</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6,411,482</w:t>
            </w:r>
          </w:p>
        </w:tc>
      </w:tr>
      <w:tr>
        <w:trPr>
          <w:trHeight w:val="206"/>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Ceding commission revenue (1)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(2,770,337)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(3,089,404)</w:t>
            </w:r>
          </w:p>
        </w:tc>
      </w:tr>
      <w:tr>
        <w:trPr>
          <w:trHeight w:val="206"/>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Arial" w:cs="Arial" w:eastAsia="Arial" w:hAnsi="Arial"/>
                <w:sz w:val="17"/>
                <w:szCs w:val="17"/>
                <w:color w:val="auto"/>
              </w:rPr>
              <w:t>Less: Other income</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(248,998)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(220,336)</w:t>
            </w:r>
          </w:p>
        </w:tc>
      </w:tr>
      <w:tr>
        <w:trPr>
          <w:trHeight w:val="26"/>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87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4,597,172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3,101,742</w:t>
            </w:r>
          </w:p>
        </w:tc>
        <w:tc>
          <w:tcPr>
            <w:tcW w:w="160" w:type="dxa"/>
            <w:vAlign w:val="bottom"/>
            <w:shd w:val="clear" w:color="auto" w:fill="CCEEFF"/>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87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_________________________________________________</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bl>
    <w:p>
      <w:pPr>
        <w:spacing w:after="0" w:line="209" w:lineRule="exact"/>
        <w:rPr>
          <w:sz w:val="20"/>
          <w:szCs w:val="20"/>
          <w:color w:val="auto"/>
        </w:rPr>
      </w:pPr>
    </w:p>
    <w:p>
      <w:pPr>
        <w:ind w:firstLine="3"/>
        <w:spacing w:after="0" w:line="280"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three months ended March 31, 2016 and 2015, the effect of severe winter weather, defined as a catastrophe, reduced contingent ceding commission revenue by $-0- and $1,115,158, respectively.</w:t>
      </w:r>
    </w:p>
    <w:p>
      <w:pPr>
        <w:spacing w:after="0" w:line="189" w:lineRule="exact"/>
        <w:rPr>
          <w:rFonts w:ascii="Arial" w:cs="Arial" w:eastAsia="Arial" w:hAnsi="Arial"/>
          <w:sz w:val="17"/>
          <w:szCs w:val="17"/>
          <w:color w:val="auto"/>
        </w:rPr>
      </w:pPr>
    </w:p>
    <w:p>
      <w:pPr>
        <w:ind w:firstLine="3"/>
        <w:spacing w:after="0" w:line="280"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three months ended March 31, 2016 and 2015, includes the sum of net catastrophe losses and loss adjustment expenses of $1,402,477 and $1,838,408, respectively, resulting from severe winter weather.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6" w:name="page47"/>
    <w:bookmarkEnd w:id="46"/>
    <w:p>
      <w:pPr>
        <w:jc w:val="both"/>
        <w:ind w:firstLine="3"/>
        <w:spacing w:after="0" w:line="266" w:lineRule="auto"/>
        <w:tabs>
          <w:tab w:leader="none" w:pos="245"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three months ended March 31, 2016 and 2015, the effect of catastrophe loss from severe winter weather on our net combined ratio only includes the direct effects of loss and loss adjustment expenses and ceding commission revenue and does not include the indirect effects of a $84,149 and $125,349, respectively, decrease in other underwriting expenses.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243" w:lineRule="exact"/>
        <w:rPr>
          <w:sz w:val="20"/>
          <w:szCs w:val="20"/>
          <w:color w:val="auto"/>
        </w:rPr>
      </w:pPr>
    </w:p>
    <w:p>
      <w:pPr>
        <w:ind w:right="280" w:firstLine="620"/>
        <w:spacing w:after="0" w:line="280" w:lineRule="auto"/>
        <w:rPr>
          <w:sz w:val="20"/>
          <w:szCs w:val="20"/>
          <w:color w:val="auto"/>
        </w:rPr>
      </w:pPr>
      <w:r>
        <w:rPr>
          <w:rFonts w:ascii="Arial" w:cs="Arial" w:eastAsia="Arial" w:hAnsi="Arial"/>
          <w:sz w:val="17"/>
          <w:szCs w:val="17"/>
          <w:color w:val="auto"/>
        </w:rPr>
        <w:t>The following table presents a breakdown of the amortized cost, aggregate fair value and unrealized gains and losses by investment type as of March 31, 2016 and December 31, 2015:</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Available-for-Sale Securities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Aggregate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More than 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93"/>
              </w:rPr>
              <w:t>Fair</w:t>
            </w:r>
          </w:p>
        </w:tc>
        <w:tc>
          <w:tcPr>
            <w:tcW w:w="12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3320" w:type="dxa"/>
            <w:vAlign w:val="bottom"/>
            <w:gridSpan w:val="3"/>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Territories and Possessions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10,211,142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490,669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(5,060)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10,694,241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Corporate and other bonds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Industrial and miscellaneous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45,367,395</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1,247,820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(210,199)</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(59,298)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46,345,718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Residential mortgage backed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16,038,820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188,141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(36,904)</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16,190,057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 fixed-maturity securities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71,617,357</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1,926,630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(249,613)</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(64,358)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73,230,016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9,501,112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620,148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(65,438)</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10,025,750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81,118,469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2,546,778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(315,051)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(94,430)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83,255,766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Aggregate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More than 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93"/>
              </w:rPr>
              <w:t>Fair</w:t>
            </w:r>
          </w:p>
        </w:tc>
        <w:tc>
          <w:tcPr>
            <w:tcW w:w="12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3320" w:type="dxa"/>
            <w:vAlign w:val="bottom"/>
            <w:gridSpan w:val="3"/>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Territories and Possessions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12,139,793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431,194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12,555,098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Corporate and other bonds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Industrial and miscellaneous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45,078,044</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490,444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(512,427)</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(99,593)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44,956,468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3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Residential mortgage backed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5,003,292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48,375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(61,169)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4,990,498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 fixed-maturity securities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62,221,129</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970,013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(589,485)</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(99,593)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62,502,064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8,751,537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585,776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(103,721)</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9,204,270</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70,972,666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1,555,789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(693,206)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(128,915)</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71,706,334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7" w:name="page48"/>
    <w:bookmarkEnd w:id="47"/>
    <w:p>
      <w:pPr>
        <w:ind w:left="620"/>
        <w:spacing w:after="0"/>
        <w:rPr>
          <w:sz w:val="20"/>
          <w:szCs w:val="20"/>
          <w:color w:val="auto"/>
        </w:rPr>
      </w:pPr>
      <w:r>
        <w:rPr>
          <w:rFonts w:ascii="Arial" w:cs="Arial" w:eastAsia="Arial" w:hAnsi="Arial"/>
          <w:sz w:val="17"/>
          <w:szCs w:val="17"/>
          <w:u w:val="single" w:color="auto"/>
          <w:color w:val="auto"/>
        </w:rPr>
        <w:t>Held-to-Maturity Securities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90"/>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01"/>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More than 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60"/>
              <w:spacing w:after="0" w:line="156"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Fair</w:t>
            </w:r>
          </w:p>
        </w:tc>
      </w:tr>
      <w:tr>
        <w:trPr>
          <w:trHeight w:val="176"/>
        </w:trPr>
        <w:tc>
          <w:tcPr>
            <w:tcW w:w="3320" w:type="dxa"/>
            <w:vAlign w:val="bottom"/>
            <w:gridSpan w:val="2"/>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r>
      <w:tr>
        <w:trPr>
          <w:trHeight w:val="206"/>
        </w:trPr>
        <w:tc>
          <w:tcPr>
            <w:tcW w:w="3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606,398</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147,641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754,039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0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Territories and Possessions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1,418,827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88,948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(66,215)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1,441,560</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26.9%</w:t>
            </w:r>
          </w:p>
        </w:tc>
      </w:tr>
      <w:tr>
        <w:trPr>
          <w:trHeight w:val="206"/>
        </w:trPr>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Corporate and other bonds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3,115,297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152,036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(96,077)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3,171,031</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59.0%</w:t>
            </w:r>
          </w:p>
        </w:tc>
      </w:tr>
      <w:tr>
        <w:trPr>
          <w:trHeight w:val="206"/>
        </w:trPr>
        <w:tc>
          <w:tcPr>
            <w:tcW w:w="3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2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5,140,522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388,625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(162,292)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5,366,630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6"/>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01"/>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More than 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60"/>
              <w:spacing w:after="0" w:line="156"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Fair</w:t>
            </w:r>
          </w:p>
        </w:tc>
      </w:tr>
      <w:tr>
        <w:trPr>
          <w:trHeight w:val="176"/>
        </w:trPr>
        <w:tc>
          <w:tcPr>
            <w:tcW w:w="3320" w:type="dxa"/>
            <w:vAlign w:val="bottom"/>
            <w:gridSpan w:val="2"/>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r>
      <w:tr>
        <w:trPr>
          <w:trHeight w:val="206"/>
        </w:trPr>
        <w:tc>
          <w:tcPr>
            <w:tcW w:w="3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606,389</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147,650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754,039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06"/>
        </w:trPr>
        <w:tc>
          <w:tcPr>
            <w:tcW w:w="33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Territories and Possessions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1,417,679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70,284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(54,189)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1,433,774</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27.4%</w:t>
            </w:r>
          </w:p>
        </w:tc>
      </w:tr>
      <w:tr>
        <w:trPr>
          <w:trHeight w:val="206"/>
        </w:trPr>
        <w:tc>
          <w:tcPr>
            <w:tcW w:w="33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Corporate and other bonds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3,114,804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82,265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(17,980)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(125,807)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3,053,282</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58.2%</w:t>
            </w:r>
          </w:p>
        </w:tc>
      </w:tr>
      <w:tr>
        <w:trPr>
          <w:trHeight w:val="206"/>
        </w:trPr>
        <w:tc>
          <w:tcPr>
            <w:tcW w:w="33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2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5,138,872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300,199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(179,996)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5,241,095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U.S. Treasury securities included in held-to-maturity securities are held in trust pursuant to the New York State Department of Financial Services’ minimum funds requirement.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March 31, 2016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is shown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737"/>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2015</w:t>
            </w:r>
          </w:p>
        </w:tc>
      </w:tr>
      <w:tr>
        <w:trPr>
          <w:trHeight w:val="179"/>
        </w:trPr>
        <w:tc>
          <w:tcPr>
            <w:tcW w:w="3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68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06"/>
        </w:trPr>
        <w:tc>
          <w:tcPr>
            <w:tcW w:w="368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368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506,790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500,000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496,245</w:t>
            </w:r>
          </w:p>
        </w:tc>
      </w:tr>
      <w:tr>
        <w:trPr>
          <w:trHeight w:val="206"/>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4,034,124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4,105,801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4,032,483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3,990,811</w:t>
            </w:r>
          </w:p>
        </w:tc>
      </w:tr>
      <w:tr>
        <w:trPr>
          <w:trHeight w:val="206"/>
        </w:trPr>
        <w:tc>
          <w:tcPr>
            <w:tcW w:w="368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606,398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754,039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606,389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754,039</w:t>
            </w:r>
          </w:p>
        </w:tc>
      </w:tr>
      <w:tr>
        <w:trPr>
          <w:trHeight w:val="26"/>
        </w:trPr>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380" w:type="dxa"/>
            <w:vAlign w:val="bottom"/>
            <w:gridSpan w:val="2"/>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5,140,522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5,366,630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5,138,872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5,241,095</w:t>
            </w:r>
          </w:p>
        </w:tc>
      </w:tr>
      <w:tr>
        <w:trPr>
          <w:trHeight w:val="571"/>
        </w:trPr>
        <w:tc>
          <w:tcPr>
            <w:tcW w:w="368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jc w:val="right"/>
              <w:ind w:right="74"/>
              <w:spacing w:after="0"/>
              <w:rPr>
                <w:sz w:val="20"/>
                <w:szCs w:val="20"/>
                <w:color w:val="auto"/>
              </w:rPr>
            </w:pPr>
            <w:r>
              <w:rPr>
                <w:rFonts w:ascii="Arial" w:cs="Arial" w:eastAsia="Arial" w:hAnsi="Arial"/>
                <w:sz w:val="17"/>
                <w:szCs w:val="17"/>
                <w:color w:val="auto"/>
              </w:rPr>
              <w:t>48</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36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8" w:name="page49"/>
    <w:bookmarkEnd w:id="48"/>
    <w:p>
      <w:pPr>
        <w:ind w:left="62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table below summarizes the credit quality of our available-for-sale fixed-maturity securities as of March 31, 2016 and December 31, 2015 as rated by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4"/>
                <w:szCs w:val="14"/>
                <w:color w:val="auto"/>
              </w:rPr>
            </w:pPr>
          </w:p>
        </w:tc>
        <w:tc>
          <w:tcPr>
            <w:tcW w:w="24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Fair Market</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3"/>
              </w:rPr>
              <w:t>Percentage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Market</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0"/>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Fair Market</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11"/>
        </w:trPr>
        <w:tc>
          <w:tcPr>
            <w:tcW w:w="4320" w:type="dxa"/>
            <w:vAlign w:val="bottom"/>
            <w:gridSpan w:val="2"/>
          </w:tcPr>
          <w:p>
            <w:pPr>
              <w:spacing w:after="0"/>
              <w:rPr>
                <w:sz w:val="20"/>
                <w:szCs w:val="20"/>
                <w:color w:val="auto"/>
              </w:rPr>
            </w:pPr>
            <w:r>
              <w:rPr>
                <w:rFonts w:ascii="Arial" w:cs="Arial" w:eastAsia="Arial" w:hAnsi="Arial"/>
                <w:sz w:val="17"/>
                <w:szCs w:val="17"/>
                <w:b w:val="1"/>
                <w:bCs w:val="1"/>
                <w:color w:val="auto"/>
              </w:rPr>
              <w:t>Rating</w:t>
            </w:r>
          </w:p>
        </w:tc>
        <w:tc>
          <w:tcPr>
            <w:tcW w:w="17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Corporate and municipal bonds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AAA</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1,632,581</w:t>
            </w: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2,218,147</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AA</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7,988,483</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9,060,781</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A</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11,998,733</w:t>
            </w: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16.4%</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10,639,888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BBB</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33,793,283</w:t>
            </w:r>
          </w:p>
        </w:tc>
        <w:tc>
          <w:tcPr>
            <w:tcW w:w="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46.3%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35,592,750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Total corporate and municipal bonds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55,413,080</w:t>
            </w: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75.8%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57,511,566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Residential mortgage backed securities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AA</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11,036,982</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15.0%</w:t>
            </w: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A</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853,260</w:t>
            </w: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216,077</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BBB</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984,230</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CCC</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446,406</w:t>
            </w: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457,889</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CC</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396,165</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402,558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D</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4,099,893</w:t>
            </w:r>
          </w:p>
        </w:tc>
        <w:tc>
          <w:tcPr>
            <w:tcW w:w="220" w:type="dxa"/>
            <w:vAlign w:val="bottom"/>
          </w:tcPr>
          <w:p>
            <w:pPr>
              <w:spacing w:after="0"/>
              <w:rPr>
                <w:sz w:val="17"/>
                <w:szCs w:val="17"/>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3,913,974</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Total residential mortgage backed securities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17,816,936</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24.2%</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4,990,498</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3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73,230,016</w:t>
            </w:r>
          </w:p>
        </w:tc>
        <w:tc>
          <w:tcPr>
            <w:tcW w:w="2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62,502,064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0120" w:type="dxa"/>
            <w:vAlign w:val="bottom"/>
            <w:gridSpan w:val="11"/>
          </w:tcPr>
          <w:p>
            <w:pPr>
              <w:ind w:left="600"/>
              <w:spacing w:after="0"/>
              <w:rPr>
                <w:sz w:val="20"/>
                <w:szCs w:val="20"/>
                <w:color w:val="auto"/>
              </w:rPr>
            </w:pPr>
            <w:r>
              <w:rPr>
                <w:rFonts w:ascii="Arial" w:cs="Arial" w:eastAsia="Arial" w:hAnsi="Arial"/>
                <w:sz w:val="17"/>
                <w:szCs w:val="17"/>
                <w:color w:val="auto"/>
                <w:w w:val="99"/>
              </w:rPr>
              <w:t>The table below summarizes the average yield by type of fixed-maturity security as of March 31, 2016 and December 31, 2015:</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March 31, 2016</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December 31, 2015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7"/>
                <w:szCs w:val="17"/>
                <w:color w:val="auto"/>
              </w:rPr>
              <w:t>U.S. Treasury securities and</w:t>
            </w:r>
          </w:p>
        </w:tc>
        <w:tc>
          <w:tcPr>
            <w:tcW w:w="17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7"/>
                <w:szCs w:val="17"/>
                <w:color w:val="auto"/>
              </w:rPr>
              <w:t>obligations of U.S. government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corporations and agencies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Political subdivisions of States,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ind w:left="20"/>
              <w:spacing w:after="0"/>
              <w:rPr>
                <w:sz w:val="20"/>
                <w:szCs w:val="20"/>
                <w:color w:val="auto"/>
              </w:rPr>
            </w:pPr>
            <w:r>
              <w:rPr>
                <w:rFonts w:ascii="Arial" w:cs="Arial" w:eastAsia="Arial" w:hAnsi="Arial"/>
                <w:sz w:val="17"/>
                <w:szCs w:val="17"/>
                <w:color w:val="auto"/>
              </w:rPr>
              <w:t>Territories and Possessions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3.61%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ind w:left="20"/>
              <w:spacing w:after="0"/>
              <w:rPr>
                <w:sz w:val="20"/>
                <w:szCs w:val="20"/>
                <w:color w:val="auto"/>
              </w:rPr>
            </w:pPr>
            <w:r>
              <w:rPr>
                <w:rFonts w:ascii="Arial" w:cs="Arial" w:eastAsia="Arial" w:hAnsi="Arial"/>
                <w:sz w:val="17"/>
                <w:szCs w:val="17"/>
                <w:color w:val="auto"/>
              </w:rPr>
              <w:t>Corporate and other bonds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Industrial and miscellaneous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backed securities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40" w:type="dxa"/>
            <w:vAlign w:val="bottom"/>
          </w:tcPr>
          <w:p>
            <w:pPr>
              <w:jc w:val="right"/>
              <w:ind w:right="174"/>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9" w:name="page50"/>
    <w:bookmarkEnd w:id="49"/>
    <w:p>
      <w:pPr>
        <w:ind w:left="620"/>
        <w:spacing w:after="0"/>
        <w:rPr>
          <w:sz w:val="20"/>
          <w:szCs w:val="20"/>
          <w:color w:val="auto"/>
        </w:rPr>
      </w:pPr>
      <w:r>
        <w:rPr>
          <w:rFonts w:ascii="Arial" w:cs="Arial" w:eastAsia="Arial" w:hAnsi="Arial"/>
          <w:sz w:val="15"/>
          <w:szCs w:val="15"/>
          <w:color w:val="auto"/>
        </w:rPr>
        <w:t>The table below lists the weighted average maturity and effective duration in years on our fixed-maturity securities as of March 31, 2016 and December 31,</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2015: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6"/>
              </w:rPr>
              <w:t>March 31, 2016</w:t>
            </w:r>
          </w:p>
        </w:tc>
        <w:tc>
          <w:tcPr>
            <w:tcW w:w="28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December 31, 2015</w:t>
            </w:r>
          </w:p>
        </w:tc>
        <w:tc>
          <w:tcPr>
            <w:tcW w:w="660" w:type="dxa"/>
            <w:vAlign w:val="bottom"/>
          </w:tcPr>
          <w:p>
            <w:pPr>
              <w:spacing w:after="0"/>
              <w:rPr>
                <w:sz w:val="14"/>
                <w:szCs w:val="14"/>
                <w:color w:val="auto"/>
              </w:rPr>
            </w:pPr>
          </w:p>
        </w:tc>
      </w:tr>
      <w:tr>
        <w:trPr>
          <w:trHeight w:val="206"/>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Weighted average effective maturity</w:t>
            </w:r>
          </w:p>
        </w:tc>
        <w:tc>
          <w:tcPr>
            <w:tcW w:w="1620" w:type="dxa"/>
            <w:vAlign w:val="bottom"/>
            <w:gridSpan w:val="2"/>
            <w:shd w:val="clear" w:color="auto" w:fill="CCEEFF"/>
          </w:tcPr>
          <w:p>
            <w:pPr>
              <w:jc w:val="right"/>
              <w:ind w:right="1340"/>
              <w:spacing w:after="0"/>
              <w:rPr>
                <w:sz w:val="20"/>
                <w:szCs w:val="20"/>
                <w:color w:val="auto"/>
              </w:rPr>
            </w:pPr>
            <w:r>
              <w:rPr>
                <w:rFonts w:ascii="Arial" w:cs="Arial" w:eastAsia="Arial" w:hAnsi="Arial"/>
                <w:sz w:val="17"/>
                <w:szCs w:val="17"/>
                <w:color w:val="auto"/>
              </w:rPr>
              <w:t>5.0</w:t>
            </w:r>
          </w:p>
        </w:tc>
        <w:tc>
          <w:tcPr>
            <w:tcW w:w="23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5.5</w:t>
            </w:r>
          </w:p>
        </w:tc>
      </w:tr>
      <w:tr>
        <w:trPr>
          <w:trHeight w:val="206"/>
        </w:trPr>
        <w:tc>
          <w:tcPr>
            <w:tcW w:w="6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Weighted average final maturity</w:t>
            </w:r>
          </w:p>
        </w:tc>
        <w:tc>
          <w:tcPr>
            <w:tcW w:w="1620" w:type="dxa"/>
            <w:vAlign w:val="bottom"/>
            <w:gridSpan w:val="2"/>
            <w:shd w:val="clear" w:color="auto" w:fill="CCEEFF"/>
          </w:tcPr>
          <w:p>
            <w:pPr>
              <w:jc w:val="right"/>
              <w:ind w:right="1340"/>
              <w:spacing w:after="0"/>
              <w:rPr>
                <w:sz w:val="20"/>
                <w:szCs w:val="20"/>
                <w:color w:val="auto"/>
              </w:rPr>
            </w:pPr>
            <w:r>
              <w:rPr>
                <w:rFonts w:ascii="Arial" w:cs="Arial" w:eastAsia="Arial" w:hAnsi="Arial"/>
                <w:sz w:val="17"/>
                <w:szCs w:val="17"/>
                <w:color w:val="auto"/>
              </w:rPr>
              <w:t>8.6</w:t>
            </w:r>
          </w:p>
        </w:tc>
        <w:tc>
          <w:tcPr>
            <w:tcW w:w="23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7.3</w:t>
            </w:r>
          </w:p>
        </w:tc>
      </w:tr>
      <w:tr>
        <w:trPr>
          <w:trHeight w:val="206"/>
        </w:trPr>
        <w:tc>
          <w:tcPr>
            <w:tcW w:w="6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Effective duration</w:t>
            </w:r>
          </w:p>
        </w:tc>
        <w:tc>
          <w:tcPr>
            <w:tcW w:w="1620" w:type="dxa"/>
            <w:vAlign w:val="bottom"/>
            <w:gridSpan w:val="2"/>
            <w:shd w:val="clear" w:color="auto" w:fill="CCEEFF"/>
          </w:tcPr>
          <w:p>
            <w:pPr>
              <w:jc w:val="right"/>
              <w:ind w:right="1340"/>
              <w:spacing w:after="0"/>
              <w:rPr>
                <w:sz w:val="20"/>
                <w:szCs w:val="20"/>
                <w:color w:val="auto"/>
              </w:rPr>
            </w:pPr>
            <w:r>
              <w:rPr>
                <w:rFonts w:ascii="Arial" w:cs="Arial" w:eastAsia="Arial" w:hAnsi="Arial"/>
                <w:sz w:val="17"/>
                <w:szCs w:val="17"/>
                <w:color w:val="auto"/>
              </w:rPr>
              <w:t>4.4</w:t>
            </w:r>
          </w:p>
        </w:tc>
        <w:tc>
          <w:tcPr>
            <w:tcW w:w="23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4.9</w:t>
            </w: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243" w:lineRule="exact"/>
        <w:rPr>
          <w:sz w:val="20"/>
          <w:szCs w:val="20"/>
          <w:color w:val="auto"/>
        </w:rPr>
      </w:pPr>
    </w:p>
    <w:p>
      <w:pPr>
        <w:jc w:val="both"/>
        <w:ind w:firstLine="620"/>
        <w:spacing w:after="0" w:line="296"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2016 and December 31, 2015, 59% and 66%, respectively, of the investment portfolio recorded at fair value was priced based upon quoted market prices.</w:t>
      </w:r>
    </w:p>
    <w:p>
      <w:pPr>
        <w:spacing w:after="0" w:line="18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As more fully described in Note 3 to our Condensed Consolidated Financial Statements, “Investments—Impairment Review,” we completed a detailed review of all our securities in a continuous loss position as of March 31, 2016 and December 31, 2015, and concluded that the unrealized losses in these asset classes are temporary in nature and the result of a decrease in value due to technical spread widening and broader market sentiment, rather than fundamental collateral deterioration.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0" w:name="page51"/>
    <w:bookmarkEnd w:id="50"/>
    <w:p>
      <w:pPr>
        <w:ind w:firstLine="620"/>
        <w:spacing w:after="0" w:line="280"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March 31, 2016 and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March 31, 2016</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Less than 12 months</w:t>
            </w: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12 months or more</w:t>
            </w: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0"/>
              </w:rPr>
              <w:t>Unrealized</w:t>
            </w:r>
          </w:p>
        </w:tc>
        <w:tc>
          <w:tcPr>
            <w:tcW w:w="780" w:type="dxa"/>
            <w:vAlign w:val="bottom"/>
          </w:tcPr>
          <w:p>
            <w:pPr>
              <w:jc w:val="center"/>
              <w:ind w:right="79"/>
              <w:spacing w:after="0" w:line="119" w:lineRule="exact"/>
              <w:rPr>
                <w:sz w:val="20"/>
                <w:szCs w:val="20"/>
                <w:color w:val="auto"/>
              </w:rPr>
            </w:pPr>
            <w:r>
              <w:rPr>
                <w:rFonts w:ascii="Arial" w:cs="Arial" w:eastAsia="Arial" w:hAnsi="Arial"/>
                <w:sz w:val="13"/>
                <w:szCs w:val="13"/>
                <w:b w:val="1"/>
                <w:bCs w:val="1"/>
                <w:color w:val="auto"/>
                <w:w w:val="92"/>
              </w:rPr>
              <w:t>No. of</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0"/>
              </w:rPr>
              <w:t>Unrealized</w:t>
            </w:r>
          </w:p>
        </w:tc>
        <w:tc>
          <w:tcPr>
            <w:tcW w:w="780" w:type="dxa"/>
            <w:vAlign w:val="bottom"/>
          </w:tcPr>
          <w:p>
            <w:pPr>
              <w:jc w:val="center"/>
              <w:ind w:right="59"/>
              <w:spacing w:after="0" w:line="119" w:lineRule="exact"/>
              <w:rPr>
                <w:sz w:val="20"/>
                <w:szCs w:val="20"/>
                <w:color w:val="auto"/>
              </w:rPr>
            </w:pPr>
            <w:r>
              <w:rPr>
                <w:rFonts w:ascii="Arial" w:cs="Arial" w:eastAsia="Arial" w:hAnsi="Arial"/>
                <w:sz w:val="13"/>
                <w:szCs w:val="13"/>
                <w:b w:val="1"/>
                <w:bCs w:val="1"/>
                <w:color w:val="auto"/>
                <w:w w:val="97"/>
              </w:rPr>
              <w:t>No.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Positions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7"/>
              </w:rPr>
              <w:t>Political subdivisions of States,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334,827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(2,510)</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339,627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(5,060)</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674,454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(7,570)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Corporate and other bonds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5,269,173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(210,199)</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687,228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(59,298)</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5,956,401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(269,497)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Residential mortgage backed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securities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1,614,256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(36,904)</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1,614,256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(36,904)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fixed-maturitysecurities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7,218,256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(249,613)</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1,026,855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(64,358)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8,245,111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(313,971)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Preferred stocks</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701,250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(30,072)</w:t>
            </w: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701,250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(30,072)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1,502,700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(65,438)</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1,502,700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(65,438)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 securities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1,502,700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(65,438)</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701,250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(30,072)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2,203,950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(95,510)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8,720,956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(315,051)  $</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1,728,105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(94,430)  $</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10,449,061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(409,481)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12 months or more</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860"/>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w w:val="97"/>
              </w:rPr>
              <w:t>No.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w w:val="97"/>
              </w:rPr>
              <w:t>No.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3"/>
              </w:rPr>
              <w:t>Aggregate</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Positions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140" w:type="dxa"/>
            <w:vAlign w:val="bottom"/>
            <w:gridSpan w:val="3"/>
          </w:tcPr>
          <w:p>
            <w:pPr>
              <w:spacing w:after="0"/>
              <w:rPr>
                <w:sz w:val="20"/>
                <w:szCs w:val="20"/>
                <w:color w:val="auto"/>
              </w:rPr>
            </w:pPr>
            <w:r>
              <w:rPr>
                <w:rFonts w:ascii="Arial" w:cs="Arial" w:eastAsia="Arial" w:hAnsi="Arial"/>
                <w:sz w:val="17"/>
                <w:szCs w:val="17"/>
                <w:b w:val="1"/>
                <w:bCs w:val="1"/>
                <w:color w:val="auto"/>
              </w:rPr>
              <w:t>Fixed-Maturity Securities: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States, Territories and</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Possessions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1,432,005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(15,889)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(15,889)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Corporate and other bonds</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industrial and miscellaneous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18,424,609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(512,427)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(99,593)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19,060,702</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(612,020)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5"/>
              </w:rPr>
              <w:t>Residential mortgage backed</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2,413,980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(61,169)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2,413,980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(61,169)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fixed-maturity</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22,270,594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(589,485)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(99,593)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22,906,687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(689,078)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auto"/>
              </w:rPr>
              <w:t>Preferred stocks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gridSpan w:val="2"/>
          </w:tcPr>
          <w:p>
            <w:pPr>
              <w:jc w:val="center"/>
              <w:ind w:left="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(29,322)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702,000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(29,322)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2,538,900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(103,721)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2,538,900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(103,721)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2,538,900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(103,721)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3,240,900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(133,043)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24,809,494.00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(693,206.00)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u w:val="single" w:color="auto"/>
                <w:color w:val="auto"/>
                <w:w w:val="84"/>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1,338,093.00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(128,915.00)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0"/>
              </w:rPr>
              <w:t>26,147,587.00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(822,121.00)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719"/>
              <w:spacing w:after="0"/>
              <w:rPr>
                <w:sz w:val="20"/>
                <w:szCs w:val="20"/>
                <w:color w:val="auto"/>
              </w:rPr>
            </w:pPr>
            <w:r>
              <w:rPr>
                <w:rFonts w:ascii="Arial" w:cs="Arial" w:eastAsia="Arial" w:hAnsi="Arial"/>
                <w:sz w:val="17"/>
                <w:szCs w:val="17"/>
                <w:color w:val="auto"/>
                <w:w w:val="94"/>
              </w:rPr>
              <w:t>52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52" w:name="page53"/>
    <w:bookmarkEnd w:id="52"/>
    <w:p>
      <w:pPr>
        <w:jc w:val="both"/>
        <w:ind w:firstLine="620"/>
        <w:spacing w:after="0" w:line="260" w:lineRule="auto"/>
        <w:rPr>
          <w:sz w:val="20"/>
          <w:szCs w:val="20"/>
          <w:color w:val="auto"/>
        </w:rPr>
      </w:pPr>
      <w:r>
        <w:rPr>
          <w:rFonts w:ascii="Arial" w:cs="Arial" w:eastAsia="Arial" w:hAnsi="Arial"/>
          <w:sz w:val="17"/>
          <w:szCs w:val="17"/>
          <w:color w:val="auto"/>
        </w:rPr>
        <w:t>There were 32 securities at March 31, 2016 that accounted for the gross unrealized loss, none of which were deemed by us to be other than temporarily impaired. There were 57 securities at December 31, 2015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Cash Flows</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206"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On April 18, 2016 we sold 595,238 newly issued shares of our common stock to RenaissanceRe Ventures Ltd., a subsidiary of RenaissanceRe Holdings Ltd. (NYSE:RNR) (“RenaissanceRe”), in a private placement. RenaissanceRe is a global provider of catastrophe and specialty reinsurance and insurance. The new common shares were sold to RenaissanceRe at a price of $8.40 per share. We received net proceeds of approximately $4,850,000 from the private placement. We intend to use the net proceeds of the offering to support the continued growth of KICO, and for general corporate purposes.</w:t>
      </w:r>
    </w:p>
    <w:p>
      <w:pPr>
        <w:spacing w:after="0" w:line="19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Through the quarter ended March 31, 2016, the primary sources of cash flow for our holding company are dividends received from KICO, subject to statutory restrictions. For the three months ended March 31, 2016, KICO paid dividends of $450,000 to us.</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If the aforementioned sources of cash flow currently available are insufficient to cover our holding company cash requirements, we will seek to obtain additional financing.</w:t>
      </w:r>
    </w:p>
    <w:p>
      <w:pPr>
        <w:spacing w:after="0" w:line="16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3" w:name="page54"/>
    <w:bookmarkEnd w:id="53"/>
    <w:p>
      <w:pPr>
        <w:ind w:firstLine="620"/>
        <w:spacing w:after="0" w:line="280"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420"/>
          </w:cols>
          <w:pgMar w:left="240" w:top="50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551561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15610" cy="16510"/>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flows provided by (used in):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activities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Investing activities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607"/>
        </w:trPr>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2,672,714</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834,077</w:t>
            </w:r>
          </w:p>
        </w:tc>
      </w:tr>
      <w:tr>
        <w:trPr>
          <w:trHeight w:val="217"/>
        </w:trPr>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(10,091,378)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(3,940,506)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-260350</wp:posOffset>
            </wp:positionV>
            <wp:extent cx="7252970" cy="130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970" cy="13081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080" w:space="720"/>
            <w:col w:w="2620"/>
          </w:cols>
          <w:pgMar w:left="240" w:top="50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Financing activities</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(553,484)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(516,794)</w:t>
            </w:r>
          </w:p>
        </w:tc>
      </w:tr>
      <w:tr>
        <w:trPr>
          <w:trHeight w:val="26"/>
        </w:trPr>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Net decrease in cash and cash equivalents</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(7,972,148)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(3,623,223)</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13,551,372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9,906,878</w:t>
            </w:r>
          </w:p>
        </w:tc>
      </w:tr>
      <w:tr>
        <w:trPr>
          <w:trHeight w:val="26"/>
        </w:trPr>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5,579,224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6,283,655</w:t>
            </w: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Net cash provided by operating activities was $2,673,000 in 2016 as compared to $834,000 provided in 2015. The $1,839,000 increase in cash flows provided by operating activities in 2016 was primarily a result of an increase in cash arising from net fluctuations in assets and liabilities relating to operating activities of KICO as affected by the growth in its operations which are described above, and an increase in net income (adjusted for non-cash items) of $31,000.</w:t>
      </w:r>
    </w:p>
    <w:p>
      <w:pPr>
        <w:spacing w:after="0" w:line="18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Net cash used in investing activities was $10,091,000 in 2016 compared to $3,941,000 used in 2015. The $6,150,000 increase in cash used in investing activities is the result of a $13,228,000 increase in acquisitions of invested assets and collection of a $250,000 note receivable included in other assets, offset by a $6,845,000 increase in sales or maturities of invested assets.</w:t>
      </w:r>
    </w:p>
    <w:p>
      <w:pPr>
        <w:spacing w:after="0" w:line="202"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Net cash used in financing activities was $553,000 in 2016 compared to $517,000 used in 2015. The $36,000 increase in cash used in financing activities is the result of a $92,000 increase in dividends paid due an increase in the dividend rate, offset partially by a $33,000 decrease in the purchase of treasury stock.</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Our quota share reinsurance treaties are on a July 1 through June 30 fiscal year basis; therefore, for year to date fiscal periods after June 30, two separate treaties will be included in such periods.</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Our quota share reinsurance treaty in effect for 2016 for our personal lines business, which primarily consists of homeowners’ policies, was covered under the 2015/2016 Treaty. Our quota share reinsurance treaty in effect for 2015 for our personal lines business, which primarily consists of homeowners’ policies, was covered under the 2014/2015 Treaty.</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Our personal lines quota share treaty that covered the July 1, 2013/June 30, 2014 treaty year was a two year treaty that expired on June 30, 2015. Effective July 1, 2014, we exercised our contractual option to reduce the ceding percentage in the personal lines quota share treaty from 75% to 55%. We entered into new annual treaties with different terms effective July 1, 2015. Our 2014/2015 Treaty and 2015/2016 Treaty provide for the following material terms: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Treaty Year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July 1, 2015</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w w:val="95"/>
              </w:rPr>
              <w:t>July 1, 2014</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5"/>
              </w:rPr>
              <w:t>to</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Line of Busines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June 30, 2016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June 30, 2015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8760" w:type="dxa"/>
            <w:vAlign w:val="bottom"/>
            <w:gridSpan w:val="6"/>
          </w:tcPr>
          <w:p>
            <w:pPr>
              <w:spacing w:after="0"/>
              <w:rPr>
                <w:sz w:val="20"/>
                <w:szCs w:val="20"/>
                <w:color w:val="auto"/>
              </w:rPr>
            </w:pPr>
            <w:r>
              <w:rPr>
                <w:rFonts w:ascii="Arial" w:cs="Arial" w:eastAsia="Arial" w:hAnsi="Arial"/>
                <w:sz w:val="17"/>
                <w:szCs w:val="17"/>
                <w:color w:val="auto"/>
              </w:rPr>
              <w:t>Personal Lines: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760" w:type="dxa"/>
            <w:vAlign w:val="bottom"/>
            <w:gridSpan w:val="6"/>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Percent ceded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Risk retained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360,000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Excess of loss coverage above quota share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3,750,000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750,000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4,050,000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Losses per occurrence subject to reinsurance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Expiration date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June 30, 2016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June 30,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Personal Umbrella</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Percent ceded - first million dollars of coverage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Percent ceded - excess of one million dollars of coverage</w:t>
            </w:r>
          </w:p>
        </w:tc>
        <w:tc>
          <w:tcPr>
            <w:tcW w:w="1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Risk retained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2,900,000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Expiration date</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June 30, 2016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June 30, 2015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8740" w:type="dxa"/>
            <w:vAlign w:val="bottom"/>
            <w:gridSpan w:val="5"/>
          </w:tcPr>
          <w:p>
            <w:pPr>
              <w:spacing w:after="0" w:line="167" w:lineRule="exact"/>
              <w:rPr>
                <w:sz w:val="20"/>
                <w:szCs w:val="20"/>
                <w:color w:val="auto"/>
              </w:rPr>
            </w:pPr>
            <w:r>
              <w:rPr>
                <w:rFonts w:ascii="Arial" w:cs="Arial" w:eastAsia="Arial" w:hAnsi="Arial"/>
                <w:sz w:val="17"/>
                <w:szCs w:val="17"/>
                <w:color w:val="auto"/>
              </w:rPr>
              <w:t>Commercial Lines: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General liability commercial policies, except for commercial auto</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Percent ceded (terminated effective July 1, 2014)</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Risk retained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425,000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Excess of loss coverage above quota share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4,075,000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425,000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Total reinsurance coverage per occurrence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4,075,000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Losses per occurrence subject to reinsurance coverage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8740" w:type="dxa"/>
            <w:vAlign w:val="bottom"/>
            <w:gridSpan w:val="5"/>
          </w:tcPr>
          <w:p>
            <w:pPr>
              <w:spacing w:after="0" w:line="167" w:lineRule="exact"/>
              <w:rPr>
                <w:sz w:val="20"/>
                <w:szCs w:val="20"/>
                <w:color w:val="auto"/>
              </w:rPr>
            </w:pPr>
            <w:r>
              <w:rPr>
                <w:rFonts w:ascii="Arial" w:cs="Arial" w:eastAsia="Arial" w:hAnsi="Arial"/>
                <w:sz w:val="17"/>
                <w:szCs w:val="17"/>
                <w:color w:val="auto"/>
              </w:rPr>
              <w:t>Commercial Auto:</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top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Risk retained</w:t>
            </w:r>
          </w:p>
        </w:tc>
        <w:tc>
          <w:tcPr>
            <w:tcW w:w="744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Excess of loss coverage in excess of risk retained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1,700,000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740" w:type="dxa"/>
            <w:vAlign w:val="bottom"/>
            <w:gridSpan w:val="5"/>
            <w:shd w:val="clear" w:color="auto" w:fill="CCEEFF"/>
          </w:tcPr>
          <w:p>
            <w:pPr>
              <w:spacing w:after="0" w:line="167" w:lineRule="exact"/>
              <w:rPr>
                <w:sz w:val="20"/>
                <w:szCs w:val="20"/>
                <w:color w:val="auto"/>
              </w:rPr>
            </w:pPr>
            <w:r>
              <w:rPr>
                <w:rFonts w:ascii="Arial" w:cs="Arial" w:eastAsia="Arial" w:hAnsi="Arial"/>
                <w:sz w:val="17"/>
                <w:szCs w:val="17"/>
                <w:color w:val="auto"/>
              </w:rPr>
              <w:t>Catastrophe Reinsurance:</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6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Initial loss subject to personal lines quota share treaty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Risk retained per catastrophe occurrence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Catastrophe loss coverage in excess of quota share coverage (2) (3)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176,000,000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137,000,000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Severe winter weather aggregate (3)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88"/>
              </w:rPr>
              <w:t>Yes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88"/>
              </w:rPr>
              <w:t>Yes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gridSpan w:val="5"/>
          </w:tcPr>
          <w:p>
            <w:pPr>
              <w:ind w:left="20"/>
              <w:spacing w:after="0"/>
              <w:rPr>
                <w:sz w:val="20"/>
                <w:szCs w:val="20"/>
                <w:color w:val="auto"/>
              </w:rPr>
            </w:pPr>
            <w:r>
              <w:rPr>
                <w:rFonts w:ascii="Arial" w:cs="Arial" w:eastAsia="Arial" w:hAnsi="Arial"/>
                <w:sz w:val="17"/>
                <w:szCs w:val="17"/>
                <w:color w:val="auto"/>
              </w:rPr>
              <w:t>Reinstatement premium protection (4)</w:t>
            </w: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Yes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20" w:hanging="217"/>
        <w:spacing w:after="0"/>
        <w:tabs>
          <w:tab w:leader="none" w:pos="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21" w:lineRule="exact"/>
        <w:rPr>
          <w:rFonts w:ascii="Arial" w:cs="Arial" w:eastAsia="Arial" w:hAnsi="Arial"/>
          <w:sz w:val="17"/>
          <w:szCs w:val="17"/>
          <w:color w:val="auto"/>
        </w:rPr>
      </w:pPr>
    </w:p>
    <w:p>
      <w:pPr>
        <w:ind w:right="60" w:firstLine="3"/>
        <w:spacing w:after="0" w:line="253"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220" w:hanging="217"/>
        <w:spacing w:after="0"/>
        <w:tabs>
          <w:tab w:leader="none" w:pos="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 July 1, 2014, our catastrophe treaty also covers losses caused by severe winter weather during any consecutive 28 day period.</w:t>
      </w:r>
    </w:p>
    <w:p>
      <w:pPr>
        <w:spacing w:after="0" w:line="11" w:lineRule="exact"/>
        <w:rPr>
          <w:rFonts w:ascii="Arial" w:cs="Arial" w:eastAsia="Arial" w:hAnsi="Arial"/>
          <w:sz w:val="17"/>
          <w:szCs w:val="17"/>
          <w:color w:val="auto"/>
        </w:rPr>
      </w:pPr>
    </w:p>
    <w:p>
      <w:pPr>
        <w:ind w:left="220" w:hanging="217"/>
        <w:spacing w:after="0"/>
        <w:tabs>
          <w:tab w:leader="none" w:pos="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55" w:name="page56"/>
    <w:bookmarkEnd w:id="55"/>
    <w:p>
      <w:pPr>
        <w:spacing w:after="0" w:line="280" w:lineRule="auto"/>
        <w:rPr>
          <w:sz w:val="20"/>
          <w:szCs w:val="20"/>
          <w:color w:val="auto"/>
        </w:rPr>
      </w:pPr>
      <w:r>
        <w:rPr>
          <w:rFonts w:ascii="Arial" w:cs="Arial" w:eastAsia="Arial" w:hAnsi="Arial"/>
          <w:sz w:val="17"/>
          <w:szCs w:val="17"/>
          <w:color w:val="auto"/>
        </w:rPr>
        <w:t>The single maximum risks per occurrence to which we are subject under the new treaties effective July 1, 2015 and under the treaties that expired on June 30, 2015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4"/>
          </w:tcPr>
          <w:p>
            <w:pPr>
              <w:ind w:left="680"/>
              <w:spacing w:after="0"/>
              <w:rPr>
                <w:sz w:val="20"/>
                <w:szCs w:val="20"/>
                <w:color w:val="auto"/>
              </w:rPr>
            </w:pPr>
            <w:r>
              <w:rPr>
                <w:rFonts w:ascii="Arial" w:cs="Arial" w:eastAsia="Arial" w:hAnsi="Arial"/>
                <w:sz w:val="14"/>
                <w:szCs w:val="14"/>
                <w:b w:val="1"/>
                <w:bCs w:val="1"/>
                <w:color w:val="auto"/>
              </w:rPr>
              <w:t>July 1, 2015 - June 30, 2016</w:t>
            </w:r>
          </w:p>
        </w:tc>
        <w:tc>
          <w:tcPr>
            <w:tcW w:w="40" w:type="dxa"/>
            <w:vAlign w:val="bottom"/>
          </w:tcPr>
          <w:p>
            <w:pPr>
              <w:spacing w:after="0"/>
              <w:rPr>
                <w:sz w:val="15"/>
                <w:szCs w:val="15"/>
                <w:color w:val="auto"/>
              </w:rPr>
            </w:pPr>
          </w:p>
        </w:tc>
        <w:tc>
          <w:tcPr>
            <w:tcW w:w="3040" w:type="dxa"/>
            <w:vAlign w:val="bottom"/>
            <w:gridSpan w:val="4"/>
          </w:tcPr>
          <w:p>
            <w:pPr>
              <w:ind w:left="700"/>
              <w:spacing w:after="0"/>
              <w:rPr>
                <w:sz w:val="20"/>
                <w:szCs w:val="20"/>
                <w:color w:val="auto"/>
              </w:rPr>
            </w:pPr>
            <w:r>
              <w:rPr>
                <w:rFonts w:ascii="Arial" w:cs="Arial" w:eastAsia="Arial" w:hAnsi="Arial"/>
                <w:sz w:val="14"/>
                <w:szCs w:val="14"/>
                <w:b w:val="1"/>
                <w:bCs w:val="1"/>
                <w:color w:val="auto"/>
              </w:rPr>
              <w:t>July 1, 2014 - June 30, 2015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300" w:type="dxa"/>
            <w:vAlign w:val="bottom"/>
            <w:gridSpan w:val="2"/>
            <w:vMerge w:val="restart"/>
          </w:tcPr>
          <w:p>
            <w:pPr>
              <w:ind w:left="2400"/>
              <w:spacing w:after="0"/>
              <w:rPr>
                <w:sz w:val="20"/>
                <w:szCs w:val="20"/>
                <w:color w:val="auto"/>
              </w:rPr>
            </w:pPr>
            <w:r>
              <w:rPr>
                <w:rFonts w:ascii="Arial" w:cs="Arial" w:eastAsia="Arial" w:hAnsi="Arial"/>
                <w:sz w:val="14"/>
                <w:szCs w:val="14"/>
                <w:b w:val="1"/>
                <w:bCs w:val="1"/>
                <w:color w:val="auto"/>
              </w:rPr>
              <w:t>Treaty</w:t>
            </w: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172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Extent of Loss</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Risk Retained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rPr>
              <w:t>Extent of Loss</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$450,000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$800,000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w w:val="97"/>
              </w:rPr>
              <w:t>$750,000 - $4,500,000</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None(1)</w:t>
            </w:r>
          </w:p>
        </w:tc>
        <w:tc>
          <w:tcPr>
            <w:tcW w:w="1780" w:type="dxa"/>
            <w:vAlign w:val="bottom"/>
            <w:gridSpan w:val="2"/>
          </w:tcPr>
          <w:p>
            <w:pPr>
              <w:ind w:left="80"/>
              <w:spacing w:after="0"/>
              <w:rPr>
                <w:sz w:val="20"/>
                <w:szCs w:val="20"/>
                <w:color w:val="auto"/>
              </w:rPr>
            </w:pPr>
            <w:r>
              <w:rPr>
                <w:rFonts w:ascii="Arial" w:cs="Arial" w:eastAsia="Arial" w:hAnsi="Arial"/>
                <w:sz w:val="17"/>
                <w:szCs w:val="17"/>
                <w:color w:val="auto"/>
                <w:w w:val="98"/>
              </w:rPr>
              <w:t>$800,000 - $4,000,000</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ind w:left="40"/>
              <w:spacing w:after="0" w:line="194" w:lineRule="exact"/>
              <w:rPr>
                <w:sz w:val="20"/>
                <w:szCs w:val="20"/>
                <w:color w:val="auto"/>
              </w:rPr>
            </w:pPr>
            <w:r>
              <w:rPr>
                <w:rFonts w:ascii="Arial" w:cs="Arial" w:eastAsia="Arial" w:hAnsi="Arial"/>
                <w:sz w:val="17"/>
                <w:szCs w:val="17"/>
                <w:color w:val="auto"/>
              </w:rPr>
              <w:t>$1,000,000 -</w:t>
            </w:r>
          </w:p>
        </w:tc>
        <w:tc>
          <w:tcPr>
            <w:tcW w:w="120" w:type="dxa"/>
            <w:vAlign w:val="bottom"/>
          </w:tcPr>
          <w:p>
            <w:pPr>
              <w:spacing w:after="0"/>
              <w:rPr>
                <w:sz w:val="16"/>
                <w:szCs w:val="16"/>
                <w:color w:val="auto"/>
              </w:rPr>
            </w:pPr>
          </w:p>
        </w:tc>
        <w:tc>
          <w:tcPr>
            <w:tcW w:w="12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None(1)</w:t>
            </w:r>
          </w:p>
        </w:tc>
        <w:tc>
          <w:tcPr>
            <w:tcW w:w="1780" w:type="dxa"/>
            <w:vAlign w:val="bottom"/>
            <w:gridSpan w:val="2"/>
          </w:tcPr>
          <w:p>
            <w:pPr>
              <w:ind w:left="80"/>
              <w:spacing w:after="0" w:line="194" w:lineRule="exact"/>
              <w:rPr>
                <w:sz w:val="20"/>
                <w:szCs w:val="20"/>
                <w:color w:val="auto"/>
              </w:rPr>
            </w:pPr>
            <w:r>
              <w:rPr>
                <w:rFonts w:ascii="Arial" w:cs="Arial" w:eastAsia="Arial" w:hAnsi="Arial"/>
                <w:sz w:val="17"/>
                <w:szCs w:val="17"/>
                <w:color w:val="auto"/>
                <w:w w:val="90"/>
              </w:rPr>
              <w:t>$1,000,000 - $3,000,000</w:t>
            </w:r>
          </w:p>
        </w:tc>
        <w:tc>
          <w:tcPr>
            <w:tcW w:w="120" w:type="dxa"/>
            <w:vAlign w:val="bottom"/>
          </w:tcPr>
          <w:p>
            <w:pPr>
              <w:spacing w:after="0"/>
              <w:rPr>
                <w:sz w:val="16"/>
                <w:szCs w:val="16"/>
                <w:color w:val="auto"/>
              </w:rPr>
            </w:pP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None(1)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$3,000,000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$425,000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w w:val="97"/>
              </w:rPr>
              <w:t>$425,000 - $4,500,000</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None(1)</w:t>
            </w:r>
          </w:p>
        </w:tc>
        <w:tc>
          <w:tcPr>
            <w:tcW w:w="1780" w:type="dxa"/>
            <w:vAlign w:val="bottom"/>
            <w:gridSpan w:val="2"/>
          </w:tcPr>
          <w:p>
            <w:pPr>
              <w:ind w:left="80"/>
              <w:spacing w:after="0"/>
              <w:rPr>
                <w:sz w:val="20"/>
                <w:szCs w:val="20"/>
                <w:color w:val="auto"/>
              </w:rPr>
            </w:pPr>
            <w:r>
              <w:rPr>
                <w:rFonts w:ascii="Arial" w:cs="Arial" w:eastAsia="Arial" w:hAnsi="Arial"/>
                <w:sz w:val="17"/>
                <w:szCs w:val="17"/>
                <w:color w:val="auto"/>
                <w:w w:val="98"/>
              </w:rPr>
              <w:t>$400,000 - $4,000,000</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$300,000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ind w:left="40"/>
              <w:spacing w:after="0"/>
              <w:rPr>
                <w:sz w:val="20"/>
                <w:szCs w:val="20"/>
                <w:color w:val="auto"/>
              </w:rPr>
            </w:pPr>
            <w:r>
              <w:rPr>
                <w:rFonts w:ascii="Arial" w:cs="Arial" w:eastAsia="Arial" w:hAnsi="Arial"/>
                <w:sz w:val="17"/>
                <w:szCs w:val="17"/>
                <w:color w:val="auto"/>
                <w:w w:val="97"/>
              </w:rPr>
              <w:t>$300,000 - $2,000,000</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None(1)</w:t>
            </w:r>
          </w:p>
        </w:tc>
        <w:tc>
          <w:tcPr>
            <w:tcW w:w="1780" w:type="dxa"/>
            <w:vAlign w:val="bottom"/>
            <w:gridSpan w:val="2"/>
          </w:tcPr>
          <w:p>
            <w:pPr>
              <w:ind w:left="80"/>
              <w:spacing w:after="0"/>
              <w:rPr>
                <w:sz w:val="20"/>
                <w:szCs w:val="20"/>
                <w:color w:val="auto"/>
              </w:rPr>
            </w:pPr>
            <w:r>
              <w:rPr>
                <w:rFonts w:ascii="Arial" w:cs="Arial" w:eastAsia="Arial" w:hAnsi="Arial"/>
                <w:sz w:val="17"/>
                <w:szCs w:val="17"/>
                <w:color w:val="auto"/>
                <w:w w:val="98"/>
              </w:rPr>
              <w:t>$300,000 - $2,000,000</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$2,400,000</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ind w:left="40"/>
              <w:spacing w:after="0" w:line="194" w:lineRule="exact"/>
              <w:rPr>
                <w:sz w:val="20"/>
                <w:szCs w:val="20"/>
                <w:color w:val="auto"/>
              </w:rPr>
            </w:pPr>
            <w:r>
              <w:rPr>
                <w:rFonts w:ascii="Arial" w:cs="Arial" w:eastAsia="Arial" w:hAnsi="Arial"/>
                <w:sz w:val="17"/>
                <w:szCs w:val="17"/>
                <w:color w:val="auto"/>
              </w:rPr>
              <w:t>$4,000,000 -</w:t>
            </w:r>
          </w:p>
        </w:tc>
        <w:tc>
          <w:tcPr>
            <w:tcW w:w="120" w:type="dxa"/>
            <w:vAlign w:val="bottom"/>
          </w:tcPr>
          <w:p>
            <w:pPr>
              <w:spacing w:after="0"/>
              <w:rPr>
                <w:sz w:val="16"/>
                <w:szCs w:val="16"/>
                <w:color w:val="auto"/>
              </w:rPr>
            </w:pPr>
          </w:p>
        </w:tc>
        <w:tc>
          <w:tcPr>
            <w:tcW w:w="12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None</w:t>
            </w:r>
          </w:p>
        </w:tc>
        <w:tc>
          <w:tcPr>
            <w:tcW w:w="178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$4,000,000 -</w:t>
            </w:r>
          </w:p>
        </w:tc>
        <w:tc>
          <w:tcPr>
            <w:tcW w:w="120" w:type="dxa"/>
            <w:vAlign w:val="bottom"/>
          </w:tcPr>
          <w:p>
            <w:pPr>
              <w:spacing w:after="0"/>
              <w:rPr>
                <w:sz w:val="16"/>
                <w:szCs w:val="16"/>
                <w:color w:val="auto"/>
              </w:rPr>
            </w:pP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$180,000,000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jc w:val="right"/>
              <w:ind w:right="697"/>
              <w:spacing w:after="0"/>
              <w:rPr>
                <w:sz w:val="20"/>
                <w:szCs w:val="20"/>
                <w:color w:val="auto"/>
              </w:rPr>
            </w:pPr>
            <w:r>
              <w:rPr>
                <w:rFonts w:ascii="Arial" w:cs="Arial" w:eastAsia="Arial" w:hAnsi="Arial"/>
                <w:sz w:val="17"/>
                <w:szCs w:val="17"/>
                <w:color w:val="auto"/>
                <w:w w:val="94"/>
              </w:rPr>
              <w:t>$141,000,000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$141,000,000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_______________</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80" w:hanging="277"/>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243" w:lineRule="exact"/>
        <w:rPr>
          <w:rFonts w:ascii="Arial" w:cs="Arial" w:eastAsia="Arial" w:hAnsi="Arial"/>
          <w:sz w:val="17"/>
          <w:szCs w:val="17"/>
          <w:color w:val="auto"/>
        </w:rPr>
      </w:pPr>
    </w:p>
    <w:p>
      <w:pPr>
        <w:ind w:left="280" w:hanging="277"/>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24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Based upon the factors set forth under “Factors That May Affect Future Results and Financial Condition” in Item 7 of our Annual Report on Form 10-K for the year ended December 31, 2015,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2016.</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49" w:lineRule="exact"/>
        <w:rPr>
          <w:sz w:val="20"/>
          <w:szCs w:val="20"/>
          <w:color w:val="auto"/>
        </w:rPr>
      </w:pPr>
    </w:p>
    <w:p>
      <w:pPr>
        <w:jc w:val="center"/>
        <w:ind w:right="980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275" w:lineRule="exact"/>
        <w:rPr>
          <w:sz w:val="20"/>
          <w:szCs w:val="20"/>
          <w:color w:val="auto"/>
        </w:rPr>
      </w:pPr>
    </w:p>
    <w:p>
      <w:pPr>
        <w:ind w:left="240" w:hanging="237"/>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None</w:t>
      </w:r>
    </w:p>
    <w:p>
      <w:pPr>
        <w:spacing w:after="0" w:line="269" w:lineRule="exact"/>
        <w:rPr>
          <w:rFonts w:ascii="Arial" w:cs="Arial" w:eastAsia="Arial" w:hAnsi="Arial"/>
          <w:sz w:val="17"/>
          <w:szCs w:val="17"/>
          <w:color w:val="auto"/>
        </w:rPr>
      </w:pPr>
    </w:p>
    <w:p>
      <w:pPr>
        <w:ind w:left="260" w:hanging="257"/>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17" w:lineRule="exact"/>
        <w:rPr>
          <w:rFonts w:ascii="Arial" w:cs="Arial" w:eastAsia="Arial" w:hAnsi="Arial"/>
          <w:sz w:val="17"/>
          <w:szCs w:val="17"/>
          <w:color w:val="auto"/>
        </w:rPr>
      </w:pPr>
    </w:p>
    <w:p>
      <w:pPr>
        <w:ind w:right="200" w:firstLine="3"/>
        <w:spacing w:after="0" w:line="280" w:lineRule="auto"/>
        <w:tabs>
          <w:tab w:leader="none" w:pos="2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table sets forth certain information with respect to purchases of common stock made by us or any “affiliated purchaser” during the quarter ended March 31, 2016: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2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Number of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Shares Purchased</w:t>
            </w: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that May Be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Total Number of</w:t>
            </w:r>
          </w:p>
        </w:tc>
        <w:tc>
          <w:tcPr>
            <w:tcW w:w="12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Average Price</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as Part of Publicly</w:t>
            </w: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Announced Plans</w:t>
            </w: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Paid 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2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1/1/16 - 1/31/16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8.31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2/1/16 – 2/29/16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3/1/16 – 3/31/16</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6,008</w:t>
            </w:r>
            <w:r>
              <w:rPr>
                <w:rFonts w:ascii="Arial" w:cs="Arial" w:eastAsia="Arial" w:hAnsi="Arial"/>
                <w:sz w:val="12"/>
                <w:szCs w:val="12"/>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8.35</w:t>
            </w:r>
            <w:r>
              <w:rPr>
                <w:rFonts w:ascii="Arial" w:cs="Arial" w:eastAsia="Arial" w:hAnsi="Arial"/>
                <w:sz w:val="12"/>
                <w:szCs w:val="12"/>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tcPr>
          <w:p>
            <w:pPr>
              <w:spacing w:after="0" w:line="186" w:lineRule="exact"/>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1160" w:type="dxa"/>
            <w:vAlign w:val="bottom"/>
          </w:tcPr>
          <w:p>
            <w:pPr>
              <w:jc w:val="right"/>
              <w:spacing w:after="0" w:line="186" w:lineRule="exact"/>
              <w:rPr>
                <w:sz w:val="20"/>
                <w:szCs w:val="20"/>
                <w:color w:val="auto"/>
              </w:rPr>
            </w:pPr>
            <w:r>
              <w:rPr>
                <w:rFonts w:ascii="Arial" w:cs="Arial" w:eastAsia="Arial" w:hAnsi="Arial"/>
                <w:sz w:val="17"/>
                <w:szCs w:val="17"/>
                <w:color w:val="auto"/>
              </w:rPr>
              <w:t>13,008</w:t>
            </w:r>
          </w:p>
        </w:tc>
        <w:tc>
          <w:tcPr>
            <w:tcW w:w="260" w:type="dxa"/>
            <w:vAlign w:val="bottom"/>
          </w:tcPr>
          <w:p>
            <w:pPr>
              <w:spacing w:after="0"/>
              <w:rPr>
                <w:sz w:val="17"/>
                <w:szCs w:val="17"/>
                <w:color w:val="auto"/>
              </w:rPr>
            </w:pPr>
          </w:p>
        </w:tc>
        <w:tc>
          <w:tcPr>
            <w:tcW w:w="120" w:type="dxa"/>
            <w:vAlign w:val="bottom"/>
          </w:tcPr>
          <w:p>
            <w:pPr>
              <w:jc w:val="right"/>
              <w:spacing w:after="0" w:line="186" w:lineRule="exact"/>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00"/>
              <w:spacing w:after="0" w:line="186" w:lineRule="exact"/>
              <w:rPr>
                <w:sz w:val="20"/>
                <w:szCs w:val="20"/>
                <w:color w:val="auto"/>
              </w:rPr>
            </w:pPr>
            <w:r>
              <w:rPr>
                <w:rFonts w:ascii="Arial" w:cs="Arial" w:eastAsia="Arial" w:hAnsi="Arial"/>
                <w:sz w:val="17"/>
                <w:szCs w:val="17"/>
                <w:color w:val="auto"/>
              </w:rPr>
              <w:t>8.33</w:t>
            </w:r>
            <w:r>
              <w:rPr>
                <w:rFonts w:ascii="Arial" w:cs="Arial" w:eastAsia="Arial" w:hAnsi="Arial"/>
                <w:sz w:val="12"/>
                <w:szCs w:val="12"/>
                <w:color w:val="auto"/>
              </w:rPr>
              <w:t>(1)</w:t>
            </w: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 Includes 1,508 shares purchased by “affiliated purchaser” at a price of $8.25 per share.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Defaults Upon Senior Securities</w:t>
      </w:r>
      <w:r>
        <w:rPr>
          <w:rFonts w:ascii="Arial" w:cs="Arial" w:eastAsia="Arial" w:hAnsi="Arial"/>
          <w:sz w:val="17"/>
          <w:szCs w:val="17"/>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Mine Safety Disclosures</w:t>
      </w:r>
      <w:r>
        <w:rPr>
          <w:rFonts w:ascii="Arial" w:cs="Arial" w:eastAsia="Arial" w:hAnsi="Arial"/>
          <w:sz w:val="17"/>
          <w:szCs w:val="17"/>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3(a)</w:t>
            </w:r>
          </w:p>
        </w:tc>
        <w:tc>
          <w:tcPr>
            <w:tcW w:w="10200" w:type="dxa"/>
            <w:vAlign w:val="bottom"/>
            <w:gridSpan w:val="2"/>
            <w:shd w:val="clear" w:color="auto" w:fill="CCEEFF"/>
          </w:tcPr>
          <w:p>
            <w:pPr>
              <w:ind w:left="100"/>
              <w:spacing w:after="0" w:line="207" w:lineRule="exact"/>
              <w:rPr>
                <w:sz w:val="20"/>
                <w:szCs w:val="20"/>
                <w:color w:val="auto"/>
              </w:rPr>
            </w:pPr>
            <w:r>
              <w:rPr>
                <w:rFonts w:ascii="Arial" w:cs="Arial" w:eastAsia="Arial" w:hAnsi="Arial"/>
                <w:sz w:val="17"/>
                <w:szCs w:val="17"/>
                <w:color w:val="auto"/>
              </w:rPr>
              <w:t>Restated Certificate of Incorporation, as amended</w:t>
            </w:r>
            <w:r>
              <w:rPr>
                <w:rFonts w:ascii="Arial" w:cs="Arial" w:eastAsia="Arial" w:hAnsi="Arial"/>
                <w:sz w:val="23"/>
                <w:szCs w:val="23"/>
                <w:u w:val="single" w:color="auto"/>
                <w:color w:val="0000EE"/>
                <w:vertAlign w:val="superscript"/>
              </w:rPr>
              <w:t>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3(b)</w:t>
            </w:r>
          </w:p>
        </w:tc>
        <w:tc>
          <w:tcPr>
            <w:tcW w:w="10200" w:type="dxa"/>
            <w:vAlign w:val="bottom"/>
            <w:gridSpan w:val="2"/>
            <w:shd w:val="clear" w:color="auto" w:fill="CCEEFF"/>
          </w:tcPr>
          <w:p>
            <w:pPr>
              <w:ind w:left="100"/>
              <w:spacing w:after="0" w:line="207" w:lineRule="exact"/>
              <w:rPr>
                <w:sz w:val="20"/>
                <w:szCs w:val="20"/>
                <w:color w:val="auto"/>
              </w:rPr>
            </w:pPr>
            <w:r>
              <w:rPr>
                <w:rFonts w:ascii="Arial" w:cs="Arial" w:eastAsia="Arial" w:hAnsi="Arial"/>
                <w:sz w:val="17"/>
                <w:szCs w:val="17"/>
                <w:color w:val="auto"/>
              </w:rPr>
              <w:t>By-laws, as amended</w:t>
            </w:r>
            <w:r>
              <w:rPr>
                <w:rFonts w:ascii="Arial" w:cs="Arial" w:eastAsia="Arial" w:hAnsi="Arial"/>
                <w:sz w:val="23"/>
                <w:szCs w:val="23"/>
                <w:u w:val="single" w:color="auto"/>
                <w:color w:val="0000EE"/>
                <w:vertAlign w:val="superscript"/>
              </w:rPr>
              <w:t>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00" w:type="dxa"/>
            <w:vAlign w:val="bottom"/>
            <w:gridSpan w:val="3"/>
            <w:shd w:val="clear" w:color="auto" w:fill="CCEEFF"/>
          </w:tcPr>
          <w:p>
            <w:pPr>
              <w:spacing w:after="0" w:line="167" w:lineRule="exact"/>
              <w:rPr>
                <w:rFonts w:ascii="Arial" w:cs="Arial" w:eastAsia="Arial" w:hAnsi="Arial"/>
                <w:sz w:val="17"/>
                <w:szCs w:val="17"/>
                <w:color w:val="0000EE"/>
              </w:rPr>
            </w:pPr>
            <w:hyperlink w:anchor="page61">
              <w:r>
                <w:rPr>
                  <w:rFonts w:ascii="Arial" w:cs="Arial" w:eastAsia="Arial" w:hAnsi="Arial"/>
                  <w:sz w:val="17"/>
                  <w:szCs w:val="17"/>
                  <w:color w:val="0000EE"/>
                </w:rPr>
                <w:t>31(a)</w:t>
              </w:r>
            </w:hyperlink>
          </w:p>
        </w:tc>
        <w:tc>
          <w:tcPr>
            <w:tcW w:w="102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w w:val="96"/>
              </w:rPr>
              <w:t>Rule 13a-14(a)/15d-14(a) 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60" w:type="dxa"/>
            <w:vAlign w:val="bottom"/>
            <w:tcBorders>
              <w:bottom w:val="single" w:sz="8" w:color="0000EE"/>
            </w:tcBorders>
            <w:gridSpan w:val="2"/>
            <w:shd w:val="clear" w:color="auto" w:fill="CCEEFF"/>
          </w:tcPr>
          <w:p>
            <w:pPr>
              <w:spacing w:after="0" w:line="167" w:lineRule="exact"/>
              <w:rPr>
                <w:rFonts w:ascii="Arial" w:cs="Arial" w:eastAsia="Arial" w:hAnsi="Arial"/>
                <w:sz w:val="17"/>
                <w:szCs w:val="17"/>
                <w:color w:val="0000EE"/>
                <w:w w:val="85"/>
              </w:rPr>
            </w:pPr>
            <w:hyperlink w:anchor="page62">
              <w:r>
                <w:rPr>
                  <w:rFonts w:ascii="Arial" w:cs="Arial" w:eastAsia="Arial" w:hAnsi="Arial"/>
                  <w:sz w:val="17"/>
                  <w:szCs w:val="17"/>
                  <w:color w:val="0000EE"/>
                  <w:w w:val="85"/>
                </w:rPr>
                <w:t>31(b)</w:t>
              </w:r>
            </w:hyperlink>
          </w:p>
        </w:tc>
        <w:tc>
          <w:tcPr>
            <w:tcW w:w="840" w:type="dxa"/>
            <w:vAlign w:val="bottom"/>
            <w:tcBorders>
              <w:bottom w:val="single" w:sz="8" w:color="CCEEFF"/>
            </w:tcBorders>
            <w:shd w:val="clear" w:color="auto" w:fill="CCEEFF"/>
          </w:tcPr>
          <w:p>
            <w:pPr>
              <w:spacing w:after="0"/>
              <w:rPr>
                <w:sz w:val="16"/>
                <w:szCs w:val="16"/>
                <w:color w:val="auto"/>
              </w:rPr>
            </w:pPr>
          </w:p>
        </w:tc>
        <w:tc>
          <w:tcPr>
            <w:tcW w:w="10200" w:type="dxa"/>
            <w:vAlign w:val="bottom"/>
            <w:tcBorders>
              <w:bottom w:val="single" w:sz="8" w:color="CCEEFF"/>
            </w:tcBorders>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w w:val="96"/>
              </w:rPr>
              <w:t>Rule 13a-14(a)/15d-14(a) Certification of Principal Financial Officer as adopted pursuant to Section 302 of the Sarbanes-Oxley Act of 2002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20" w:right="140" w:hanging="1317"/>
        <w:spacing w:after="0" w:line="280" w:lineRule="auto"/>
        <w:tabs>
          <w:tab w:leader="none" w:pos="1320" w:val="left"/>
        </w:tabs>
        <w:numPr>
          <w:ilvl w:val="0"/>
          <w:numId w:val="11"/>
        </w:numPr>
        <w:rPr>
          <w:rFonts w:ascii="Arial" w:cs="Arial" w:eastAsia="Arial" w:hAnsi="Arial"/>
          <w:sz w:val="17"/>
          <w:szCs w:val="17"/>
          <w:u w:val="single" w:color="auto"/>
          <w:color w:val="0000EE"/>
        </w:rPr>
      </w:pPr>
      <w:r>
        <w:rPr>
          <w:rFonts w:ascii="Arial" w:cs="Arial" w:eastAsia="Arial" w:hAnsi="Arial"/>
          <w:sz w:val="17"/>
          <w:szCs w:val="17"/>
          <w:color w:val="auto"/>
        </w:rPr>
        <w:t>Certification of Chief Executive Officer and Chief Financial Officer 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-281305</wp:posOffset>
            </wp:positionV>
            <wp:extent cx="7252970" cy="262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970" cy="262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10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101.SCH XBRL Taxonomy Extension Schema.</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101.CAL</w:t>
            </w:r>
          </w:p>
        </w:tc>
        <w:tc>
          <w:tcPr>
            <w:tcW w:w="9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101.DEF</w:t>
            </w:r>
          </w:p>
        </w:tc>
        <w:tc>
          <w:tcPr>
            <w:tcW w:w="9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101.LAB</w:t>
            </w:r>
          </w:p>
        </w:tc>
        <w:tc>
          <w:tcPr>
            <w:tcW w:w="9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10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101.PRE XBRL Taxonomy Extension Presentation Linkbase.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4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1Denotes document filed as Exhibit 3 (a) to our Quarterly Report on Form 10-Q for the period ended March 31, 2014 and incorporated herein by reference.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 Denotes document filed Exhibit 3.1 to our Current Report on Form 8-K for an event dated November 5, 2009 and incorporated herein by reference.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0" w:type="dxa"/>
            <w:vAlign w:val="bottom"/>
          </w:tcPr>
          <w:p>
            <w:pPr>
              <w:spacing w:after="0"/>
              <w:rPr>
                <w:sz w:val="19"/>
                <w:szCs w:val="19"/>
                <w:color w:val="auto"/>
              </w:rPr>
            </w:pPr>
          </w:p>
        </w:tc>
        <w:tc>
          <w:tcPr>
            <w:tcW w:w="6460" w:type="dxa"/>
            <w:vAlign w:val="bottom"/>
            <w:gridSpan w:val="2"/>
          </w:tcPr>
          <w:p>
            <w:pPr>
              <w:ind w:left="2120"/>
              <w:spacing w:after="0"/>
              <w:rPr>
                <w:sz w:val="20"/>
                <w:szCs w:val="20"/>
                <w:color w:val="auto"/>
              </w:rPr>
            </w:pPr>
            <w:r>
              <w:rPr>
                <w:rFonts w:ascii="Arial" w:cs="Arial" w:eastAsia="Arial" w:hAnsi="Arial"/>
                <w:sz w:val="17"/>
                <w:szCs w:val="17"/>
                <w:b w:val="1"/>
                <w:bCs w:val="1"/>
                <w:color w:val="auto"/>
              </w:rPr>
              <w:t>KINGSTONE COMPANIES, INC.</w:t>
            </w:r>
          </w:p>
        </w:tc>
      </w:tr>
      <w:tr>
        <w:trPr>
          <w:trHeight w:val="433"/>
        </w:trPr>
        <w:tc>
          <w:tcPr>
            <w:tcW w:w="3600" w:type="dxa"/>
            <w:vAlign w:val="bottom"/>
          </w:tcPr>
          <w:p>
            <w:pPr>
              <w:spacing w:after="0"/>
              <w:rPr>
                <w:sz w:val="20"/>
                <w:szCs w:val="20"/>
                <w:color w:val="auto"/>
              </w:rPr>
            </w:pPr>
            <w:r>
              <w:rPr>
                <w:rFonts w:ascii="Arial" w:cs="Arial" w:eastAsia="Arial" w:hAnsi="Arial"/>
                <w:sz w:val="17"/>
                <w:szCs w:val="17"/>
                <w:color w:val="auto"/>
              </w:rPr>
              <w:t>Dated: May 12, 2016</w:t>
            </w:r>
          </w:p>
        </w:tc>
        <w:tc>
          <w:tcPr>
            <w:tcW w:w="6460" w:type="dxa"/>
            <w:vAlign w:val="bottom"/>
            <w:gridSpan w:val="2"/>
          </w:tcPr>
          <w:p>
            <w:pPr>
              <w:ind w:left="2120"/>
              <w:spacing w:after="0"/>
              <w:rPr>
                <w:sz w:val="20"/>
                <w:szCs w:val="20"/>
                <w:color w:val="auto"/>
              </w:rPr>
            </w:pPr>
            <w:r>
              <w:rPr>
                <w:rFonts w:ascii="Arial" w:cs="Arial" w:eastAsia="Arial" w:hAnsi="Arial"/>
                <w:sz w:val="17"/>
                <w:szCs w:val="17"/>
                <w:color w:val="auto"/>
              </w:rPr>
              <w:t>By: /s/ Barry B. Goldstein</w:t>
            </w:r>
          </w:p>
        </w:tc>
      </w:tr>
      <w:tr>
        <w:trPr>
          <w:trHeight w:val="194"/>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Barry B. Goldstein</w:t>
            </w:r>
          </w:p>
        </w:tc>
      </w:tr>
      <w:tr>
        <w:trPr>
          <w:trHeight w:val="217"/>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President</w:t>
            </w:r>
          </w:p>
        </w:tc>
      </w:tr>
      <w:tr>
        <w:trPr>
          <w:trHeight w:val="627"/>
        </w:trPr>
        <w:tc>
          <w:tcPr>
            <w:tcW w:w="3600" w:type="dxa"/>
            <w:vAlign w:val="bottom"/>
          </w:tcPr>
          <w:p>
            <w:pPr>
              <w:spacing w:after="0"/>
              <w:rPr>
                <w:sz w:val="20"/>
                <w:szCs w:val="20"/>
                <w:color w:val="auto"/>
              </w:rPr>
            </w:pPr>
            <w:r>
              <w:rPr>
                <w:rFonts w:ascii="Arial" w:cs="Arial" w:eastAsia="Arial" w:hAnsi="Arial"/>
                <w:sz w:val="17"/>
                <w:szCs w:val="17"/>
                <w:color w:val="auto"/>
              </w:rPr>
              <w:t>Dated: May 12, 2016</w:t>
            </w:r>
          </w:p>
        </w:tc>
        <w:tc>
          <w:tcPr>
            <w:tcW w:w="6460" w:type="dxa"/>
            <w:vAlign w:val="bottom"/>
            <w:gridSpan w:val="2"/>
          </w:tcPr>
          <w:p>
            <w:pPr>
              <w:ind w:left="2120"/>
              <w:spacing w:after="0"/>
              <w:rPr>
                <w:sz w:val="20"/>
                <w:szCs w:val="20"/>
                <w:color w:val="auto"/>
              </w:rPr>
            </w:pPr>
            <w:r>
              <w:rPr>
                <w:rFonts w:ascii="Arial" w:cs="Arial" w:eastAsia="Arial" w:hAnsi="Arial"/>
                <w:sz w:val="17"/>
                <w:szCs w:val="17"/>
                <w:color w:val="auto"/>
              </w:rPr>
              <w:t>By: /s/ Victor Brodsky</w:t>
            </w:r>
          </w:p>
        </w:tc>
      </w:tr>
      <w:tr>
        <w:trPr>
          <w:trHeight w:val="194"/>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Victor Brodsky</w:t>
            </w:r>
          </w:p>
        </w:tc>
      </w:tr>
      <w:tr>
        <w:trPr>
          <w:trHeight w:val="217"/>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49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1"/>
          <w:szCs w:val="21"/>
          <w:b w:val="1"/>
          <w:bCs w:val="1"/>
          <w:color w:val="auto"/>
        </w:rPr>
        <w:t>Exhibit 31.1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Barry Goldstein, certify that:</w:t>
      </w:r>
    </w:p>
    <w:p>
      <w:pPr>
        <w:spacing w:after="0" w:line="269" w:lineRule="exact"/>
        <w:rPr>
          <w:sz w:val="20"/>
          <w:szCs w:val="20"/>
          <w:color w:val="auto"/>
        </w:rPr>
      </w:pPr>
    </w:p>
    <w:p>
      <w:pPr>
        <w:ind w:left="340" w:hanging="337"/>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69" w:lineRule="exact"/>
        <w:rPr>
          <w:rFonts w:ascii="Arial" w:cs="Arial" w:eastAsia="Arial" w:hAnsi="Arial"/>
          <w:sz w:val="17"/>
          <w:szCs w:val="17"/>
          <w:color w:val="auto"/>
        </w:rPr>
      </w:pPr>
    </w:p>
    <w:p>
      <w:pPr>
        <w:ind w:right="300" w:firstLine="3"/>
        <w:spacing w:after="0" w:line="312"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right="400" w:firstLine="3"/>
        <w:spacing w:after="0" w:line="280"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214" w:lineRule="exact"/>
        <w:rPr>
          <w:rFonts w:ascii="Arial" w:cs="Arial" w:eastAsia="Arial" w:hAnsi="Arial"/>
          <w:sz w:val="17"/>
          <w:szCs w:val="17"/>
          <w:color w:val="auto"/>
        </w:rPr>
      </w:pPr>
    </w:p>
    <w:p>
      <w:pPr>
        <w:ind w:right="40" w:firstLine="3"/>
        <w:spacing w:after="0" w:line="266"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201" w:lineRule="exact"/>
        <w:rPr>
          <w:rFonts w:ascii="Arial" w:cs="Arial" w:eastAsia="Arial" w:hAnsi="Arial"/>
          <w:sz w:val="17"/>
          <w:szCs w:val="17"/>
          <w:color w:val="auto"/>
        </w:rPr>
      </w:pPr>
    </w:p>
    <w:p>
      <w:pPr>
        <w:jc w:val="both"/>
        <w:ind w:left="1240" w:hanging="275"/>
        <w:spacing w:after="0" w:line="266" w:lineRule="auto"/>
        <w:tabs>
          <w:tab w:leader="none" w:pos="12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240" w:hanging="284"/>
        <w:spacing w:after="0" w:line="266" w:lineRule="auto"/>
        <w:tabs>
          <w:tab w:leader="none" w:pos="12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240" w:hanging="275"/>
        <w:spacing w:after="0" w:line="349" w:lineRule="auto"/>
        <w:tabs>
          <w:tab w:leader="none" w:pos="124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240" w:hanging="284"/>
        <w:spacing w:after="0" w:line="266" w:lineRule="auto"/>
        <w:tabs>
          <w:tab w:leader="none" w:pos="12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27" w:lineRule="exact"/>
        <w:rPr>
          <w:rFonts w:ascii="Arial" w:cs="Arial" w:eastAsia="Arial" w:hAnsi="Arial"/>
          <w:sz w:val="17"/>
          <w:szCs w:val="17"/>
          <w:color w:val="auto"/>
        </w:rPr>
      </w:pPr>
    </w:p>
    <w:p>
      <w:pPr>
        <w:ind w:right="240" w:firstLine="3"/>
        <w:spacing w:after="0" w:line="349" w:lineRule="auto"/>
        <w:tabs>
          <w:tab w:leader="none" w:pos="335"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43" w:lineRule="exact"/>
        <w:rPr>
          <w:rFonts w:ascii="Arial" w:cs="Arial" w:eastAsia="Arial" w:hAnsi="Arial"/>
          <w:sz w:val="15"/>
          <w:szCs w:val="15"/>
          <w:color w:val="auto"/>
        </w:rPr>
      </w:pPr>
    </w:p>
    <w:p>
      <w:pPr>
        <w:ind w:left="1240" w:hanging="275"/>
        <w:spacing w:after="0" w:line="312" w:lineRule="auto"/>
        <w:tabs>
          <w:tab w:leader="none" w:pos="12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66" w:lineRule="exact"/>
        <w:rPr>
          <w:rFonts w:ascii="Arial" w:cs="Arial" w:eastAsia="Arial" w:hAnsi="Arial"/>
          <w:sz w:val="16"/>
          <w:szCs w:val="16"/>
          <w:color w:val="auto"/>
        </w:rPr>
      </w:pPr>
    </w:p>
    <w:p>
      <w:pPr>
        <w:ind w:left="1240" w:hanging="284"/>
        <w:spacing w:after="0" w:line="280" w:lineRule="auto"/>
        <w:tabs>
          <w:tab w:leader="none" w:pos="12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189"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 May 12, 2016</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Barry B. Goldstein</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President</w:t>
      </w:r>
    </w:p>
    <w:p>
      <w:pPr>
        <w:sectPr>
          <w:pgSz w:w="11900" w:h="16838" w:orient="portrait"/>
          <w:cols w:equalWidth="0" w:num="1">
            <w:col w:w="11420"/>
          </w:cols>
          <w:pgMar w:left="240" w:top="11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1"/>
          <w:szCs w:val="21"/>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Victor Brodsky, certify that:</w:t>
      </w:r>
    </w:p>
    <w:p>
      <w:pPr>
        <w:spacing w:after="0" w:line="269"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69" w:lineRule="exact"/>
        <w:rPr>
          <w:rFonts w:ascii="Arial" w:cs="Arial" w:eastAsia="Arial" w:hAnsi="Arial"/>
          <w:sz w:val="17"/>
          <w:szCs w:val="17"/>
          <w:color w:val="auto"/>
        </w:rPr>
      </w:pPr>
    </w:p>
    <w:p>
      <w:pPr>
        <w:ind w:right="300" w:firstLine="3"/>
        <w:spacing w:after="0" w:line="312"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right="400" w:firstLine="3"/>
        <w:spacing w:after="0" w:line="280"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214" w:lineRule="exact"/>
        <w:rPr>
          <w:rFonts w:ascii="Arial" w:cs="Arial" w:eastAsia="Arial" w:hAnsi="Arial"/>
          <w:sz w:val="17"/>
          <w:szCs w:val="17"/>
          <w:color w:val="auto"/>
        </w:rPr>
      </w:pPr>
    </w:p>
    <w:p>
      <w:pPr>
        <w:ind w:right="40" w:firstLine="3"/>
        <w:spacing w:after="0" w:line="266"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201" w:lineRule="exact"/>
        <w:rPr>
          <w:rFonts w:ascii="Arial" w:cs="Arial" w:eastAsia="Arial" w:hAnsi="Arial"/>
          <w:sz w:val="17"/>
          <w:szCs w:val="17"/>
          <w:color w:val="auto"/>
        </w:rPr>
      </w:pPr>
    </w:p>
    <w:p>
      <w:pPr>
        <w:jc w:val="both"/>
        <w:ind w:left="1240" w:hanging="275"/>
        <w:spacing w:after="0" w:line="266"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240" w:hanging="284"/>
        <w:spacing w:after="0" w:line="266"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240" w:hanging="275"/>
        <w:spacing w:after="0" w:line="349" w:lineRule="auto"/>
        <w:tabs>
          <w:tab w:leader="none" w:pos="124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240" w:hanging="284"/>
        <w:spacing w:after="0" w:line="266"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27" w:lineRule="exact"/>
        <w:rPr>
          <w:rFonts w:ascii="Arial" w:cs="Arial" w:eastAsia="Arial" w:hAnsi="Arial"/>
          <w:sz w:val="17"/>
          <w:szCs w:val="17"/>
          <w:color w:val="auto"/>
        </w:rPr>
      </w:pPr>
    </w:p>
    <w:p>
      <w:pPr>
        <w:ind w:right="240" w:firstLine="3"/>
        <w:spacing w:after="0" w:line="349" w:lineRule="auto"/>
        <w:tabs>
          <w:tab w:leader="none" w:pos="335"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43" w:lineRule="exact"/>
        <w:rPr>
          <w:rFonts w:ascii="Arial" w:cs="Arial" w:eastAsia="Arial" w:hAnsi="Arial"/>
          <w:sz w:val="15"/>
          <w:szCs w:val="15"/>
          <w:color w:val="auto"/>
        </w:rPr>
      </w:pPr>
    </w:p>
    <w:p>
      <w:pPr>
        <w:ind w:left="1240" w:hanging="275"/>
        <w:spacing w:after="0" w:line="312" w:lineRule="auto"/>
        <w:tabs>
          <w:tab w:leader="none" w:pos="12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66" w:lineRule="exact"/>
        <w:rPr>
          <w:rFonts w:ascii="Arial" w:cs="Arial" w:eastAsia="Arial" w:hAnsi="Arial"/>
          <w:sz w:val="16"/>
          <w:szCs w:val="16"/>
          <w:color w:val="auto"/>
        </w:rPr>
      </w:pPr>
    </w:p>
    <w:p>
      <w:pPr>
        <w:ind w:left="1240" w:hanging="284"/>
        <w:spacing w:after="0" w:line="280"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 May 12, 2016</w:t>
      </w:r>
      <w:r>
        <w:rPr>
          <w:sz w:val="20"/>
          <w:szCs w:val="20"/>
          <w:color w:val="auto"/>
        </w:rPr>
        <w:tab/>
      </w:r>
      <w:r>
        <w:rPr>
          <w:rFonts w:ascii="Arial" w:cs="Arial" w:eastAsia="Arial" w:hAnsi="Arial"/>
          <w:sz w:val="16"/>
          <w:szCs w:val="16"/>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3238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Victor Brodsky</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1"/>
          <w:szCs w:val="21"/>
          <w:b w:val="1"/>
          <w:bCs w:val="1"/>
          <w:color w:val="auto"/>
        </w:rPr>
        <w:t>Exhibit 32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2016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 May 12, 2016</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Barry B. Goldstein</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President</w:t>
      </w:r>
    </w:p>
    <w:p>
      <w:pPr>
        <w:spacing w:after="0" w:line="200" w:lineRule="exact"/>
        <w:rPr>
          <w:sz w:val="20"/>
          <w:szCs w:val="20"/>
          <w:color w:val="auto"/>
        </w:rPr>
      </w:pP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3238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Victor Brodsky</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2020-01-20T10:30:26Z</dcterms:created>
  <dcterms:modified xsi:type="dcterms:W3CDTF">2020-01-20T10:30:26Z</dcterms:modified>
</cp:coreProperties>
</file>