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225425</wp:posOffset>
            </wp:positionH>
            <wp:positionV relativeFrom="page">
              <wp:posOffset>346075</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423545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2" w:lineRule="exact"/>
        <w:rPr>
          <w:sz w:val="24"/>
          <w:szCs w:val="24"/>
          <w:color w:val="auto"/>
        </w:rPr>
      </w:pPr>
    </w:p>
    <w:p>
      <w:pPr>
        <w:ind w:left="460" w:hanging="250"/>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144145</wp:posOffset>
            </wp:positionH>
            <wp:positionV relativeFrom="paragraph">
              <wp:posOffset>-113030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460" w:hanging="25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144145</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3"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For the transition period from _________to 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0-1665</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incorporation or organization)</w:t>
            </w: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 Joys Lane Kingston, NY 12401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w:t>
      </w:r>
    </w:p>
    <w:p>
      <w:pPr>
        <w:jc w:val="center"/>
        <w:spacing w:after="0" w:line="230" w:lineRule="auto"/>
        <w:rPr>
          <w:sz w:val="20"/>
          <w:szCs w:val="20"/>
          <w:color w:val="auto"/>
        </w:rPr>
      </w:pPr>
      <w:r>
        <w:rPr>
          <w:rFonts w:ascii="Arial" w:cs="Arial" w:eastAsia="Arial" w:hAnsi="Arial"/>
          <w:sz w:val="22"/>
          <w:szCs w:val="22"/>
          <w:b w:val="1"/>
          <w:bCs w:val="1"/>
          <w:color w:val="auto"/>
        </w:rPr>
        <w:t>(845) 802-7900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22"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42" w:lineRule="exact"/>
        <w:tabs>
          <w:tab w:leader="none" w:pos="10680" w:val="left"/>
        </w:tabs>
        <w:rPr>
          <w:sz w:val="20"/>
          <w:szCs w:val="20"/>
          <w:color w:val="auto"/>
        </w:rPr>
      </w:pPr>
      <w:r>
        <w:rPr>
          <w:rFonts w:ascii="Arial" w:cs="Arial" w:eastAsia="Arial" w:hAnsi="Arial"/>
          <w:sz w:val="21"/>
          <w:szCs w:val="21"/>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22"/>
          <w:szCs w:val="22"/>
          <w:color w:val="auto"/>
        </w:rPr>
        <w:t>As of August 7, 2020, there were 10,670,342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195580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247015</wp:posOffset>
            </wp:positionV>
            <wp:extent cx="709803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ectPr>
          <w:pgSz w:w="11900" w:h="16838" w:orient="portrait"/>
          <w:cols w:equalWidth="0" w:num="1">
            <w:col w:w="11240"/>
          </w:cols>
          <w:pgMar w:left="320" w:top="940" w:right="339" w:bottom="1052"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KINGSTONE COMPANIES,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INDEX</w:t>
      </w:r>
    </w:p>
    <w:p>
      <w:pPr>
        <w:sectPr>
          <w:pgSz w:w="11900" w:h="16838" w:orient="portrait"/>
          <w:cols w:equalWidth="0" w:num="1">
            <w:col w:w="11240"/>
          </w:cols>
          <w:pgMar w:left="320" w:top="35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110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1 -</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9" w:lineRule="exact"/>
        <w:rPr>
          <w:sz w:val="20"/>
          <w:szCs w:val="20"/>
          <w:color w:val="auto"/>
        </w:rPr>
      </w:pPr>
    </w:p>
    <w:p>
      <w:pPr>
        <w:ind w:left="1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at June 30, 2020 (Unaudited) and December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spacing w:after="0" w:line="250"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Operations and Comprehensive Income for the three months and six months ended</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June 30, 2020 (Unaudited) and 2019 (Unaudited)</w:t>
        </w:r>
      </w:hyperlink>
    </w:p>
    <w:p>
      <w:pPr>
        <w:spacing w:after="0" w:line="1" w:lineRule="exact"/>
        <w:rPr>
          <w:sz w:val="20"/>
          <w:szCs w:val="20"/>
          <w:color w:val="auto"/>
        </w:rPr>
      </w:pPr>
    </w:p>
    <w:p>
      <w:pPr>
        <w:ind w:left="1120" w:right="280"/>
        <w:spacing w:after="0" w:line="250" w:lineRule="auto"/>
        <w:rPr>
          <w:sz w:val="20"/>
          <w:szCs w:val="20"/>
          <w:color w:val="auto"/>
        </w:rPr>
      </w:pPr>
      <w:r>
        <w:rPr>
          <w:rFonts w:ascii="Arial" w:cs="Arial" w:eastAsia="Arial" w:hAnsi="Arial"/>
          <w:sz w:val="18"/>
          <w:szCs w:val="18"/>
          <w:u w:val="single" w:color="auto"/>
          <w:color w:val="0000EE"/>
        </w:rPr>
        <w:t>Condensed Consolidated Statements of Stockholders’ Equity for the three months and six months ended June 30, 2020 (Unaudited) and 2019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right="580"/>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 months ended June 30, 2020 (Unaudited) and 2019</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right="2380"/>
        <w:spacing w:after="0" w:line="255"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Item 3 - Quantitative and Qualitative Disclosures About Market Risk</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Item 4 -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6"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PART II - OTHER INFORMATION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Proceedings</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1A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Risk Factors</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2 -</w:t>
              </w:r>
            </w:hyperlink>
          </w:p>
        </w:tc>
        <w:tc>
          <w:tcPr>
            <w:tcW w:w="4460" w:type="dxa"/>
            <w:vAlign w:val="bottom"/>
          </w:tcPr>
          <w:p>
            <w:pPr>
              <w:ind w:left="10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Unregistered Sales of Equity Securities and Use of Proceeds</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3 -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Defaults Upon Senior Securities</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4 -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Mine Safety Disclosures</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5 -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r>
      <w:tr>
        <w:trPr>
          <w:trHeight w:val="216"/>
        </w:trPr>
        <w:tc>
          <w:tcPr>
            <w:tcW w:w="1020" w:type="dxa"/>
            <w:vAlign w:val="bottom"/>
            <w:gridSpan w:val="2"/>
          </w:tcPr>
          <w:p>
            <w:pPr>
              <w:ind w:left="2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6 -</w:t>
              </w:r>
            </w:hyperlink>
          </w:p>
        </w:tc>
        <w:tc>
          <w:tcPr>
            <w:tcW w:w="4460" w:type="dxa"/>
            <w:vAlign w:val="bottom"/>
          </w:tcPr>
          <w:p>
            <w:pPr>
              <w:ind w:left="1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Exhibits</w:t>
              </w:r>
            </w:hyperlink>
          </w:p>
        </w:tc>
      </w:tr>
      <w:tr>
        <w:trPr>
          <w:trHeight w:val="190"/>
        </w:trPr>
        <w:tc>
          <w:tcPr>
            <w:tcW w:w="1020" w:type="dxa"/>
            <w:vAlign w:val="bottom"/>
            <w:gridSpan w:val="2"/>
          </w:tcPr>
          <w:p>
            <w:pPr>
              <w:spacing w:after="0" w:line="190" w:lineRule="exact"/>
              <w:rPr>
                <w:sz w:val="20"/>
                <w:szCs w:val="20"/>
                <w:color w:val="auto"/>
              </w:rPr>
            </w:pPr>
            <w:r>
              <w:rPr>
                <w:rFonts w:ascii="Arial" w:cs="Arial" w:eastAsia="Arial" w:hAnsi="Arial"/>
                <w:sz w:val="18"/>
                <w:szCs w:val="18"/>
                <w:color w:val="0000EE"/>
              </w:rPr>
              <w:t>Signatures</w:t>
            </w:r>
          </w:p>
        </w:tc>
        <w:tc>
          <w:tcPr>
            <w:tcW w:w="4460" w:type="dxa"/>
            <w:vAlign w:val="bottom"/>
          </w:tcPr>
          <w:p>
            <w:pPr>
              <w:spacing w:after="0"/>
              <w:rPr>
                <w:sz w:val="16"/>
                <w:szCs w:val="16"/>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23495</wp:posOffset>
            </wp:positionV>
            <wp:extent cx="634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10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75</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75</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77</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77</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77</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80</w:t>
      </w:r>
    </w:p>
    <w:p>
      <w:pPr>
        <w:spacing w:after="0" w:line="421" w:lineRule="exact"/>
        <w:rPr>
          <w:sz w:val="20"/>
          <w:szCs w:val="20"/>
          <w:color w:val="auto"/>
        </w:rPr>
      </w:pPr>
    </w:p>
    <w:p>
      <w:pPr>
        <w:sectPr>
          <w:pgSz w:w="11900" w:h="16838" w:orient="portrait"/>
          <w:cols w:equalWidth="0" w:num="2">
            <w:col w:w="9960" w:space="480"/>
            <w:col w:w="800"/>
          </w:cols>
          <w:pgMar w:left="320" w:top="35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9"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color w:val="auto"/>
        </w:rPr>
        <w:t>This Quarterly Report contains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within the meaning of the Private Securities Litigation Reform Act of 1995. The events described in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2019 and Part II, Item 1A of this Quarterly Report.</w:t>
      </w:r>
    </w:p>
    <w:p>
      <w:pPr>
        <w:spacing w:after="0" w:line="200" w:lineRule="exact"/>
        <w:rPr>
          <w:sz w:val="20"/>
          <w:szCs w:val="20"/>
          <w:color w:val="auto"/>
        </w:rPr>
      </w:pPr>
    </w:p>
    <w:p>
      <w:pPr>
        <w:spacing w:after="0" w:line="235" w:lineRule="exact"/>
        <w:rPr>
          <w:sz w:val="20"/>
          <w:szCs w:val="20"/>
          <w:color w:val="auto"/>
        </w:rPr>
      </w:pPr>
    </w:p>
    <w:p>
      <w:pPr>
        <w:jc w:val="both"/>
        <w:spacing w:after="0" w:line="249" w:lineRule="exact"/>
        <w:rPr>
          <w:sz w:val="20"/>
          <w:szCs w:val="20"/>
          <w:color w:val="auto"/>
        </w:rPr>
      </w:pPr>
      <w:r>
        <w:rPr>
          <w:rFonts w:ascii="Arial" w:cs="Arial" w:eastAsia="Arial" w:hAnsi="Arial"/>
          <w:sz w:val="22"/>
          <w:szCs w:val="22"/>
          <w:color w:val="auto"/>
        </w:rPr>
        <w:t>Any one or more of these uncertainties, risks and other influences could materially affect our results of operations and whether forward</w:t>
      </w:r>
      <w:r>
        <w:rPr>
          <w:rFonts w:ascii="MS PGothic" w:cs="MS PGothic" w:eastAsia="MS PGothic" w:hAnsi="MS PGothic"/>
          <w:sz w:val="22"/>
          <w:szCs w:val="22"/>
          <w:color w:val="auto"/>
        </w:rPr>
        <w:t>‑</w:t>
      </w:r>
      <w:r>
        <w:rPr>
          <w:rFonts w:ascii="Arial" w:cs="Arial" w:eastAsia="Arial" w:hAnsi="Arial"/>
          <w:sz w:val="22"/>
          <w:szCs w:val="22"/>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22"/>
          <w:szCs w:val="22"/>
          <w:color w:val="auto"/>
        </w:rPr>
        <w:t>‑</w:t>
      </w:r>
      <w:r>
        <w:rPr>
          <w:rFonts w:ascii="Arial" w:cs="Arial" w:eastAsia="Arial" w:hAnsi="Arial"/>
          <w:sz w:val="22"/>
          <w:szCs w:val="22"/>
          <w:color w:val="auto"/>
        </w:rPr>
        <w:t>looking statements. We undertake no obligation to publicly update or revise any forward</w:t>
      </w:r>
      <w:r>
        <w:rPr>
          <w:rFonts w:ascii="MS PGothic" w:cs="MS PGothic" w:eastAsia="MS PGothic" w:hAnsi="MS PGothic"/>
          <w:sz w:val="22"/>
          <w:szCs w:val="22"/>
          <w:color w:val="auto"/>
        </w:rPr>
        <w:t>‑</w:t>
      </w:r>
      <w:r>
        <w:rPr>
          <w:rFonts w:ascii="Arial" w:cs="Arial" w:eastAsia="Arial" w:hAnsi="Arial"/>
          <w:sz w:val="22"/>
          <w:szCs w:val="22"/>
          <w:color w:val="auto"/>
        </w:rPr>
        <w:t>looking statements, whether from new information, future events or otherwise except as required by law.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PART I. </w:t>
      </w:r>
      <w:r>
        <w:rPr>
          <w:rFonts w:ascii="Arial" w:cs="Arial" w:eastAsia="Arial" w:hAnsi="Arial"/>
          <w:sz w:val="22"/>
          <w:szCs w:val="22"/>
          <w:b w:val="1"/>
          <w:bCs w:val="1"/>
          <w:u w:val="single" w:color="auto"/>
          <w:color w:val="auto"/>
        </w:rPr>
        <w:t>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u w:val="single" w:color="auto"/>
          <w:color w:val="auto"/>
        </w:rPr>
        <w:t>Financial Statements</w:t>
      </w:r>
      <w:r>
        <w:rPr>
          <w:rFonts w:ascii="Arial" w:cs="Arial" w:eastAsia="Arial" w:hAnsi="Arial"/>
          <w:sz w:val="22"/>
          <w:szCs w:val="22"/>
          <w:color w:val="auto"/>
        </w:rPr>
        <w:t>.</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80" w:type="dxa"/>
            <w:vAlign w:val="bottom"/>
            <w:tcBorders>
              <w:top w:val="single" w:sz="8" w:color="auto"/>
            </w:tcBorders>
          </w:tcPr>
          <w:p>
            <w:pPr>
              <w:jc w:val="center"/>
              <w:ind w:left="8590"/>
              <w:spacing w:after="0" w:line="205" w:lineRule="exact"/>
              <w:rPr>
                <w:sz w:val="20"/>
                <w:szCs w:val="20"/>
                <w:color w:val="auto"/>
              </w:rPr>
            </w:pPr>
            <w:r>
              <w:rPr>
                <w:rFonts w:ascii="Arial" w:cs="Arial" w:eastAsia="Arial" w:hAnsi="Arial"/>
                <w:sz w:val="18"/>
                <w:szCs w:val="18"/>
                <w:b w:val="1"/>
                <w:bCs w:val="1"/>
                <w:color w:val="auto"/>
                <w:w w:val="88"/>
              </w:rPr>
              <w:t>June 30,</w:t>
            </w:r>
          </w:p>
        </w:tc>
        <w:tc>
          <w:tcPr>
            <w:tcW w:w="1260" w:type="dxa"/>
            <w:vAlign w:val="bottom"/>
            <w:tcBorders>
              <w:top w:val="single" w:sz="8" w:color="auto"/>
            </w:tcBorders>
          </w:tcPr>
          <w:p>
            <w:pPr>
              <w:jc w:val="center"/>
              <w:ind w:left="90"/>
              <w:spacing w:after="0" w:line="205"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9880" w:type="dxa"/>
            <w:vAlign w:val="bottom"/>
            <w:tcBorders>
              <w:bottom w:val="single" w:sz="8" w:color="auto"/>
            </w:tcBorders>
          </w:tcPr>
          <w:p>
            <w:pPr>
              <w:jc w:val="center"/>
              <w:ind w:left="8550"/>
              <w:spacing w:after="0"/>
              <w:rPr>
                <w:sz w:val="20"/>
                <w:szCs w:val="20"/>
                <w:color w:val="auto"/>
              </w:rPr>
            </w:pPr>
            <w:r>
              <w:rPr>
                <w:rFonts w:ascii="Arial" w:cs="Arial" w:eastAsia="Arial" w:hAnsi="Arial"/>
                <w:sz w:val="18"/>
                <w:szCs w:val="18"/>
                <w:b w:val="1"/>
                <w:bCs w:val="1"/>
                <w:color w:val="auto"/>
                <w:w w:val="89"/>
              </w:rPr>
              <w:t>2020</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1"/>
        </w:trPr>
        <w:tc>
          <w:tcPr>
            <w:tcW w:w="9880" w:type="dxa"/>
            <w:vAlign w:val="bottom"/>
          </w:tcPr>
          <w:p>
            <w:pPr>
              <w:jc w:val="center"/>
              <w:ind w:left="8590"/>
              <w:spacing w:after="0"/>
              <w:rPr>
                <w:sz w:val="20"/>
                <w:szCs w:val="20"/>
                <w:color w:val="auto"/>
              </w:rPr>
            </w:pPr>
            <w:r>
              <w:rPr>
                <w:rFonts w:ascii="Arial" w:cs="Arial" w:eastAsia="Arial" w:hAnsi="Arial"/>
                <w:sz w:val="18"/>
                <w:szCs w:val="18"/>
                <w:color w:val="auto"/>
                <w:w w:val="92"/>
              </w:rPr>
              <w:t>(unaudited)</w:t>
            </w:r>
          </w:p>
        </w:tc>
        <w:tc>
          <w:tcPr>
            <w:tcW w:w="1260" w:type="dxa"/>
            <w:vAlign w:val="bottom"/>
          </w:tcPr>
          <w:p>
            <w:pPr>
              <w:spacing w:after="0"/>
              <w:rPr>
                <w:sz w:val="18"/>
                <w:szCs w:val="18"/>
                <w:color w:val="auto"/>
              </w:rPr>
            </w:pPr>
          </w:p>
        </w:tc>
      </w:tr>
    </w:tbl>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11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14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Fixed-maturity securities, held-to-maturity, at amortized cost (fair value of</w:t>
      </w:r>
    </w:p>
    <w:p>
      <w:pPr>
        <w:sectPr>
          <w:pgSz w:w="11900" w:h="16838" w:orient="portrait"/>
          <w:cols w:equalWidth="0" w:num="1">
            <w:col w:w="11240"/>
          </w:cols>
          <w:pgMar w:left="320" w:top="355" w:right="339" w:bottom="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$8,322,456 at June 30, 2020 and $4,124,767 at December 31,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7,870,374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3,825,952</w:t>
            </w:r>
          </w:p>
        </w:tc>
        <w:tc>
          <w:tcPr>
            <w:tcW w:w="0" w:type="dxa"/>
            <w:vAlign w:val="bottom"/>
          </w:tcPr>
          <w:p>
            <w:pPr>
              <w:spacing w:after="0"/>
              <w:rPr>
                <w:sz w:val="1"/>
                <w:szCs w:val="1"/>
                <w:color w:val="auto"/>
              </w:rPr>
            </w:pPr>
          </w:p>
        </w:tc>
      </w:tr>
      <w:tr>
        <w:trPr>
          <w:trHeight w:val="202"/>
        </w:trPr>
        <w:tc>
          <w:tcPr>
            <w:tcW w:w="8600" w:type="dxa"/>
            <w:vAlign w:val="bottom"/>
          </w:tcPr>
          <w:p>
            <w:pPr>
              <w:ind w:left="220"/>
              <w:spacing w:after="0" w:line="201" w:lineRule="exact"/>
              <w:rPr>
                <w:sz w:val="20"/>
                <w:szCs w:val="20"/>
                <w:color w:val="auto"/>
              </w:rPr>
            </w:pPr>
            <w:r>
              <w:rPr>
                <w:rFonts w:ascii="Arial" w:cs="Arial" w:eastAsia="Arial" w:hAnsi="Arial"/>
                <w:sz w:val="18"/>
                <w:szCs w:val="18"/>
                <w:color w:val="auto"/>
              </w:rPr>
              <w:t>Fixed-maturity securities, available-for-sale, at fair value (amortized cost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20"/>
              <w:spacing w:after="0"/>
              <w:rPr>
                <w:sz w:val="20"/>
                <w:szCs w:val="20"/>
                <w:color w:val="auto"/>
              </w:rPr>
            </w:pPr>
            <w:r>
              <w:rPr>
                <w:rFonts w:ascii="Arial" w:cs="Arial" w:eastAsia="Arial" w:hAnsi="Arial"/>
                <w:sz w:val="18"/>
                <w:szCs w:val="18"/>
                <w:color w:val="auto"/>
              </w:rPr>
              <w:t>$155,226,267 at June 30, 2020 and $162,202,355 at December 31, 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165,466,488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168,236,181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 at fair value (cost of $24,564,076 at June 30, 2020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$22,624,668 at December 31, 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22,705,709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24,661,382</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2,542,320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2,584,913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198,584,891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199,308,428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20,153,732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32,391,485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13,339,539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12,706,411</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41,242,321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40,750,538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19,522,342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20,634,378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Intangible asset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7,361,798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7,620,636</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311,052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8,595,855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6,979,884</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309,300,478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321,202,812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76,608,359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80,498,611</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85,006,280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90,383,238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4,599,781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3,191,512</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5,467,103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11,714,724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6,978,574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7,735,398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9,869,913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9,986,317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1,589,469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29,559,521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29,471,431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219,679,000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232,981,231</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$.01 par value; authorized 20,000,000 shares; issued 11,866,254 shares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June 30, 2020 and 11,824,889 shares at December 31, 2019; outstanding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10,670,145 shares at June 30, 2020 and 10,797,450 shares at December 31, 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118,248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Capital in excess of par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69,951,549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69,133,918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8,091,923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4,768,870</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14,973,684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16,913,097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93,135,818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90,934,133</w:t>
            </w:r>
          </w:p>
        </w:tc>
        <w:tc>
          <w:tcPr>
            <w:tcW w:w="0" w:type="dxa"/>
            <w:vAlign w:val="bottom"/>
          </w:tcPr>
          <w:p>
            <w:pPr>
              <w:spacing w:after="0"/>
              <w:rPr>
                <w:sz w:val="1"/>
                <w:szCs w:val="1"/>
                <w:color w:val="auto"/>
              </w:rPr>
            </w:pPr>
          </w:p>
        </w:tc>
      </w:tr>
      <w:tr>
        <w:trPr>
          <w:trHeight w:val="202"/>
        </w:trPr>
        <w:tc>
          <w:tcPr>
            <w:tcW w:w="8600" w:type="dxa"/>
            <w:vAlign w:val="bottom"/>
          </w:tcPr>
          <w:p>
            <w:pPr>
              <w:ind w:left="220"/>
              <w:spacing w:after="0" w:line="201" w:lineRule="exact"/>
              <w:rPr>
                <w:sz w:val="20"/>
                <w:szCs w:val="20"/>
                <w:color w:val="auto"/>
              </w:rPr>
            </w:pPr>
            <w:r>
              <w:rPr>
                <w:rFonts w:ascii="Arial" w:cs="Arial" w:eastAsia="Arial" w:hAnsi="Arial"/>
                <w:sz w:val="18"/>
                <w:szCs w:val="18"/>
                <w:color w:val="auto"/>
              </w:rPr>
              <w:t>Treasury stock, at cost, 1,196,109 shares at June 30,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20"/>
              <w:spacing w:after="0"/>
              <w:rPr>
                <w:sz w:val="20"/>
                <w:szCs w:val="20"/>
                <w:color w:val="auto"/>
              </w:rPr>
            </w:pPr>
            <w:r>
              <w:rPr>
                <w:rFonts w:ascii="Arial" w:cs="Arial" w:eastAsia="Arial" w:hAnsi="Arial"/>
                <w:sz w:val="18"/>
                <w:szCs w:val="18"/>
                <w:color w:val="auto"/>
              </w:rPr>
              <w:t>and 1,027,439 shares at December 31, 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(3,514,340)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(2,712,552)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89,621,478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88,221,581</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309,300,478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321,202,812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For the Three Months Ended</w:t>
            </w:r>
          </w:p>
        </w:tc>
        <w:tc>
          <w:tcPr>
            <w:tcW w:w="244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1"/>
              </w:rPr>
              <w:t>For the Six Months Ended</w:t>
            </w:r>
          </w:p>
        </w:tc>
        <w:tc>
          <w:tcPr>
            <w:tcW w:w="1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26,636,856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31,201,279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53,578,306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60,797,168</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3,480,214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675,695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7,311,313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1,953,378</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1,612,006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1,719,769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3,277,850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3,343,481</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2,697,868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678,655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(3,746,550)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2,714,018</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683,480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1,313,099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695,873</w:t>
            </w:r>
          </w:p>
        </w:tc>
      </w:tr>
      <w:tr>
        <w:trPr>
          <w:trHeight w:val="20"/>
        </w:trPr>
        <w:tc>
          <w:tcPr>
            <w:tcW w:w="60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35,110,424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34,605,370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61,734,018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69,503,918</w:t>
            </w:r>
          </w:p>
        </w:tc>
      </w:tr>
      <w:tr>
        <w:trPr>
          <w:trHeight w:val="209"/>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12,813,631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17,672,308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29,199,452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46,806,532</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7,850,607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7,299,173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15,749,798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14,152,589</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6,325,472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5,416,449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13,087,264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11,552,440</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1,420,160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1,097,468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2,983,780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2,068,640</w:t>
            </w:r>
          </w:p>
        </w:tc>
      </w:tr>
      <w:tr>
        <w:trPr>
          <w:trHeight w:val="212"/>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673,160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627,669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1,360,254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1,230,001</w:t>
            </w: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913,090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913,090</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29,539,575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32,569,612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63,293,638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76,723,292</w:t>
            </w:r>
          </w:p>
        </w:tc>
      </w:tr>
      <w:tr>
        <w:trPr>
          <w:trHeight w:val="209"/>
        </w:trPr>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operations before income taxes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5,570,849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2,035,758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(1,559,620)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(7,219,374)</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962,659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396,378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(723,607)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(1,523,564)</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4,608,190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1,639,380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(836,013)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(5,695,810)</w:t>
            </w:r>
          </w:p>
        </w:tc>
      </w:tr>
      <w:tr>
        <w:trPr>
          <w:trHeight w:val="209"/>
        </w:trPr>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rPr>
              <w:t>Gross change in unrealized gains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on available-for-sale-securities</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10,887,611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3,679,475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4,160,122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7,868,191</w:t>
            </w:r>
          </w:p>
        </w:tc>
      </w:tr>
      <w:tr>
        <w:trPr>
          <w:trHeight w:val="216"/>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rPr>
              <w:t>Reclassification adjustment for gains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included in net income (loss)</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148,495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12,364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46,273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34,795</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change in unrealized gains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11,036,106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3,691,839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4,206,395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7,902,986</w:t>
            </w: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rPr>
              <w:t>Income tax expense related to items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of other comprehensive income</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(2,317,582)</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(775,285)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(883,342)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(1,659,626)</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8,718,524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2,916,554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3,323,053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6,243,360</w:t>
            </w:r>
          </w:p>
        </w:tc>
      </w:tr>
      <w:tr>
        <w:trPr>
          <w:trHeight w:val="209"/>
        </w:trPr>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13,326,714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4,555,934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2,487,040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547,550</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(0.53)</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10,733,354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10,771,717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10,770,598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10,764,824</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9"/>
              </w:rPr>
              <w:t>10,734,784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10,785,064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10,770,598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10,764,824</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0.2000</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11,796,188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$117,962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$67,957,604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442,493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$17,969,664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$(2,712,552)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$83,775,171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399,325</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399,325</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(1,077,387)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(1,077,387)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1,639,380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1,639,380</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2,916,554</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2,916,554</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080" w:type="dxa"/>
            <w:vAlign w:val="bottom"/>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60" w:type="dxa"/>
            <w:vAlign w:val="bottom"/>
            <w:tcBorders>
              <w:top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2"/>
              </w:rPr>
              <w:t>Balance, June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11,802,087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$118,020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$68,373,590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3,359,047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$18,531,657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$(2,712,552)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$87,669,762</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30, 2019</w:t>
            </w: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4"/>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Income (Loss)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April 1, 2020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11,851,266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$118,512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$69,533,150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$10,792,934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1,069,873</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$(2,955,276)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$76,862,719</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454,937</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454,937</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22,030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(7,042)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(36,318)</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126,236</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(559,064)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(559,064)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(427,440)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(427,440)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4,608,190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4,608,190</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8,718,524</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8,718,524</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Balance, June</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11,866,254</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118,662</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69,951,549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8,091,923</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14,973,684</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1,196,109</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(3,514,340)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89,621,478</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30, 2020</w:t>
            </w:r>
          </w:p>
        </w:tc>
        <w:tc>
          <w:tcPr>
            <w:tcW w:w="7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and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2"/>
              </w:rPr>
              <w:t>Accumulated</w:t>
            </w: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Income (Loss)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11,775,148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$117,751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$67,763,940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(2,884,313)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$26,380,816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$(2,712,552)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$88,665,642</w:t>
            </w:r>
          </w:p>
        </w:tc>
        <w:tc>
          <w:tcPr>
            <w:tcW w:w="0" w:type="dxa"/>
            <w:vAlign w:val="bottom"/>
          </w:tcPr>
          <w:p>
            <w:pPr>
              <w:spacing w:after="0"/>
              <w:rPr>
                <w:sz w:val="1"/>
                <w:szCs w:val="1"/>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709,207</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709,207</w:t>
            </w:r>
          </w:p>
        </w:tc>
        <w:tc>
          <w:tcPr>
            <w:tcW w:w="0" w:type="dxa"/>
            <w:vAlign w:val="bottom"/>
          </w:tcPr>
          <w:p>
            <w:pPr>
              <w:spacing w:after="0"/>
              <w:rPr>
                <w:sz w:val="1"/>
                <w:szCs w:val="1"/>
                <w:color w:val="auto"/>
              </w:rPr>
            </w:pPr>
          </w:p>
        </w:tc>
      </w:tr>
      <w:tr>
        <w:trPr>
          <w:trHeight w:val="202"/>
        </w:trPr>
        <w:tc>
          <w:tcPr>
            <w:tcW w:w="1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(7,607)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(122,763)</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(122,838)</w:t>
            </w:r>
          </w:p>
        </w:tc>
        <w:tc>
          <w:tcPr>
            <w:tcW w:w="0" w:type="dxa"/>
            <w:vAlign w:val="bottom"/>
          </w:tcPr>
          <w:p>
            <w:pPr>
              <w:spacing w:after="0"/>
              <w:rPr>
                <w:sz w:val="1"/>
                <w:szCs w:val="1"/>
                <w:color w:val="auto"/>
              </w:rPr>
            </w:pPr>
          </w:p>
        </w:tc>
      </w:tr>
      <w:tr>
        <w:trPr>
          <w:trHeight w:val="202"/>
        </w:trPr>
        <w:tc>
          <w:tcPr>
            <w:tcW w:w="1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(2,153,349)</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(2,153,349)</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4"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(5,695,810)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(5,695,810)</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9"/>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3"/>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6,243,360</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6,243,360</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Balance, June</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11,802,087</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118,020</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68,373,590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3,359,047</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18,531,657</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(2,712,552)</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87,669,762</w:t>
            </w:r>
          </w:p>
        </w:tc>
        <w:tc>
          <w:tcPr>
            <w:tcW w:w="0" w:type="dxa"/>
            <w:vAlign w:val="bottom"/>
          </w:tcPr>
          <w:p>
            <w:pPr>
              <w:spacing w:after="0"/>
              <w:rPr>
                <w:sz w:val="1"/>
                <w:szCs w:val="1"/>
                <w:color w:val="auto"/>
              </w:rPr>
            </w:pPr>
          </w:p>
        </w:tc>
      </w:tr>
      <w:tr>
        <w:trPr>
          <w:trHeight w:val="230"/>
        </w:trPr>
        <w:tc>
          <w:tcPr>
            <w:tcW w:w="1080" w:type="dxa"/>
            <w:vAlign w:val="bottom"/>
            <w:tcBorders>
              <w:right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30, 2019</w:t>
            </w:r>
          </w:p>
        </w:tc>
        <w:tc>
          <w:tcPr>
            <w:tcW w:w="70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80" w:type="dxa"/>
            <w:vAlign w:val="bottom"/>
            <w:tcBorders>
              <w:right w:val="single" w:sz="8" w:color="CCEEFF"/>
            </w:tcBorders>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4"/>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tcBorders>
              <w:top w:val="single" w:sz="8" w:color="auto"/>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11,824,889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$118,248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$69,133,918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4,768,870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$16,913,097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$(2,712,552)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$88,221,581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2"/>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942,387</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942,387</w:t>
            </w:r>
          </w:p>
        </w:tc>
        <w:tc>
          <w:tcPr>
            <w:tcW w:w="0" w:type="dxa"/>
            <w:vAlign w:val="bottom"/>
          </w:tcPr>
          <w:p>
            <w:pPr>
              <w:spacing w:after="0"/>
              <w:rPr>
                <w:sz w:val="1"/>
                <w:szCs w:val="1"/>
                <w:color w:val="auto"/>
              </w:rPr>
            </w:pPr>
          </w:p>
        </w:tc>
      </w:tr>
      <w:tr>
        <w:trPr>
          <w:trHeight w:val="202"/>
        </w:trPr>
        <w:tc>
          <w:tcPr>
            <w:tcW w:w="10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60,896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8"/>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(19,531)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(124,149)</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(124,342)</w:t>
            </w:r>
          </w:p>
        </w:tc>
        <w:tc>
          <w:tcPr>
            <w:tcW w:w="0" w:type="dxa"/>
            <w:vAlign w:val="bottom"/>
          </w:tcPr>
          <w:p>
            <w:pPr>
              <w:spacing w:after="0"/>
              <w:rPr>
                <w:sz w:val="1"/>
                <w:szCs w:val="1"/>
                <w:color w:val="auto"/>
              </w:rPr>
            </w:pPr>
          </w:p>
        </w:tc>
      </w:tr>
      <w:tr>
        <w:trPr>
          <w:trHeight w:val="202"/>
        </w:trPr>
        <w:tc>
          <w:tcPr>
            <w:tcW w:w="10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168,670</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(801,788)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(1,103,400)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(1,103,400)</w:t>
            </w:r>
          </w:p>
        </w:tc>
        <w:tc>
          <w:tcPr>
            <w:tcW w:w="0" w:type="dxa"/>
            <w:vAlign w:val="bottom"/>
          </w:tcPr>
          <w:p>
            <w:pPr>
              <w:spacing w:after="0"/>
              <w:rPr>
                <w:sz w:val="1"/>
                <w:szCs w:val="1"/>
                <w:color w:val="auto"/>
              </w:rPr>
            </w:pPr>
          </w:p>
        </w:tc>
      </w:tr>
      <w:tr>
        <w:trPr>
          <w:trHeight w:val="216"/>
        </w:trPr>
        <w:tc>
          <w:tcPr>
            <w:tcW w:w="1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(836,013)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(836,013)</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9"/>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3"/>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3,323,053</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3,323,053</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Balance, June</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11,866,254</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118,662</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69,951,549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8,091,923</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14,973,684</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1,196,109</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(3,514,340)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89,621,478</w:t>
            </w:r>
          </w:p>
        </w:tc>
        <w:tc>
          <w:tcPr>
            <w:tcW w:w="0" w:type="dxa"/>
            <w:vAlign w:val="bottom"/>
          </w:tcPr>
          <w:p>
            <w:pPr>
              <w:spacing w:after="0"/>
              <w:rPr>
                <w:sz w:val="1"/>
                <w:szCs w:val="1"/>
                <w:color w:val="auto"/>
              </w:rPr>
            </w:pPr>
          </w:p>
        </w:tc>
      </w:tr>
      <w:tr>
        <w:trPr>
          <w:trHeight w:val="210"/>
        </w:trPr>
        <w:tc>
          <w:tcPr>
            <w:tcW w:w="1080" w:type="dxa"/>
            <w:vAlign w:val="bottom"/>
            <w:tcBorders>
              <w:right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30, 2020</w:t>
            </w:r>
          </w:p>
        </w:tc>
        <w:tc>
          <w:tcPr>
            <w:tcW w:w="7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1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(5,695,810)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Adjustments to reconcile net loss to net cash flows (used in) provided by operating activities: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on sale of investments</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Net unrealized losses (gains) of equity investments</w:t>
            </w:r>
          </w:p>
        </w:tc>
        <w:tc>
          <w:tcPr>
            <w:tcW w:w="1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3,979,115</w:t>
            </w: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(2,232,438)</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(gains) of other investments</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42,593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(480,649)</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1,360,254</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1,230,001</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debts</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46,440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Amortization of bond premium, net</w:t>
            </w:r>
          </w:p>
        </w:tc>
        <w:tc>
          <w:tcPr>
            <w:tcW w:w="1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302,279</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188,778</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long-term debt</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88,090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88,090</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942,387</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709,207</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 (benefit)</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1,017,179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(1,521,867)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(679,568)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(996,601)</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(491,783)</w:t>
            </w: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(2,276,245)</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1,112,036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(1,506,072)</w:t>
            </w:r>
          </w:p>
        </w:tc>
      </w:tr>
    </w:tbl>
    <w:p>
      <w:pPr>
        <w:sectPr>
          <w:pgSz w:w="11900" w:h="16838" w:orient="portrait"/>
          <w:cols w:equalWidth="0" w:num="1">
            <w:col w:w="11240"/>
          </w:cols>
          <w:pgMar w:left="320" w:top="14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(1,609,499)</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(329,335)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(3,890,252)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13,478,014</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(5,376,958)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6,456,015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1,408,269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1,360,596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(6,247,621)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873,527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(756,824)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413,479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1,042,925</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Net cash flows (used in) provided by operating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(9,981,438)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10,800,684</w:t>
            </w:r>
          </w:p>
        </w:tc>
      </w:tr>
      <w:tr>
        <w:trPr>
          <w:trHeight w:val="210"/>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(4,041,750)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(12,447,259)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(11,867,613)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(8,290,221)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(4,461,684)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Sale and redemption - fixed-maturity securities held-to-maturity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19,174,048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6,987,908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Sale - equity securities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6,479,813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503,884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(1,101,416)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(2,353,140)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(226,785)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(10,790,645)</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(124,342)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(122,838)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(801,788)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(1,103,400)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(2,153,349)</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(2,029,530)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(2,252,637)</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(12,237,753)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(2,242,598)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32,391,485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21,138,403</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20,153,732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18,895,805</w:t>
            </w:r>
          </w:p>
        </w:tc>
      </w:tr>
      <w:tr>
        <w:trPr>
          <w:trHeight w:val="196"/>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KINGSTONE COMPANIES, INC. AND SUBSIDIARIES 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Nature of Business and Basis of Presentation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79.5% and 81.0% of KICO’s direct written premiums for the three months and six months ended June 30, 2020,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2019 and notes thereto included in the Company’s Annual Report on Form 10-K filed with the Securities and Exchange Commission (the “SEC”) on March 16, 2020.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2020 may not be indicative of the results that may be expected for the year ending December 31, 2020.</w:t>
      </w:r>
    </w:p>
    <w:p>
      <w:pPr>
        <w:sectPr>
          <w:pgSz w:w="11900" w:h="16838" w:orient="portrait"/>
          <w:cols w:equalWidth="0" w:num="1">
            <w:col w:w="11240"/>
          </w:cols>
          <w:pgMar w:left="320" w:top="125" w:right="339" w:bottom="0" w:gutter="0" w:footer="0" w:header="0"/>
        </w:sectPr>
      </w:pPr>
    </w:p>
    <w:bookmarkStart w:id="7" w:name="page8"/>
    <w:bookmarkEnd w:id="7"/>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Use of Estimates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Principles of Consolidation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Accounting Changes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has determined that it was not subject to any new accounting pronouncements that became effective during the six months ended June 30,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Accounting Pronouncements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June 2016, the Financial Accounting Standards Board (the “FASB”) issued Accounting Standards Update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In December 2019, the FASB issued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is currently evaluating the impact of this guidance on its financial condition and results of operations.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Investments</w:t>
      </w:r>
    </w:p>
    <w:p>
      <w:pPr>
        <w:sectPr>
          <w:pgSz w:w="11900" w:h="16874" w:orient="portrait"/>
          <w:cols w:equalWidth="0" w:num="1">
            <w:col w:w="11240"/>
          </w:cols>
          <w:pgMar w:left="320" w:top="355" w:right="339" w:bottom="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auto"/>
        </w:rPr>
        <w:t>Fixed-Maturity Securities</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amortized cost, estimated fair value, and unrealized gains and losses of investments in fixed-maturity securities classified as available-for-sale as of June 30, 2020 and December 31, 2019 are summarized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June 30, 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9,000,386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423,179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121,977,355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10,145,949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132,006,248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10,028,893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21,639,537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21,373,144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(266,393)</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155,226,267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10,880,454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(297,757)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(342,476)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165,466,488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10,240,221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June 30, 2020, the estimated fair value of the eligible investments was approximately $6,993,000. KICO will retain all rights regarding all securities if pledged as collateral. As of June 30, 2020, there was no outstanding balance on the FHLBNY credit line.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0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r>
      <w:tr>
        <w:trPr>
          <w:trHeight w:val="191"/>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r>
      <w:tr>
        <w:trPr>
          <w:trHeight w:val="425"/>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7,037,856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7,061,100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23,244</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9,321,812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170,519</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119,874,573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5,777,624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125,622,039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5,747,466</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26,138,633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26,231,230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92,597</w:t>
            </w:r>
          </w:p>
        </w:tc>
      </w:tr>
      <w:tr>
        <w:trPr>
          <w:trHeight w:val="20"/>
        </w:trPr>
        <w:tc>
          <w:tcPr>
            <w:tcW w:w="4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162,202,355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6,420,544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(96,794)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(289,924)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168,236,181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6,033,826</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00" w:hanging="452"/>
        <w:spacing w:after="0" w:line="30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KICO has placed certain residential mortgage backed securities as eligible collateral in a designated custodian account related to its membership in the FHLBNY (see Note 7).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summary of the amortized cost and estimated fair value of the Company’s investments in available-for-sale fixed-maturity securities by contractual maturity as of June 30, 2020 and December 31, 2019 is shown below:</w:t>
      </w:r>
    </w:p>
    <w:p>
      <w:pPr>
        <w:spacing w:after="0" w:line="200" w:lineRule="exact"/>
        <w:rPr>
          <w:sz w:val="20"/>
          <w:szCs w:val="20"/>
          <w:color w:val="auto"/>
        </w:rPr>
      </w:pPr>
    </w:p>
    <w:p>
      <w:pPr>
        <w:spacing w:after="0" w:line="248" w:lineRule="exact"/>
        <w:rPr>
          <w:sz w:val="20"/>
          <w:szCs w:val="20"/>
          <w:color w:val="auto"/>
        </w:rPr>
      </w:pPr>
    </w:p>
    <w:p>
      <w:pPr>
        <w:ind w:left="6740"/>
        <w:spacing w:after="0"/>
        <w:tabs>
          <w:tab w:leader="none" w:pos="9180" w:val="left"/>
        </w:tabs>
        <w:rPr>
          <w:sz w:val="20"/>
          <w:szCs w:val="20"/>
          <w:color w:val="auto"/>
        </w:rPr>
      </w:pPr>
      <w:r>
        <w:rPr>
          <w:rFonts w:ascii="Arial" w:cs="Arial" w:eastAsia="Arial" w:hAnsi="Arial"/>
          <w:sz w:val="18"/>
          <w:szCs w:val="18"/>
          <w:b w:val="1"/>
          <w:bCs w:val="1"/>
          <w:color w:val="auto"/>
        </w:rPr>
        <w:t>June 30, 2020</w:t>
      </w:r>
      <w:r>
        <w:rPr>
          <w:sz w:val="20"/>
          <w:szCs w:val="20"/>
          <w:color w:val="auto"/>
        </w:rPr>
        <w:tab/>
      </w:r>
      <w:r>
        <w:rPr>
          <w:rFonts w:ascii="Arial" w:cs="Arial" w:eastAsia="Arial" w:hAnsi="Arial"/>
          <w:sz w:val="15"/>
          <w:szCs w:val="15"/>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ectPr>
          <w:pgSz w:w="11900" w:h="16838" w:orient="portrait"/>
          <w:cols w:equalWidth="0" w:num="1">
            <w:col w:w="11240"/>
          </w:cols>
          <w:pgMar w:left="320" w:top="361"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8,717,499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11,986,401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12,025,804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50,151,886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53,273,499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49,715,422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51,000,025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66,090,352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73,226,458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69,850,104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74,410,275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8,710,469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8,875,888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4,511,795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4,568,847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21,639,537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21,373,144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26,138,633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26,231,230</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155,226,267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165,466,488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162,202,355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168,236,181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Securities</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cost and estimated fair value of, and gross unrealized gains and losses on, investments in equity securities as of June 30, 2020 and December 31, 2019 are as follows:</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9,023,896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(464,826)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8,647,980</w:t>
            </w:r>
          </w:p>
        </w:tc>
        <w:tc>
          <w:tcPr>
            <w:tcW w:w="100" w:type="dxa"/>
            <w:vAlign w:val="bottom"/>
            <w:shd w:val="clear" w:color="auto" w:fill="CCEEFF"/>
          </w:tcPr>
          <w:p>
            <w:pPr>
              <w:spacing w:after="0"/>
              <w:rPr>
                <w:sz w:val="18"/>
                <w:szCs w:val="18"/>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Common stocks, mutual funds,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and exchange traded funds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15,540,180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533,364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(2,015,815)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14,057,729</w:t>
            </w:r>
          </w:p>
        </w:tc>
        <w:tc>
          <w:tcPr>
            <w:tcW w:w="10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24,564,076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622,274</w:t>
            </w:r>
          </w:p>
        </w:tc>
        <w:tc>
          <w:tcPr>
            <w:tcW w:w="13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(2,480,641)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$ 22,705,709</w:t>
            </w:r>
          </w:p>
        </w:tc>
        <w:tc>
          <w:tcPr>
            <w:tcW w:w="100" w:type="dxa"/>
            <w:vAlign w:val="bottom"/>
            <w:shd w:val="clear" w:color="auto" w:fill="CCEEFF"/>
          </w:tcPr>
          <w:p>
            <w:pPr>
              <w:spacing w:after="0"/>
              <w:rPr>
                <w:sz w:val="19"/>
                <w:szCs w:val="19"/>
                <w:color w:val="auto"/>
              </w:rPr>
            </w:pP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83"/>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8"/>
              </w:rPr>
              <w:t>December 31, 2019</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8,374,424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8,701,887</w:t>
            </w:r>
          </w:p>
        </w:tc>
        <w:tc>
          <w:tcPr>
            <w:tcW w:w="100" w:type="dxa"/>
            <w:vAlign w:val="bottom"/>
            <w:shd w:val="clear" w:color="auto" w:fill="CCEEFF"/>
          </w:tcPr>
          <w:p>
            <w:pPr>
              <w:spacing w:after="0"/>
              <w:rPr>
                <w:sz w:val="18"/>
                <w:szCs w:val="18"/>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Common stocks, mutual funds,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and exchange traded funds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14,250,244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1,982,878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(273,627)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15,959,495</w:t>
            </w:r>
          </w:p>
        </w:tc>
        <w:tc>
          <w:tcPr>
            <w:tcW w:w="10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22,624,668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2,322,135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line="210" w:lineRule="exact"/>
              <w:rPr>
                <w:sz w:val="20"/>
                <w:szCs w:val="20"/>
                <w:color w:val="auto"/>
              </w:rPr>
            </w:pPr>
            <w:r>
              <w:rPr>
                <w:rFonts w:ascii="Arial" w:cs="Arial" w:eastAsia="Arial" w:hAnsi="Arial"/>
                <w:sz w:val="14"/>
                <w:szCs w:val="14"/>
                <w:color w:val="auto"/>
              </w:rPr>
              <w:t>(285,421</w:t>
            </w:r>
            <w:r>
              <w:rPr>
                <w:rFonts w:ascii="Arial" w:cs="Arial" w:eastAsia="Arial" w:hAnsi="Arial"/>
                <w:sz w:val="24"/>
                <w:szCs w:val="24"/>
                <w:color w:val="auto"/>
                <w:vertAlign w:val="subscript"/>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$ 24,661,382</w:t>
            </w:r>
          </w:p>
        </w:tc>
        <w:tc>
          <w:tcPr>
            <w:tcW w:w="100" w:type="dxa"/>
            <w:vAlign w:val="bottom"/>
            <w:shd w:val="clear" w:color="auto" w:fill="CCEEFF"/>
          </w:tcPr>
          <w:p>
            <w:pPr>
              <w:spacing w:after="0"/>
              <w:rPr>
                <w:sz w:val="19"/>
                <w:szCs w:val="19"/>
                <w:color w:val="auto"/>
              </w:rPr>
            </w:pP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Investments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cost and estimated fair value of, and gross unrealized gains on, the Company’s other investments as of June 30, 2020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are as follows: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w w:val="92"/>
              </w:rPr>
              <w:t>Estimated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840" w:type="dxa"/>
            <w:vAlign w:val="bottom"/>
          </w:tcPr>
          <w:p>
            <w:pPr>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426"/>
        </w:trPr>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542,939</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2,542,320</w:t>
            </w:r>
          </w:p>
        </w:tc>
        <w:tc>
          <w:tcPr>
            <w:tcW w:w="10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2,584,913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542,939</w:t>
            </w:r>
          </w:p>
        </w:tc>
        <w:tc>
          <w:tcPr>
            <w:tcW w:w="1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2,542,320</w:t>
            </w:r>
          </w:p>
        </w:tc>
        <w:tc>
          <w:tcPr>
            <w:tcW w:w="1000" w:type="dxa"/>
            <w:vAlign w:val="bottom"/>
            <w:gridSpan w:val="2"/>
          </w:tcPr>
          <w:p>
            <w:pPr>
              <w:jc w:val="center"/>
              <w:ind w:left="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585,532</w:t>
            </w:r>
          </w:p>
        </w:tc>
        <w:tc>
          <w:tcPr>
            <w:tcW w:w="1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2,584,913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Held-to-Maturity Securities</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cost or amortized cost and estimated fair value of, and unrealized gross gains and losses on, investments in held-to-maturity fixed-maturity securities as of June 30, 2020 and December 31, 2019 are summarized as follows:</w:t>
      </w:r>
    </w:p>
    <w:p>
      <w:pPr>
        <w:spacing w:after="0" w:line="205"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40633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0" w:name="page11"/>
    <w:bookmarkEnd w:id="10"/>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7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r>
      <w:tr>
        <w:trPr>
          <w:trHeight w:val="426"/>
        </w:trPr>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Held-to-Maturity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729,572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892,188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162,616</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998,527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1,058,020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59,493</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6,142,275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(50,324)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6,372,248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229,973</w:t>
            </w:r>
          </w:p>
        </w:tc>
      </w:tr>
      <w:tr>
        <w:trPr>
          <w:trHeight w:val="209"/>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8"/>
              </w:rPr>
              <w:t>$ 7,870,374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502,406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(50,324)</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$ 8,322,456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452,082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7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r>
      <w:tr>
        <w:trPr>
          <w:trHeight w:val="426"/>
        </w:trPr>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Held-to-Maturity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729,550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151,002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880,552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151,002</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998,619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51,021</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2,097,783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2,194,575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96,792</w:t>
            </w:r>
          </w:p>
        </w:tc>
      </w:tr>
      <w:tr>
        <w:trPr>
          <w:trHeight w:val="210"/>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8"/>
              </w:rPr>
              <w:t>$ 3,825,952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299,650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$ 4,124,767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298,815</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summary of the amortized cost and estimated fair value of the Company’s investments in held-to-maturity securities by contractual maturity as of June 30, 2020 and December 31, 2019 is shown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499,165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2,099,913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2,264,353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2,099,268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2,215,640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1,994,445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2,184,944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655,923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3,276,016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3,377,529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606,550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754,039</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7,870,374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8,322,456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3,825,952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4,124,767</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actual maturities may differ from contractual maturities because certain borrowers have the right to call or prepay obligations with or without penalties.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Investment Income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Major categories of the Company’s net investment income are summarized as follows:</w:t>
      </w:r>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1,394,284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1,474,341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2,841,771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3,001,211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Equity securities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243,344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205,509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496,868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412,653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172,680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1,681,564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1,852,530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3,426,798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3,626,945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91" w:orient="portrait"/>
          <w:cols w:equalWidth="0" w:num="1">
            <w:col w:w="11240"/>
          </w:cols>
          <w:pgMar w:left="320" w:top="121" w:right="339" w:bottom="0" w:gutter="0" w:footer="0" w:header="0"/>
        </w:sectPr>
      </w:pPr>
    </w:p>
    <w:bookmarkStart w:id="11" w:name="page12"/>
    <w:bookmarkEnd w:id="11"/>
    <w:p>
      <w:pPr>
        <w:spacing w:after="0" w:line="4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Investment expenses</w:t>
            </w:r>
          </w:p>
        </w:tc>
        <w:tc>
          <w:tcPr>
            <w:tcW w:w="17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69,558</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132,761</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148,948</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283,464</w:t>
            </w:r>
          </w:p>
        </w:tc>
        <w:tc>
          <w:tcPr>
            <w:tcW w:w="100" w:type="dxa"/>
            <w:vAlign w:val="bottom"/>
          </w:tcPr>
          <w:p>
            <w:pPr>
              <w:spacing w:after="0"/>
              <w:rPr>
                <w:sz w:val="20"/>
                <w:szCs w:val="20"/>
                <w:color w:val="auto"/>
              </w:rPr>
            </w:pPr>
          </w:p>
        </w:tc>
      </w:tr>
      <w:tr>
        <w:trPr>
          <w:trHeight w:val="22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1,612,006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1,719,769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3,277,850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3,343,481</w:t>
            </w:r>
          </w:p>
        </w:tc>
        <w:tc>
          <w:tcPr>
            <w:tcW w:w="100" w:type="dxa"/>
            <w:vAlign w:val="bottom"/>
            <w:shd w:val="clear" w:color="auto" w:fill="CCEEFF"/>
          </w:tcPr>
          <w:p>
            <w:pPr>
              <w:spacing w:after="0"/>
              <w:rPr>
                <w:sz w:val="19"/>
                <w:szCs w:val="19"/>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Proceeds from the sale and redemption of fixed-maturity securities held-to-maturity were $-0- and $400,000 for the six months ended June 30, 2020 and 2019, respectively.</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Proceeds from the sale or maturity of fixed-maturity securities available-for-sale were $19,174,048 and $6,987,908 for the six months ended June 30, 2020 and 2019, respectively.</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Proceeds from the sale of equity securities were $6,479,813 and $503,884 for the six months ended June 30, 2020 and 2019,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Company’s net gains (losses) on investments are summarized as follows:</w:t>
      </w:r>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(Losses) Gains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252,577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realized losses</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(164,582)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(17,306)</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(196,925)</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55,652</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444,671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(27,638)</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(225,165)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219,506</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Net realized (losses) gains</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(34,535)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275,158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Unrealized Gains (Losses)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2,177,605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440,301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2,232,438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losses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(3,979,115)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2,177,605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440,301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(3,979,115)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2,232,438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gains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554,798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losses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(42,593)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554,798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(42,593)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Net unrealized gains (losses)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2,732,403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(4,021,708)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2,713,087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gains (losses) on investments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2,697,868</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678,655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(3,746,550)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2,714,018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Impairment Review</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OTTI losses are recorded in the condensed consolidated statements of operations and comprehensive loss as net realized losses on investments and result in a permanent reduction of the cost basis of the underlying investment. The determination of OTTI is a subjective process and different judgments and assumptions could affect the timing of loss realization. At June 30, 2020 and</w:t>
      </w:r>
    </w:p>
    <w:p>
      <w:pPr>
        <w:sectPr>
          <w:pgSz w:w="11900" w:h="16884" w:orient="portrait"/>
          <w:cols w:equalWidth="0" w:num="1">
            <w:col w:w="11240"/>
          </w:cols>
          <w:pgMar w:left="320" w:top="125" w:right="339" w:bottom="0" w:gutter="0" w:footer="0" w:header="0"/>
        </w:sectPr>
      </w:pPr>
    </w:p>
    <w:bookmarkStart w:id="12" w:name="page13"/>
    <w:bookmarkEnd w:id="12"/>
    <w:p>
      <w:pPr>
        <w:jc w:val="both"/>
        <w:spacing w:after="0" w:line="248" w:lineRule="auto"/>
        <w:rPr>
          <w:sz w:val="20"/>
          <w:szCs w:val="20"/>
          <w:color w:val="auto"/>
        </w:rPr>
      </w:pPr>
      <w:r>
        <w:rPr>
          <w:rFonts w:ascii="Arial" w:cs="Arial" w:eastAsia="Arial" w:hAnsi="Arial"/>
          <w:sz w:val="21"/>
          <w:szCs w:val="21"/>
          <w:color w:val="auto"/>
        </w:rPr>
        <w:t>December 31, 2019, there were 30 and 39 fixed-maturity securities, respectively, that accounted for the gross unrealized loss. The Company determined that none of the unrealized losses were deemed to be OTTI for its portfolio of investments for the six months ended June 30, 2020 and 2019.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Company held available-for-sale securities with unrealized losses representing declines that were considered temporary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June 30, 2020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June 30, 2020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ind w:left="5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ind w:left="640"/>
              <w:spacing w:after="0"/>
              <w:rPr>
                <w:sz w:val="20"/>
                <w:szCs w:val="20"/>
                <w:color w:val="auto"/>
              </w:rPr>
            </w:pPr>
            <w:r>
              <w:rPr>
                <w:rFonts w:ascii="Arial" w:cs="Arial" w:eastAsia="Arial" w:hAnsi="Arial"/>
                <w:sz w:val="18"/>
                <w:szCs w:val="18"/>
                <w:b w:val="1"/>
                <w:bCs w:val="1"/>
                <w:color w:val="auto"/>
                <w:w w:val="88"/>
              </w:rPr>
              <w:t>12 months or more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Unrealized</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Losses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6"/>
        </w:trPr>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4,839,822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(117,056)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4,839,822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(117,056)</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7,060,988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(180,701)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10,639,265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(342,476)</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17,700,253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(523,177)</w:t>
            </w:r>
          </w:p>
        </w:tc>
      </w:tr>
      <w:tr>
        <w:trPr>
          <w:trHeight w:val="210"/>
        </w:trPr>
        <w:tc>
          <w:tcPr>
            <w:tcW w:w="2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11,900,810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(297,757)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10,639,265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(342,476)</w:t>
            </w:r>
          </w:p>
        </w:tc>
        <w:tc>
          <w:tcPr>
            <w:tcW w:w="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22,540,075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(640,233)</w:t>
            </w:r>
          </w:p>
        </w:tc>
      </w:tr>
      <w:tr>
        <w:trPr>
          <w:trHeight w:val="655"/>
        </w:trPr>
        <w:tc>
          <w:tcPr>
            <w:tcW w:w="27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412"/>
        </w:trPr>
        <w:tc>
          <w:tcPr>
            <w:tcW w:w="27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Company held available-for-sale securities with unrealized losses representing declines that were considered temporary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7"/>
              </w:rPr>
              <w:t>December 31, 2019</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8"/>
          </w:tcPr>
          <w:p>
            <w:pPr>
              <w:ind w:left="5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b w:val="1"/>
                <w:bCs w:val="1"/>
                <w:color w:val="auto"/>
              </w:rPr>
              <w:t>12 months or more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3"/>
              </w:rPr>
              <w:t>Losses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3,067,428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3,067,428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(11,316)</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3,730,478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1,300,915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5,031,393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(30,158)</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5,862,636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13,534,768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(276,451)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19,397,404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(345,244)</w:t>
            </w:r>
          </w:p>
        </w:tc>
      </w:tr>
      <w:tr>
        <w:trPr>
          <w:trHeight w:val="20"/>
        </w:trPr>
        <w:tc>
          <w:tcPr>
            <w:tcW w:w="2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Total fixed-maturity</w:t>
            </w: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securities</w:t>
            </w:r>
          </w:p>
        </w:tc>
        <w:tc>
          <w:tcPr>
            <w:tcW w:w="172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$12,660,542</w:t>
            </w:r>
          </w:p>
        </w:tc>
        <w:tc>
          <w:tcPr>
            <w:tcW w:w="1360" w:type="dxa"/>
            <w:vAlign w:val="bottom"/>
          </w:tcPr>
          <w:p>
            <w:pPr>
              <w:jc w:val="right"/>
              <w:ind w:right="270"/>
              <w:spacing w:after="0"/>
              <w:rPr>
                <w:sz w:val="20"/>
                <w:szCs w:val="20"/>
                <w:color w:val="auto"/>
              </w:rPr>
            </w:pPr>
            <w:r>
              <w:rPr>
                <w:rFonts w:ascii="Arial" w:cs="Arial" w:eastAsia="Arial" w:hAnsi="Arial"/>
                <w:sz w:val="18"/>
                <w:szCs w:val="18"/>
                <w:u w:val="single" w:color="auto"/>
                <w:color w:val="auto"/>
              </w:rPr>
              <w:t>$  (96,794</w:t>
            </w: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14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$14,835,683</w:t>
            </w:r>
          </w:p>
        </w:tc>
        <w:tc>
          <w:tcPr>
            <w:tcW w:w="1360" w:type="dxa"/>
            <w:vAlign w:val="bottom"/>
          </w:tcPr>
          <w:p>
            <w:pPr>
              <w:jc w:val="right"/>
              <w:ind w:right="270"/>
              <w:spacing w:after="0"/>
              <w:rPr>
                <w:sz w:val="20"/>
                <w:szCs w:val="20"/>
                <w:color w:val="auto"/>
              </w:rPr>
            </w:pPr>
            <w:r>
              <w:rPr>
                <w:rFonts w:ascii="Arial" w:cs="Arial" w:eastAsia="Arial" w:hAnsi="Arial"/>
                <w:sz w:val="18"/>
                <w:szCs w:val="18"/>
                <w:u w:val="single" w:color="auto"/>
                <w:color w:val="auto"/>
              </w:rPr>
              <w:t>$ (289,924</w:t>
            </w: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14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$27,496,225</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rPr>
              <w:t>$ (386,718</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presents information about the Company’s investments that are measured at fair value on a recurring basis at June 30, 2020 and December 31, 2019 indicating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594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3,086,710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3,086,710</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9,000,386</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9,000,386</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129,921,971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2,084,277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132,006,248</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21,373,144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21,373,144</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133,008,681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32,457,807</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165,466,488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22,705,709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22,705,709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investments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155,714,390</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32,457,807</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188,172,197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42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7,061,100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7,061,100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9,321,812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9,321,812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123,010,772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2,611,267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125,622,039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26,231,230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26,231,230</w:t>
            </w: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130,071,872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38,164,309</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168,236,181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24,661,382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24,661,382</w:t>
            </w: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Total investments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154,733,254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38,164,309</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192,897,563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the Company’s investment in a hedge fund measured at Net Asset Value (“NAV”) per share as of June 30, 2020 and December 31, 2019. The Company measures this investment at fair value on a recurring basis. Fair value using NAV per share is as follows as of the dates indicated:</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2020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2,542,320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2,584,913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21"/>
          <w:szCs w:val="21"/>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gains (losses) on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The estimated fair value and the level of the fair value hierarchy of the Company’s long-term debt as of June 30, 2020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not measured at fair value is as follows: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17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25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$ 27,279,898</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$ 27,279,898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17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25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$ 27,313,994</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$ 27,313,994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Fair Value of Financial Instruments and Real Estate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estimated fair values of the Company’s financial instruments and real estate as of June 30, 2020 and December 31, 2019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1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7,870,374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8,322,456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3,825,952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4,124,767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20,153,732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20,153,732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32,391,485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32,391,485</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13,339,539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13,339,539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12,706,411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12,706,411</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Reinsurance receivables, net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41,242,321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41,242,321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40,750,538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40,750,538</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2,256,872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2,292,743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2,705,000</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Reinsurance balances payable</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5,467,103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5,467,103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11,714,724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11,714,724</w:t>
            </w:r>
          </w:p>
        </w:tc>
      </w:tr>
      <w:tr>
        <w:trPr>
          <w:trHeight w:val="661"/>
        </w:trPr>
        <w:tc>
          <w:tcPr>
            <w:tcW w:w="15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2"/>
        </w:trPr>
        <w:tc>
          <w:tcPr>
            <w:tcW w:w="5080" w:type="dxa"/>
            <w:vAlign w:val="bottom"/>
            <w:gridSpan w:val="2"/>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6"/>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w w:val="98"/>
              </w:rPr>
              <w:t>Note 6 - Property and Casualty Insurance Activity</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5080" w:type="dxa"/>
            <w:vAlign w:val="bottom"/>
            <w:gridSpan w:val="2"/>
          </w:tcPr>
          <w:p>
            <w:pPr>
              <w:spacing w:after="0"/>
              <w:rPr>
                <w:sz w:val="20"/>
                <w:szCs w:val="20"/>
                <w:color w:val="auto"/>
              </w:rPr>
            </w:pPr>
            <w:r>
              <w:rPr>
                <w:rFonts w:ascii="Arial" w:cs="Arial" w:eastAsia="Arial" w:hAnsi="Arial"/>
                <w:sz w:val="22"/>
                <w:szCs w:val="22"/>
                <w:color w:val="auto"/>
              </w:rPr>
              <w:t>Premiums Earned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7"/>
        </w:trPr>
        <w:tc>
          <w:tcPr>
            <w:tcW w:w="5080" w:type="dxa"/>
            <w:vAlign w:val="bottom"/>
            <w:gridSpan w:val="2"/>
          </w:tcPr>
          <w:p>
            <w:pPr>
              <w:spacing w:after="0"/>
              <w:rPr>
                <w:sz w:val="20"/>
                <w:szCs w:val="20"/>
                <w:color w:val="auto"/>
              </w:rPr>
            </w:pPr>
            <w:r>
              <w:rPr>
                <w:rFonts w:ascii="Arial" w:cs="Arial" w:eastAsia="Arial" w:hAnsi="Arial"/>
                <w:sz w:val="22"/>
                <w:szCs w:val="22"/>
                <w:color w:val="auto"/>
                <w:w w:val="99"/>
              </w:rPr>
              <w:t>Premiums written, ceded and earned are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Ceded</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Six months ended June 30, 2020</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79,347,406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(28,066,253)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51,281,153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5,376,958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(3,079,805)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2,297,153</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84,724,364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0" w:lineRule="exact"/>
              <w:rPr>
                <w:sz w:val="20"/>
                <w:szCs w:val="20"/>
                <w:color w:val="auto"/>
              </w:rPr>
            </w:pPr>
            <w:r>
              <w:rPr>
                <w:rFonts w:ascii="Arial" w:cs="Arial" w:eastAsia="Arial" w:hAnsi="Arial"/>
                <w:sz w:val="14"/>
                <w:szCs w:val="14"/>
                <w:color w:val="auto"/>
              </w:rPr>
              <w:t>(31,146,058</w:t>
            </w:r>
            <w:r>
              <w:rPr>
                <w:rFonts w:ascii="Arial" w:cs="Arial" w:eastAsia="Arial" w:hAnsi="Arial"/>
                <w:sz w:val="24"/>
                <w:szCs w:val="24"/>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53,578,306</w:t>
            </w:r>
          </w:p>
        </w:tc>
      </w:tr>
      <w:tr>
        <w:trPr>
          <w:trHeight w:val="41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Six months ended June 30, 2019</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82,309,827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(15,327,796)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66,982,108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(6,456,216)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271,074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(6,184,940)</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75,853,611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0" w:lineRule="exact"/>
              <w:rPr>
                <w:sz w:val="20"/>
                <w:szCs w:val="20"/>
                <w:color w:val="auto"/>
              </w:rPr>
            </w:pPr>
            <w:r>
              <w:rPr>
                <w:rFonts w:ascii="Arial" w:cs="Arial" w:eastAsia="Arial" w:hAnsi="Arial"/>
                <w:sz w:val="14"/>
                <w:szCs w:val="14"/>
                <w:color w:val="auto"/>
              </w:rPr>
              <w:t>(15,056,722</w:t>
            </w:r>
            <w:r>
              <w:rPr>
                <w:rFonts w:ascii="Arial" w:cs="Arial" w:eastAsia="Arial" w:hAnsi="Arial"/>
                <w:sz w:val="24"/>
                <w:szCs w:val="24"/>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60,797,168</w:t>
            </w:r>
          </w:p>
        </w:tc>
      </w:tr>
      <w:tr>
        <w:trPr>
          <w:trHeight w:val="412"/>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42,650,477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(14,559,998)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28,090,479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(527,742)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(925,881)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(1,453,623)</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42,122,735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0" w:lineRule="exact"/>
              <w:rPr>
                <w:sz w:val="20"/>
                <w:szCs w:val="20"/>
                <w:color w:val="auto"/>
              </w:rPr>
            </w:pPr>
            <w:r>
              <w:rPr>
                <w:rFonts w:ascii="Arial" w:cs="Arial" w:eastAsia="Arial" w:hAnsi="Arial"/>
                <w:sz w:val="14"/>
                <w:szCs w:val="14"/>
                <w:color w:val="auto"/>
              </w:rPr>
              <w:t>(15,485,879</w:t>
            </w:r>
            <w:r>
              <w:rPr>
                <w:rFonts w:ascii="Arial" w:cs="Arial" w:eastAsia="Arial" w:hAnsi="Arial"/>
                <w:sz w:val="24"/>
                <w:szCs w:val="24"/>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26,636,856</w:t>
            </w:r>
          </w:p>
        </w:tc>
      </w:tr>
      <w:tr>
        <w:trPr>
          <w:trHeight w:val="41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44,821,279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(8,199,887)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36,621,503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(5,828,149)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407,918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(5,420,224)</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38,993,130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0" w:lineRule="exact"/>
              <w:rPr>
                <w:sz w:val="20"/>
                <w:szCs w:val="20"/>
                <w:color w:val="auto"/>
              </w:rPr>
            </w:pPr>
            <w:r>
              <w:rPr>
                <w:rFonts w:ascii="Arial" w:cs="Arial" w:eastAsia="Arial" w:hAnsi="Arial"/>
                <w:sz w:val="14"/>
                <w:szCs w:val="14"/>
                <w:color w:val="auto"/>
              </w:rPr>
              <w:t>(7,791,969</w:t>
            </w:r>
            <w:r>
              <w:rPr>
                <w:rFonts w:ascii="Arial" w:cs="Arial" w:eastAsia="Arial" w:hAnsi="Arial"/>
                <w:sz w:val="24"/>
                <w:szCs w:val="24"/>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31,201,279</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61" w:right="339" w:bottom="0" w:gutter="0" w:footer="0" w:header="0"/>
        </w:sectPr>
      </w:pPr>
    </w:p>
    <w:bookmarkStart w:id="15" w:name="page16"/>
    <w:bookmarkEnd w:id="15"/>
    <w:p>
      <w:pPr>
        <w:jc w:val="both"/>
        <w:spacing w:after="0" w:line="250" w:lineRule="auto"/>
        <w:rPr>
          <w:sz w:val="20"/>
          <w:szCs w:val="20"/>
          <w:color w:val="auto"/>
        </w:rPr>
      </w:pPr>
      <w:r>
        <w:rPr>
          <w:rFonts w:ascii="Arial" w:cs="Arial" w:eastAsia="Arial" w:hAnsi="Arial"/>
          <w:sz w:val="22"/>
          <w:szCs w:val="22"/>
          <w:color w:val="auto"/>
        </w:rPr>
        <w:t>Premium receipts in advance of the policy effective date are recorded as advance premiums. The balance of advance premiums as of June 30, 2020 and December 31, 2019 was $4,599,781 and $3,191,512,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Loss and Loss Adjustment Expense Reserves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provides a reconciliation of the beginning and ending balances for unpaid losses and loss adjustment expense (“LAE”) reserves:</w:t>
      </w:r>
    </w:p>
    <w:p>
      <w:pPr>
        <w:spacing w:after="0" w:line="200" w:lineRule="exact"/>
        <w:rPr>
          <w:sz w:val="20"/>
          <w:szCs w:val="20"/>
          <w:color w:val="auto"/>
        </w:rPr>
      </w:pP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$ 80,498,611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$ 56,197,106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2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(15,728,224)</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(15,671,247)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2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64,770,387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40,525,859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29,373,472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40,689,147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2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6,117,385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incurred</w:t>
            </w:r>
          </w:p>
        </w:tc>
        <w:tc>
          <w:tcPr>
            <w:tcW w:w="24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29,199,452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46,806,532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Paid related to:</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14,223,404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Prior years</w:t>
            </w:r>
          </w:p>
        </w:tc>
        <w:tc>
          <w:tcPr>
            <w:tcW w:w="2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20,204,732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34,428,136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33,691,695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59,541,702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53,640,696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2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17,066,657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$ 76,608,359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$ 69,675,120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Incurred losses and LAE are net of reinsurance recoveries under reinsurance contracts of $10,219,432 and $6,621,688 for the six months ended June 30, 2020 and 2019, respectively.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Prior year incurred loss and LAE development is based upon estimates by line of business and accident year. Prior year loss and LAE development incurred during the six months ended June 30, 2020 and 2019 was $174,020 favorable and $6,117,385 unfavorable, respectively. During the six months ended June 30, 2019, the Company increased case reserves for certain older open liability claims, which primarily affected the ultimate loss projections for commercial lines business. This was in response to management’s detailed review of open liability claims that resulted in new assessments of carried case and incurred but not reported (“IBNR”) reserve levels, giving consideration to both Company and industry trends.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Loss and LAE reserves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361" w:right="339" w:bottom="11" w:gutter="0" w:footer="0" w:header="0"/>
        </w:sectPr>
      </w:pPr>
    </w:p>
    <w:bookmarkStart w:id="16" w:name="page17"/>
    <w:bookmarkEnd w:id="16"/>
    <w:p>
      <w:pPr>
        <w:jc w:val="both"/>
        <w:spacing w:after="0" w:line="247" w:lineRule="auto"/>
        <w:rPr>
          <w:sz w:val="20"/>
          <w:szCs w:val="20"/>
          <w:color w:val="auto"/>
        </w:rPr>
      </w:pPr>
      <w:r>
        <w:rPr>
          <w:rFonts w:ascii="Arial" w:cs="Arial" w:eastAsia="Arial" w:hAnsi="Arial"/>
          <w:sz w:val="21"/>
          <w:szCs w:val="21"/>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20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i w:val="1"/>
          <w:iCs w:val="1"/>
          <w:color w:val="auto"/>
        </w:rPr>
        <w:t xml:space="preserve">Paid Loss Development </w:t>
      </w:r>
      <w:r>
        <w:rPr>
          <w:rFonts w:ascii="Arial" w:cs="Arial" w:eastAsia="Arial" w:hAnsi="Arial"/>
          <w:sz w:val="22"/>
          <w:szCs w:val="22"/>
          <w:color w:val="auto"/>
        </w:rPr>
        <w:t>- historical patterns of paid loss development are used to project future paid loss emergence in</w:t>
      </w:r>
      <w:r>
        <w:rPr>
          <w:rFonts w:ascii="Arial" w:cs="Arial" w:eastAsia="Arial" w:hAnsi="Arial"/>
          <w:sz w:val="22"/>
          <w:szCs w:val="22"/>
          <w:i w:val="1"/>
          <w:iCs w:val="1"/>
          <w:color w:val="auto"/>
        </w:rPr>
        <w:t xml:space="preserve"> </w:t>
      </w:r>
      <w:r>
        <w:rPr>
          <w:rFonts w:ascii="Arial" w:cs="Arial" w:eastAsia="Arial" w:hAnsi="Arial"/>
          <w:sz w:val="22"/>
          <w:szCs w:val="22"/>
          <w:color w:val="auto"/>
        </w:rPr>
        <w:t>order to estimate required reserves.</w:t>
      </w:r>
    </w:p>
    <w:p>
      <w:pPr>
        <w:spacing w:after="0" w:line="202" w:lineRule="exact"/>
        <w:rPr>
          <w:sz w:val="20"/>
          <w:szCs w:val="20"/>
          <w:color w:val="auto"/>
        </w:rPr>
      </w:pPr>
    </w:p>
    <w:p>
      <w:pPr>
        <w:jc w:val="both"/>
        <w:ind w:left="660"/>
        <w:spacing w:after="0" w:line="328" w:lineRule="auto"/>
        <w:rPr>
          <w:sz w:val="20"/>
          <w:szCs w:val="20"/>
          <w:color w:val="auto"/>
        </w:rPr>
      </w:pPr>
      <w:r>
        <w:rPr>
          <w:rFonts w:ascii="Arial" w:cs="Arial" w:eastAsia="Arial" w:hAnsi="Arial"/>
          <w:sz w:val="19"/>
          <w:szCs w:val="19"/>
          <w:i w:val="1"/>
          <w:iCs w:val="1"/>
          <w:color w:val="auto"/>
        </w:rPr>
        <w:t xml:space="preserve">Incurred Loss Development </w:t>
      </w:r>
      <w:r>
        <w:rPr>
          <w:rFonts w:ascii="Arial" w:cs="Arial" w:eastAsia="Arial" w:hAnsi="Arial"/>
          <w:sz w:val="19"/>
          <w:szCs w:val="19"/>
          <w:color w:val="auto"/>
        </w:rPr>
        <w:t>- historical patterns of incurred loss development, reflecting both paid losses and changes in</w:t>
      </w:r>
      <w:r>
        <w:rPr>
          <w:rFonts w:ascii="Arial" w:cs="Arial" w:eastAsia="Arial" w:hAnsi="Arial"/>
          <w:sz w:val="19"/>
          <w:szCs w:val="19"/>
          <w:i w:val="1"/>
          <w:iCs w:val="1"/>
          <w:color w:val="auto"/>
        </w:rPr>
        <w:t xml:space="preserve"> </w:t>
      </w:r>
      <w:r>
        <w:rPr>
          <w:rFonts w:ascii="Arial" w:cs="Arial" w:eastAsia="Arial" w:hAnsi="Arial"/>
          <w:sz w:val="19"/>
          <w:szCs w:val="19"/>
          <w:color w:val="auto"/>
        </w:rPr>
        <w:t>case reserves, are used to project future incurred loss emergence in order to estimate required reserves.</w:t>
      </w:r>
    </w:p>
    <w:p>
      <w:pPr>
        <w:spacing w:after="0" w:line="132"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i w:val="1"/>
          <w:iCs w:val="1"/>
          <w:color w:val="auto"/>
        </w:rPr>
        <w:t xml:space="preserve">Paid Bornhuetter-Ferguson (“BF”) </w:t>
      </w:r>
      <w:r>
        <w:rPr>
          <w:rFonts w:ascii="Arial" w:cs="Arial" w:eastAsia="Arial" w:hAnsi="Arial"/>
          <w:sz w:val="19"/>
          <w:szCs w:val="19"/>
          <w:color w:val="auto"/>
        </w:rPr>
        <w:t>- an estimated loss ratio for a particular accident year is determined, and is weighted</w:t>
      </w:r>
      <w:r>
        <w:rPr>
          <w:rFonts w:ascii="Arial" w:cs="Arial" w:eastAsia="Arial" w:hAnsi="Arial"/>
          <w:sz w:val="19"/>
          <w:szCs w:val="19"/>
          <w:i w:val="1"/>
          <w:iCs w:val="1"/>
          <w:color w:val="auto"/>
        </w:rPr>
        <w:t xml:space="preserve"> </w:t>
      </w:r>
      <w:r>
        <w:rPr>
          <w:rFonts w:ascii="Arial" w:cs="Arial" w:eastAsia="Arial" w:hAnsi="Arial"/>
          <w:sz w:val="19"/>
          <w:szCs w:val="19"/>
          <w:color w:val="auto"/>
        </w:rPr>
        <w:t>against the portion of the 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4"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i w:val="1"/>
          <w:iCs w:val="1"/>
          <w:color w:val="auto"/>
        </w:rPr>
        <w:t xml:space="preserve">Incurred Bornhuetter-Ferguson (“BF”) </w:t>
      </w:r>
      <w:r>
        <w:rPr>
          <w:rFonts w:ascii="Arial" w:cs="Arial" w:eastAsia="Arial" w:hAnsi="Arial"/>
          <w:sz w:val="22"/>
          <w:szCs w:val="22"/>
          <w:color w:val="auto"/>
        </w:rPr>
        <w:t>- an estimated loss ratio for a particular accident year is determined, and is</w:t>
      </w:r>
      <w:r>
        <w:rPr>
          <w:rFonts w:ascii="Arial" w:cs="Arial" w:eastAsia="Arial" w:hAnsi="Arial"/>
          <w:sz w:val="22"/>
          <w:szCs w:val="22"/>
          <w:i w:val="1"/>
          <w:iCs w:val="1"/>
          <w:color w:val="auto"/>
        </w:rPr>
        <w:t xml:space="preserve"> </w:t>
      </w:r>
      <w:r>
        <w:rPr>
          <w:rFonts w:ascii="Arial" w:cs="Arial" w:eastAsia="Arial" w:hAnsi="Arial"/>
          <w:sz w:val="22"/>
          <w:szCs w:val="22"/>
          <w:color w:val="auto"/>
        </w:rPr>
        <w:t>weighted against the portion of 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215"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i w:val="1"/>
          <w:iCs w:val="1"/>
          <w:color w:val="auto"/>
        </w:rPr>
        <w:t xml:space="preserve">Incremental Claim-Based Methods </w:t>
      </w:r>
      <w:r>
        <w:rPr>
          <w:rFonts w:ascii="Arial" w:cs="Arial" w:eastAsia="Arial" w:hAnsi="Arial"/>
          <w:sz w:val="22"/>
          <w:szCs w:val="22"/>
          <w:color w:val="auto"/>
        </w:rPr>
        <w:t>- historical patterns of incremental incurred losses and paid LAE during various stages</w:t>
      </w:r>
      <w:r>
        <w:rPr>
          <w:rFonts w:ascii="Arial" w:cs="Arial" w:eastAsia="Arial" w:hAnsi="Arial"/>
          <w:sz w:val="22"/>
          <w:szCs w:val="22"/>
          <w:i w:val="1"/>
          <w:iCs w:val="1"/>
          <w:color w:val="auto"/>
        </w:rPr>
        <w:t xml:space="preserve"> </w:t>
      </w:r>
      <w:r>
        <w:rPr>
          <w:rFonts w:ascii="Arial" w:cs="Arial" w:eastAsia="Arial" w:hAnsi="Arial"/>
          <w:sz w:val="22"/>
          <w:szCs w:val="22"/>
          <w:color w:val="auto"/>
        </w:rPr>
        <w:t>of development are 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215" w:lineRule="exact"/>
        <w:rPr>
          <w:sz w:val="20"/>
          <w:szCs w:val="20"/>
          <w:color w:val="auto"/>
        </w:rPr>
      </w:pPr>
    </w:p>
    <w:p>
      <w:pPr>
        <w:jc w:val="both"/>
        <w:ind w:left="660"/>
        <w:spacing w:after="0" w:line="246" w:lineRule="auto"/>
        <w:rPr>
          <w:sz w:val="20"/>
          <w:szCs w:val="20"/>
          <w:color w:val="auto"/>
        </w:rPr>
      </w:pPr>
      <w:r>
        <w:rPr>
          <w:rFonts w:ascii="Arial" w:cs="Arial" w:eastAsia="Arial" w:hAnsi="Arial"/>
          <w:sz w:val="21"/>
          <w:szCs w:val="21"/>
          <w:i w:val="1"/>
          <w:iCs w:val="1"/>
          <w:color w:val="auto"/>
        </w:rPr>
        <w:t xml:space="preserve">Frequency / Severity Based Methods </w:t>
      </w:r>
      <w:r>
        <w:rPr>
          <w:rFonts w:ascii="Arial" w:cs="Arial" w:eastAsia="Arial" w:hAnsi="Arial"/>
          <w:sz w:val="21"/>
          <w:szCs w:val="21"/>
          <w:color w:val="auto"/>
        </w:rPr>
        <w:t>- historical measurements of claim frequency and average paid claim size (severity)</w:t>
      </w:r>
      <w:r>
        <w:rPr>
          <w:rFonts w:ascii="Arial" w:cs="Arial" w:eastAsia="Arial" w:hAnsi="Arial"/>
          <w:sz w:val="21"/>
          <w:szCs w:val="21"/>
          <w:i w:val="1"/>
          <w:iCs w:val="1"/>
          <w:color w:val="auto"/>
        </w:rPr>
        <w:t xml:space="preserve"> </w:t>
      </w:r>
      <w:r>
        <w:rPr>
          <w:rFonts w:ascii="Arial" w:cs="Arial" w:eastAsia="Arial" w:hAnsi="Arial"/>
          <w:sz w:val="21"/>
          <w:szCs w:val="21"/>
          <w:color w:val="auto"/>
        </w:rPr>
        <w:t>are reviewed for more 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not aware of any claim trends that have emerged or that would cause future adverse development that have not already been contemplated in setting current carried reserves levels.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2017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ectPr>
          <w:pgSz w:w="11900" w:h="16838" w:orient="portrait"/>
          <w:cols w:equalWidth="0" w:num="1">
            <w:col w:w="11240"/>
          </w:cols>
          <w:pgMar w:left="320" w:top="118" w:right="339" w:bottom="157" w:gutter="0" w:footer="0" w:header="0"/>
        </w:sectPr>
      </w:pPr>
    </w:p>
    <w:bookmarkStart w:id="17" w:name="page18"/>
    <w:bookmarkEnd w:id="17"/>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following is information about incurred and paid claims development as of June 30, 2020, net of reinsurance, as well as the cumulative reported claims by accident year and total IBNR reserves as of June 30, 2020 included in the net incurred loss and allocated expense amounts. The historical information regarding incurred and paid claims development for the years ended December 31, 2011 to December 31, 2019 is presented as supplementary unaudited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4"/>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87"/>
              </w:rPr>
              <w:t>All Lines of Business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12"/>
          </w:tcPr>
          <w:p>
            <w:pPr>
              <w:spacing w:after="0"/>
              <w:rPr>
                <w:sz w:val="20"/>
                <w:szCs w:val="20"/>
                <w:color w:val="auto"/>
              </w:rPr>
            </w:pPr>
            <w:r>
              <w:rPr>
                <w:rFonts w:ascii="Arial" w:cs="Arial" w:eastAsia="Arial" w:hAnsi="Arial"/>
                <w:sz w:val="18"/>
                <w:szCs w:val="18"/>
                <w:b w:val="1"/>
                <w:bCs w:val="1"/>
                <w:i w:val="1"/>
                <w:iCs w:val="1"/>
                <w:color w:val="auto"/>
                <w:w w:val="89"/>
              </w:rPr>
              <w:t>(in thousands, except reported claims data)</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vMerge w:val="restart"/>
          </w:tcPr>
          <w:p>
            <w:pPr>
              <w:jc w:val="center"/>
              <w:ind w:right="8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20" w:type="dxa"/>
            <w:vAlign w:val="bottom"/>
            <w:gridSpan w:val="26"/>
          </w:tcPr>
          <w:p>
            <w:pPr>
              <w:ind w:left="420"/>
              <w:spacing w:after="0"/>
              <w:rPr>
                <w:sz w:val="20"/>
                <w:szCs w:val="20"/>
                <w:color w:val="auto"/>
              </w:rPr>
            </w:pPr>
            <w:r>
              <w:rPr>
                <w:rFonts w:ascii="Arial" w:cs="Arial" w:eastAsia="Arial" w:hAnsi="Arial"/>
                <w:sz w:val="18"/>
                <w:szCs w:val="18"/>
                <w:b w:val="1"/>
                <w:bCs w:val="1"/>
                <w:color w:val="auto"/>
                <w:w w:val="91"/>
              </w:rPr>
              <w:t>Incurred Loss and Allocated Loss Adjustment Expenses, Net of Reinsurance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Cumulative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gridSpan w:val="12"/>
            <w:vMerge w:val="restart"/>
          </w:tcPr>
          <w:p>
            <w:pPr>
              <w:jc w:val="right"/>
              <w:spacing w:after="0"/>
              <w:rPr>
                <w:sz w:val="20"/>
                <w:szCs w:val="20"/>
                <w:color w:val="auto"/>
              </w:rPr>
            </w:pPr>
            <w:r>
              <w:rPr>
                <w:rFonts w:ascii="Arial" w:cs="Arial" w:eastAsia="Arial" w:hAnsi="Arial"/>
                <w:sz w:val="18"/>
                <w:szCs w:val="18"/>
                <w:b w:val="1"/>
                <w:bCs w:val="1"/>
                <w:color w:val="auto"/>
                <w:w w:val="90"/>
              </w:rPr>
              <w:t>For the Years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 by</w:t>
            </w:r>
          </w:p>
        </w:tc>
        <w:tc>
          <w:tcPr>
            <w:tcW w:w="0" w:type="dxa"/>
            <w:vAlign w:val="bottom"/>
          </w:tcPr>
          <w:p>
            <w:pPr>
              <w:spacing w:after="0"/>
              <w:rPr>
                <w:sz w:val="1"/>
                <w:szCs w:val="1"/>
                <w:color w:val="auto"/>
              </w:rPr>
            </w:pPr>
          </w:p>
        </w:tc>
      </w:tr>
      <w:tr>
        <w:trPr>
          <w:trHeight w:val="221"/>
        </w:trPr>
        <w:tc>
          <w:tcPr>
            <w:tcW w:w="8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Accident</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12"/>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ended June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191"/>
        </w:trPr>
        <w:tc>
          <w:tcPr>
            <w:tcW w:w="8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30, 2020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IBNR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8"/>
                <w:szCs w:val="18"/>
                <w:b w:val="1"/>
                <w:bCs w:val="1"/>
                <w:color w:val="auto"/>
                <w:w w:val="98"/>
              </w:rPr>
              <w:t>(Unaudited 2011 - 2019)</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$ 7,603</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$ 7,678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10,278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10,582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10,791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300" w:type="dxa"/>
            <w:vAlign w:val="bottom"/>
            <w:gridSpan w:val="3"/>
          </w:tcPr>
          <w:p>
            <w:pPr>
              <w:ind w:left="680"/>
              <w:spacing w:after="0"/>
              <w:rPr>
                <w:sz w:val="20"/>
                <w:szCs w:val="20"/>
                <w:color w:val="auto"/>
              </w:rPr>
            </w:pPr>
            <w:r>
              <w:rPr>
                <w:rFonts w:ascii="Arial" w:cs="Arial" w:eastAsia="Arial" w:hAnsi="Arial"/>
                <w:sz w:val="18"/>
                <w:szCs w:val="18"/>
                <w:color w:val="auto"/>
                <w:w w:val="89"/>
              </w:rPr>
              <w:t>4,704</w:t>
            </w:r>
            <w:r>
              <w:rPr>
                <w:rFonts w:ascii="Arial" w:cs="Arial" w:eastAsia="Arial" w:hAnsi="Arial"/>
                <w:sz w:val="18"/>
                <w:szCs w:val="18"/>
                <w:b w:val="1"/>
                <w:bCs w:val="1"/>
                <w:color w:val="auto"/>
                <w:w w:val="89"/>
              </w:rPr>
              <w:t>(1)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10,728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10,089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14,193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14,260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14,218</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15,023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1300" w:type="dxa"/>
            <w:vAlign w:val="bottom"/>
            <w:gridSpan w:val="3"/>
          </w:tcPr>
          <w:p>
            <w:pPr>
              <w:ind w:left="68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22,340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21,994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22,491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26,062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24,941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24,789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1300" w:type="dxa"/>
            <w:vAlign w:val="bottom"/>
            <w:gridSpan w:val="3"/>
          </w:tcPr>
          <w:p>
            <w:pPr>
              <w:ind w:left="68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31,605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32,169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54,455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2,187</w:t>
            </w:r>
          </w:p>
        </w:tc>
        <w:tc>
          <w:tcPr>
            <w:tcW w:w="1300" w:type="dxa"/>
            <w:vAlign w:val="bottom"/>
            <w:gridSpan w:val="3"/>
          </w:tcPr>
          <w:p>
            <w:pPr>
              <w:ind w:left="68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11,498</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7,445</w:t>
            </w:r>
          </w:p>
        </w:tc>
        <w:tc>
          <w:tcPr>
            <w:tcW w:w="1300" w:type="dxa"/>
            <w:vAlign w:val="bottom"/>
            <w:gridSpan w:val="3"/>
          </w:tcPr>
          <w:p>
            <w:pPr>
              <w:ind w:left="68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claims for accident year 2012 includes 3,406 claims from Superstorm Sandy.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Cumulative Paid Loss and Allocated Loss Adjustment Expenses, Net of Reinsurance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months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0"/>
            <w:vMerge w:val="restart"/>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10"/>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Accident Year</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8"/>
                <w:szCs w:val="18"/>
                <w:b w:val="1"/>
                <w:bCs w:val="1"/>
                <w:color w:val="auto"/>
                <w:w w:val="90"/>
              </w:rPr>
              <w:t>(Unaudited 2011 - 2019)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16"/>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8,196</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10,236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10,428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9,429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11,770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15,169</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16"/>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19,001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23,974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24,863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30,172</w:t>
            </w:r>
          </w:p>
        </w:tc>
        <w:tc>
          <w:tcPr>
            <w:tcW w:w="0" w:type="dxa"/>
            <w:vAlign w:val="bottom"/>
          </w:tcPr>
          <w:p>
            <w:pPr>
              <w:spacing w:after="0"/>
              <w:rPr>
                <w:sz w:val="1"/>
                <w:szCs w:val="1"/>
                <w:color w:val="auto"/>
              </w:rPr>
            </w:pPr>
          </w:p>
        </w:tc>
      </w:tr>
      <w:tr>
        <w:trPr>
          <w:trHeight w:val="216"/>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44,516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47,698</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52,940</w:t>
            </w:r>
          </w:p>
        </w:tc>
        <w:tc>
          <w:tcPr>
            <w:tcW w:w="0" w:type="dxa"/>
            <w:vAlign w:val="bottom"/>
          </w:tcPr>
          <w:p>
            <w:pPr>
              <w:spacing w:after="0"/>
              <w:rPr>
                <w:sz w:val="1"/>
                <w:szCs w:val="1"/>
                <w:color w:val="auto"/>
              </w:rPr>
            </w:pPr>
          </w:p>
        </w:tc>
      </w:tr>
      <w:tr>
        <w:trPr>
          <w:trHeight w:val="216"/>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235,431</w:t>
            </w: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98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40" w:type="dxa"/>
            <w:vAlign w:val="bottom"/>
            <w:gridSpan w:val="27"/>
            <w:shd w:val="clear" w:color="auto" w:fill="CCEEFF"/>
          </w:tcPr>
          <w:p>
            <w:pPr>
              <w:jc w:val="right"/>
              <w:ind w:right="220"/>
              <w:spacing w:after="0"/>
              <w:rPr>
                <w:sz w:val="20"/>
                <w:szCs w:val="20"/>
                <w:color w:val="auto"/>
              </w:rPr>
            </w:pPr>
            <w:r>
              <w:rPr>
                <w:rFonts w:ascii="Arial" w:cs="Arial" w:eastAsia="Arial" w:hAnsi="Arial"/>
                <w:sz w:val="18"/>
                <w:szCs w:val="18"/>
                <w:color w:val="auto"/>
                <w:w w:val="94"/>
              </w:rPr>
              <w:t>Net liability for unpaid loss and allocated loss adjustment expenses for the accident years presented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57,038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16"/>
          </w:tcPr>
          <w:p>
            <w:pPr>
              <w:jc w:val="right"/>
              <w:ind w:right="220"/>
              <w:spacing w:after="0"/>
              <w:rPr>
                <w:sz w:val="20"/>
                <w:szCs w:val="20"/>
                <w:color w:val="auto"/>
              </w:rPr>
            </w:pPr>
            <w:r>
              <w:rPr>
                <w:rFonts w:ascii="Arial" w:cs="Arial" w:eastAsia="Arial" w:hAnsi="Arial"/>
                <w:sz w:val="18"/>
                <w:szCs w:val="18"/>
                <w:color w:val="auto"/>
              </w:rPr>
              <w:t>All outstanding liabilities before 2011, net of reinsurance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CCEEFF"/>
            </w:tcBorders>
            <w:gridSpan w:val="20"/>
            <w:shd w:val="clear" w:color="auto" w:fill="CCEEFF"/>
          </w:tcPr>
          <w:p>
            <w:pPr>
              <w:jc w:val="right"/>
              <w:ind w:right="220"/>
              <w:spacing w:after="0"/>
              <w:rPr>
                <w:sz w:val="20"/>
                <w:szCs w:val="20"/>
                <w:color w:val="auto"/>
              </w:rPr>
            </w:pPr>
            <w:r>
              <w:rPr>
                <w:rFonts w:ascii="Arial" w:cs="Arial" w:eastAsia="Arial" w:hAnsi="Arial"/>
                <w:sz w:val="18"/>
                <w:szCs w:val="18"/>
                <w:color w:val="auto"/>
                <w:w w:val="90"/>
              </w:rPr>
              <w:t>Liabilities for loss and allocated loss adjustment expenses, net of reinsurance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938" w:orient="portrait"/>
          <w:cols w:equalWidth="0" w:num="1">
            <w:col w:w="11240"/>
          </w:cols>
          <w:pgMar w:left="320" w:top="118" w:right="339" w:bottom="0" w:gutter="0" w:footer="0" w:header="0"/>
        </w:sect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reconciliation of the net incurred and paid loss development tables to the loss and LAE reserves in the consolidated balance sheet is as follows:</w:t>
      </w:r>
    </w:p>
    <w:p>
      <w:pPr>
        <w:sectPr>
          <w:pgSz w:w="11900" w:h="16938" w:orient="portrait"/>
          <w:cols w:equalWidth="0" w:num="1">
            <w:col w:w="11240"/>
          </w:cols>
          <w:pgMar w:left="320" w:top="118" w:right="339" w:bottom="0" w:gutter="0" w:footer="0" w:header="0"/>
          <w:type w:val="continuous"/>
        </w:sectPr>
      </w:pPr>
    </w:p>
    <w:bookmarkStart w:id="18" w:name="page19"/>
    <w:bookmarkEnd w:id="18"/>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loss adjustment expenses, net of reinsurance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Reinsurance</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Through June 30, 2019, the Company’s quota share reinsurance treaties were on a July 1 through June 30 fiscal year basis. Effective December 15, 2019, the Company entered into a quota share reinsurance treaty for its personal lines business, which primarily consists of homeowners’ policies, covering the period from December 15, 2019 through December 31, 2020 (“2019/2020 Treaty”). The Company’s quota share reinsurance treaties in effect during the six months ended June 30, 2019 for its personal lines business were covered under a treaty covering a two-year period from July 1, 2017 through June 30, 2019 (“2017/2019 Treaty”). The treaty in effect during the six months ended June 30, 2019 was covered under the July 1, 2018 through June 30, 2019 treaty year (“2018/2019 Treaty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Effective July 1, 2019, the 2017/2019 Treaty and the commercial umbrella treaty expired on a run-off basis; these treaties were not renewed. The Company entered into new excess of loss and catastrophe reinsurance treaties effective July 1, 2020. Material terms for reinsurance treaties in effect for the treaty years shown below are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85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888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Lines</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Homeowners, dwelling fire and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and canine legal liability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Percent ceded</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Treaty 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15,</w:t>
            </w: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July 1, 2019</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July 1, 2018</w:t>
            </w:r>
          </w:p>
        </w:tc>
        <w:tc>
          <w:tcPr>
            <w:tcW w:w="0" w:type="dxa"/>
            <w:vAlign w:val="bottom"/>
          </w:tcPr>
          <w:p>
            <w:pPr>
              <w:spacing w:after="0"/>
              <w:rPr>
                <w:sz w:val="1"/>
                <w:szCs w:val="1"/>
                <w:color w:val="auto"/>
              </w:rPr>
            </w:pPr>
          </w:p>
        </w:tc>
      </w:tr>
      <w:tr>
        <w:trPr>
          <w:trHeight w:val="186"/>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8"/>
        </w:trPr>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14,</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137160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394335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651510</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spacing w:after="0"/>
        <w:tabs>
          <w:tab w:leader="none" w:pos="2040" w:val="left"/>
          <w:tab w:leader="none" w:pos="34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28"/>
          <w:szCs w:val="28"/>
          <w:color w:val="auto"/>
          <w:vertAlign w:val="superscript"/>
        </w:rPr>
        <w:t>None</w:t>
      </w:r>
      <w:r>
        <w:rPr>
          <w:sz w:val="20"/>
          <w:szCs w:val="20"/>
          <w:color w:val="auto"/>
        </w:rPr>
        <w:tab/>
      </w:r>
      <w:r>
        <w:rPr>
          <w:rFonts w:ascii="Arial" w:cs="Arial" w:eastAsia="Arial" w:hAnsi="Arial"/>
          <w:sz w:val="12"/>
          <w:szCs w:val="12"/>
          <w:color w:val="auto"/>
        </w:rPr>
        <w:t>10%</w:t>
      </w:r>
    </w:p>
    <w:p>
      <w:pPr>
        <w:spacing w:after="0" w:line="133" w:lineRule="exact"/>
        <w:rPr>
          <w:sz w:val="20"/>
          <w:szCs w:val="20"/>
          <w:color w:val="auto"/>
        </w:rPr>
      </w:pPr>
    </w:p>
    <w:p>
      <w:pPr>
        <w:sectPr>
          <w:pgSz w:w="11900" w:h="16838" w:orient="portrait"/>
          <w:cols w:equalWidth="0" w:num="2">
            <w:col w:w="6780" w:space="720"/>
            <w:col w:w="3740"/>
          </w:cols>
          <w:pgMar w:left="320" w:top="850"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54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Lines</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Homeowners, dwelling fire and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and canine legal liability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Risk retained on intial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$1,000,000 of losses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Losses per occurrence subject</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quota share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reinsurance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Expiration date</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Excess of loss coverage and</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facultative facility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coverage (1)</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reinsurance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 occurrence (7)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Losses per occurrence subject</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reinsurance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Expiration date (7)</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Catastrophe Reinsurance</w:t>
      </w:r>
      <w:r>
        <w:rPr>
          <w:rFonts w:ascii="Arial" w:cs="Arial" w:eastAsia="Arial" w:hAnsi="Arial"/>
          <w:sz w:val="14"/>
          <w:szCs w:val="14"/>
          <w:color w:val="auto"/>
        </w:rPr>
        <w: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Initial loss subject to personal</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lines quota share treaty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Risk retained per catastrophe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occurrence (2) (7)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Catastrophe loss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excess of</w:t>
      </w:r>
    </w:p>
    <w:p>
      <w:pPr>
        <w:spacing w:after="0" w:line="20" w:lineRule="exact"/>
        <w:rPr>
          <w:sz w:val="20"/>
          <w:szCs w:val="20"/>
          <w:color w:val="auto"/>
        </w:rPr>
      </w:pPr>
      <w:r>
        <w:rPr>
          <w:sz w:val="20"/>
          <w:szCs w:val="20"/>
          <w:color w:val="auto"/>
        </w:rPr>
        <w:br w:type="column"/>
      </w:r>
    </w:p>
    <w:p>
      <w:pPr>
        <w:ind w:left="2900"/>
        <w:spacing w:after="0"/>
        <w:rPr>
          <w:sz w:val="20"/>
          <w:szCs w:val="20"/>
          <w:color w:val="auto"/>
        </w:rPr>
      </w:pPr>
      <w:r>
        <w:rPr>
          <w:rFonts w:ascii="Arial" w:cs="Arial" w:eastAsia="Arial" w:hAnsi="Arial"/>
          <w:sz w:val="14"/>
          <w:szCs w:val="14"/>
          <w:b w:val="1"/>
          <w:bCs w:val="1"/>
          <w:color w:val="auto"/>
        </w:rPr>
        <w:t>Treaty 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January 1, 2021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July 1, 2020</w:t>
            </w: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15,</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July 1, 2019</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July 1, 2018</w:t>
            </w:r>
          </w:p>
        </w:tc>
        <w:tc>
          <w:tcPr>
            <w:tcW w:w="0" w:type="dxa"/>
            <w:vAlign w:val="bottom"/>
          </w:tcPr>
          <w:p>
            <w:pPr>
              <w:spacing w:after="0"/>
              <w:rPr>
                <w:sz w:val="1"/>
                <w:szCs w:val="1"/>
                <w:color w:val="auto"/>
              </w:rPr>
            </w:pPr>
          </w:p>
        </w:tc>
      </w:tr>
      <w:tr>
        <w:trPr>
          <w:trHeight w:val="186"/>
        </w:trPr>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3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14,</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257175</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514350</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771525</wp:posOffset>
            </wp:positionV>
            <wp:extent cx="7132320"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18"/>
                <w:szCs w:val="18"/>
                <w:color w:val="auto"/>
              </w:rPr>
            </w:pPr>
          </w:p>
        </w:tc>
        <w:tc>
          <w:tcPr>
            <w:tcW w:w="1060" w:type="dxa"/>
            <w:vAlign w:val="bottom"/>
          </w:tcPr>
          <w:p>
            <w:pPr>
              <w:jc w:val="right"/>
              <w:ind w:right="408"/>
              <w:spacing w:after="0"/>
              <w:rPr>
                <w:sz w:val="20"/>
                <w:szCs w:val="20"/>
                <w:color w:val="auto"/>
              </w:rPr>
            </w:pPr>
            <w:r>
              <w:rPr>
                <w:rFonts w:ascii="Arial" w:cs="Arial" w:eastAsia="Arial" w:hAnsi="Arial"/>
                <w:sz w:val="14"/>
                <w:szCs w:val="14"/>
                <w:color w:val="auto"/>
              </w:rPr>
              <w:t>NA (7)</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574"/>
        </w:trPr>
        <w:tc>
          <w:tcPr>
            <w:tcW w:w="200" w:type="dxa"/>
            <w:vAlign w:val="bottom"/>
          </w:tcPr>
          <w:p>
            <w:pPr>
              <w:spacing w:after="0"/>
              <w:rPr>
                <w:sz w:val="24"/>
                <w:szCs w:val="24"/>
                <w:color w:val="auto"/>
              </w:rPr>
            </w:pPr>
          </w:p>
        </w:tc>
        <w:tc>
          <w:tcPr>
            <w:tcW w:w="1060" w:type="dxa"/>
            <w:vAlign w:val="bottom"/>
          </w:tcPr>
          <w:p>
            <w:pPr>
              <w:jc w:val="right"/>
              <w:ind w:right="408"/>
              <w:spacing w:after="0"/>
              <w:rPr>
                <w:sz w:val="20"/>
                <w:szCs w:val="20"/>
                <w:color w:val="auto"/>
              </w:rPr>
            </w:pPr>
            <w:r>
              <w:rPr>
                <w:rFonts w:ascii="Arial" w:cs="Arial" w:eastAsia="Arial" w:hAnsi="Arial"/>
                <w:sz w:val="14"/>
                <w:szCs w:val="14"/>
                <w:color w:val="auto"/>
              </w:rPr>
              <w:t>NA (7)</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None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2020</w:t>
            </w: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r>
        <w:trPr>
          <w:trHeight w:val="101"/>
        </w:trPr>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1"/>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9,000,000</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in excess of</w:t>
            </w:r>
          </w:p>
        </w:tc>
        <w:tc>
          <w:tcPr>
            <w:tcW w:w="0" w:type="dxa"/>
            <w:vAlign w:val="bottom"/>
          </w:tcPr>
          <w:p>
            <w:pPr>
              <w:spacing w:after="0"/>
              <w:rPr>
                <w:sz w:val="1"/>
                <w:szCs w:val="1"/>
                <w:color w:val="auto"/>
              </w:rPr>
            </w:pP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8,250,000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9,250,000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9,100,000</w:t>
            </w:r>
          </w:p>
        </w:tc>
        <w:tc>
          <w:tcPr>
            <w:tcW w:w="0" w:type="dxa"/>
            <w:vAlign w:val="bottom"/>
          </w:tcPr>
          <w:p>
            <w:pPr>
              <w:spacing w:after="0"/>
              <w:rPr>
                <w:sz w:val="1"/>
                <w:szCs w:val="1"/>
                <w:color w:val="auto"/>
              </w:rPr>
            </w:pPr>
          </w:p>
        </w:tc>
      </w:tr>
      <w:tr>
        <w:trPr>
          <w:trHeight w:val="398"/>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June 30, 2021</w:t>
            </w:r>
          </w:p>
        </w:tc>
        <w:tc>
          <w:tcPr>
            <w:tcW w:w="3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June 30, 2021</w:t>
            </w: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2020</w:t>
            </w:r>
          </w:p>
        </w:tc>
        <w:tc>
          <w:tcPr>
            <w:tcW w:w="30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w w:val="99"/>
              </w:rPr>
              <w:t>June 30, 2020</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r>
        <w:trPr>
          <w:trHeight w:val="837"/>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48"/>
              <w:spacing w:after="0"/>
              <w:rPr>
                <w:sz w:val="20"/>
                <w:szCs w:val="20"/>
                <w:color w:val="auto"/>
              </w:rPr>
            </w:pPr>
            <w:r>
              <w:rPr>
                <w:rFonts w:ascii="Arial" w:cs="Arial" w:eastAsia="Arial" w:hAnsi="Arial"/>
                <w:sz w:val="14"/>
                <w:szCs w:val="14"/>
                <w:color w:val="auto"/>
              </w:rPr>
              <w:t>NA (7)</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30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None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405"/>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8,125,000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5,625,000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-2512060</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-2254885</wp:posOffset>
            </wp:positionV>
            <wp:extent cx="71323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-1937385</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-1680210</wp:posOffset>
            </wp:positionV>
            <wp:extent cx="7132320"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-1423035</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-1165860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-908685</wp:posOffset>
            </wp:positionV>
            <wp:extent cx="71323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-651510</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-394335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-137160</wp:posOffset>
            </wp:positionV>
            <wp:extent cx="713232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118745</wp:posOffset>
            </wp:positionV>
            <wp:extent cx="7132320"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2">
            <w:col w:w="3900" w:space="720"/>
            <w:col w:w="6620"/>
          </w:cols>
          <w:pgMar w:left="320" w:top="850" w:right="339" w:bottom="0" w:gutter="0" w:footer="0" w:header="0"/>
          <w:type w:val="continuous"/>
        </w:sectPr>
      </w:pPr>
    </w:p>
    <w:bookmarkStart w:id="19" w:name="page20"/>
    <w:bookmarkEnd w:id="19"/>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40" w:type="dxa"/>
            <w:vAlign w:val="bottom"/>
          </w:tcPr>
          <w:p>
            <w:pPr>
              <w:ind w:left="40"/>
              <w:spacing w:after="0"/>
              <w:rPr>
                <w:sz w:val="20"/>
                <w:szCs w:val="20"/>
                <w:color w:val="auto"/>
              </w:rPr>
            </w:pPr>
            <w:r>
              <w:rPr>
                <w:rFonts w:ascii="Arial" w:cs="Arial" w:eastAsia="Arial" w:hAnsi="Arial"/>
                <w:sz w:val="14"/>
                <w:szCs w:val="14"/>
                <w:color w:val="auto"/>
              </w:rPr>
              <w:t>quota share coverage (3) (7)</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475,000,000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475,000,000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602,500,000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602,500,000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445,000,000</w:t>
            </w:r>
          </w:p>
        </w:tc>
      </w:tr>
      <w:tr>
        <w:trPr>
          <w:trHeight w:val="18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Reinstatement premium</w:t>
            </w:r>
          </w:p>
        </w:tc>
        <w:tc>
          <w:tcPr>
            <w:tcW w:w="17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90"/>
        </w:trPr>
        <w:tc>
          <w:tcPr>
            <w:tcW w:w="3140" w:type="dxa"/>
            <w:vAlign w:val="bottom"/>
          </w:tcPr>
          <w:p>
            <w:pPr>
              <w:ind w:left="40"/>
              <w:spacing w:after="0"/>
              <w:rPr>
                <w:sz w:val="20"/>
                <w:szCs w:val="20"/>
                <w:color w:val="auto"/>
              </w:rPr>
            </w:pPr>
            <w:r>
              <w:rPr>
                <w:rFonts w:ascii="Arial" w:cs="Arial" w:eastAsia="Arial" w:hAnsi="Arial"/>
                <w:sz w:val="14"/>
                <w:szCs w:val="14"/>
                <w:color w:val="auto"/>
              </w:rPr>
              <w:t>protection (4) (5) (6)</w:t>
            </w:r>
          </w:p>
        </w:tc>
        <w:tc>
          <w:tcPr>
            <w:tcW w:w="1720" w:type="dxa"/>
            <w:vAlign w:val="bottom"/>
          </w:tcPr>
          <w:p>
            <w:pPr>
              <w:spacing w:after="0"/>
              <w:rPr>
                <w:sz w:val="16"/>
                <w:szCs w:val="16"/>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color w:val="auto"/>
              </w:rPr>
              <w:t>Yes</w:t>
            </w:r>
          </w:p>
        </w:tc>
        <w:tc>
          <w:tcPr>
            <w:tcW w:w="360" w:type="dxa"/>
            <w:vAlign w:val="bottom"/>
          </w:tcPr>
          <w:p>
            <w:pPr>
              <w:spacing w:after="0"/>
              <w:rPr>
                <w:sz w:val="16"/>
                <w:szCs w:val="16"/>
                <w:color w:val="auto"/>
              </w:rPr>
            </w:pPr>
          </w:p>
        </w:tc>
        <w:tc>
          <w:tcPr>
            <w:tcW w:w="1020" w:type="dxa"/>
            <w:vAlign w:val="bottom"/>
          </w:tcPr>
          <w:p>
            <w:pPr>
              <w:jc w:val="right"/>
              <w:ind w:right="508"/>
              <w:spacing w:after="0"/>
              <w:rPr>
                <w:sz w:val="20"/>
                <w:szCs w:val="20"/>
                <w:color w:val="auto"/>
              </w:rPr>
            </w:pPr>
            <w:r>
              <w:rPr>
                <w:rFonts w:ascii="Arial" w:cs="Arial" w:eastAsia="Arial" w:hAnsi="Arial"/>
                <w:sz w:val="14"/>
                <w:szCs w:val="14"/>
                <w:color w:val="auto"/>
              </w:rPr>
              <w:t>Yes</w:t>
            </w:r>
          </w:p>
        </w:tc>
        <w:tc>
          <w:tcPr>
            <w:tcW w:w="340" w:type="dxa"/>
            <w:vAlign w:val="bottom"/>
          </w:tcPr>
          <w:p>
            <w:pPr>
              <w:spacing w:after="0"/>
              <w:rPr>
                <w:sz w:val="16"/>
                <w:szCs w:val="16"/>
                <w:color w:val="auto"/>
              </w:rPr>
            </w:pP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Yes</w:t>
            </w:r>
          </w:p>
        </w:tc>
        <w:tc>
          <w:tcPr>
            <w:tcW w:w="340" w:type="dxa"/>
            <w:vAlign w:val="bottom"/>
          </w:tcPr>
          <w:p>
            <w:pPr>
              <w:spacing w:after="0"/>
              <w:rPr>
                <w:sz w:val="16"/>
                <w:szCs w:val="16"/>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color w:val="auto"/>
              </w:rPr>
              <w:t>Yes</w:t>
            </w:r>
          </w:p>
        </w:tc>
        <w:tc>
          <w:tcPr>
            <w:tcW w:w="340" w:type="dxa"/>
            <w:vAlign w:val="bottom"/>
          </w:tcPr>
          <w:p>
            <w:pPr>
              <w:spacing w:after="0"/>
              <w:rPr>
                <w:sz w:val="16"/>
                <w:szCs w:val="16"/>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color w:val="auto"/>
              </w:rPr>
              <w:t>Yes</w:t>
            </w:r>
          </w:p>
        </w:tc>
      </w:tr>
    </w:tbl>
    <w:p>
      <w:pPr>
        <w:spacing w:after="0" w:line="241" w:lineRule="exact"/>
        <w:rPr>
          <w:sz w:val="20"/>
          <w:szCs w:val="20"/>
          <w:color w:val="auto"/>
        </w:rPr>
      </w:pPr>
    </w:p>
    <w:p>
      <w:pPr>
        <w:ind w:left="460" w:right="68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losses in excess of catastrophe coverage. Effective July 1, 2020, no reinsurance coverage for the $2,500,000 gap between quota share limit of $7,500,000 and first $10,000,000 layer of catastrophe coverage (see note 7 below).</w:t>
      </w:r>
    </w:p>
    <w:p>
      <w:pPr>
        <w:ind w:left="460" w:right="3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2018, reinstatement premium protection for $210,000,000 of catastrophe coverage in excess of $5,000,000.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2019, reinstatement premium protection for $292,500,000 of catastrophe coverage in excess of $7,500,000.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2020, reinstatement premium protection for $70,000,000 of catastrophe coverage in excess of $10,000,000.</w:t>
      </w:r>
    </w:p>
    <w:p>
      <w:pPr>
        <w:spacing w:after="0" w:line="9" w:lineRule="exact"/>
        <w:rPr>
          <w:rFonts w:ascii="Arial" w:cs="Arial" w:eastAsia="Arial" w:hAnsi="Arial"/>
          <w:sz w:val="18"/>
          <w:szCs w:val="18"/>
          <w:color w:val="auto"/>
        </w:rPr>
      </w:pPr>
    </w:p>
    <w:p>
      <w:pPr>
        <w:ind w:left="460" w:right="60" w:hanging="452"/>
        <w:spacing w:after="0" w:line="26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Quota share expires December 31, 2020; reinsurance coverage from January 1, 2021 through June 30, 2021 is only for excess of loss and catastrophe reinsurance.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5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859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859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Lines</w:t>
      </w: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Umbrella</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first $1,000,000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excess of $1,000,000 of coverage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reinsurance coverage per occurrence</w:t>
      </w:r>
    </w:p>
    <w:p>
      <w:pPr>
        <w:spacing w:after="0" w:line="42" w:lineRule="exact"/>
        <w:rPr>
          <w:sz w:val="20"/>
          <w:szCs w:val="20"/>
          <w:color w:val="auto"/>
        </w:rPr>
      </w:pPr>
    </w:p>
    <w:p>
      <w:pPr>
        <w:ind w:left="160" w:right="2360" w:firstLine="288"/>
        <w:spacing w:after="0" w:line="333" w:lineRule="auto"/>
        <w:rPr>
          <w:sz w:val="20"/>
          <w:szCs w:val="20"/>
          <w:color w:val="auto"/>
        </w:rPr>
      </w:pPr>
      <w:r>
        <w:rPr>
          <w:rFonts w:ascii="Arial" w:cs="Arial" w:eastAsia="Arial" w:hAnsi="Arial"/>
          <w:sz w:val="14"/>
          <w:szCs w:val="14"/>
          <w:color w:val="auto"/>
        </w:rPr>
        <w:t>Losses per occurrence subject to quota share reinsurance coverage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Commercial Lines</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General liability commercial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Excess of loss coverage above 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reinsurance coverage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Losses per occurrence subject to reinsurance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Commercial Umbrella</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first $1,000,000 of coverage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excess of $1,000,000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Risk retained</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reinsurance coverage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right="2360" w:firstLine="288"/>
        <w:spacing w:after="0" w:line="333" w:lineRule="auto"/>
        <w:rPr>
          <w:sz w:val="20"/>
          <w:szCs w:val="20"/>
          <w:color w:val="auto"/>
        </w:rPr>
      </w:pPr>
      <w:r>
        <w:rPr>
          <w:rFonts w:ascii="Arial" w:cs="Arial" w:eastAsia="Arial" w:hAnsi="Arial"/>
          <w:sz w:val="14"/>
          <w:szCs w:val="14"/>
          <w:color w:val="auto"/>
        </w:rPr>
        <w:t>Losses per occurrence subject to quota share reinsurance coverage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Treaty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400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2020</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2019</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2018</w:t>
            </w:r>
          </w:p>
        </w:tc>
      </w:tr>
      <w:tr>
        <w:trPr>
          <w:trHeight w:val="21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r>
      <w:tr>
        <w:trPr>
          <w:trHeight w:val="20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3"/>
        </w:trPr>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4,900,000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4,900,000</w:t>
            </w:r>
          </w:p>
        </w:tc>
      </w:tr>
      <w:tr>
        <w:trPr>
          <w:trHeight w:val="196"/>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5,000,000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5,000,000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5,000,000</w:t>
            </w:r>
          </w:p>
        </w:tc>
      </w:tr>
      <w:tr>
        <w:trPr>
          <w:trHeight w:val="182"/>
        </w:trPr>
        <w:tc>
          <w:tcPr>
            <w:tcW w:w="1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June 30, 2021</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June 30, 2020</w:t>
            </w: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2019</w:t>
            </w:r>
          </w:p>
        </w:tc>
      </w:tr>
      <w:tr>
        <w:trPr>
          <w:trHeight w:val="810"/>
        </w:trPr>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None</w:t>
            </w:r>
          </w:p>
        </w:tc>
      </w:tr>
      <w:tr>
        <w:trPr>
          <w:trHeight w:val="230"/>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r>
      <w:tr>
        <w:trPr>
          <w:trHeight w:val="196"/>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3,750,000</w:t>
            </w:r>
          </w:p>
        </w:tc>
      </w:tr>
      <w:tr>
        <w:trPr>
          <w:trHeight w:val="182"/>
        </w:trPr>
        <w:tc>
          <w:tcPr>
            <w:tcW w:w="1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in excess of</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in excess of</w:t>
            </w: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r>
      <w:tr>
        <w:trPr>
          <w:trHeight w:val="230"/>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3,750,000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4,500,000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4,500,000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4,500,000</w:t>
            </w:r>
          </w:p>
        </w:tc>
      </w:tr>
      <w:tr>
        <w:trPr>
          <w:trHeight w:val="580"/>
        </w:trPr>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3"/>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3"/>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w:t>
            </w:r>
          </w:p>
        </w:tc>
      </w:tr>
      <w:tr>
        <w:trPr>
          <w:trHeight w:val="203"/>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4,900,000</w:t>
            </w:r>
          </w:p>
        </w:tc>
      </w:tr>
      <w:tr>
        <w:trPr>
          <w:trHeight w:val="19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5,000,000</w:t>
            </w:r>
          </w:p>
        </w:tc>
      </w:tr>
      <w:tr>
        <w:trPr>
          <w:trHeight w:val="182"/>
        </w:trPr>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2019</w:t>
            </w:r>
          </w:p>
        </w:tc>
      </w:tr>
    </w:tbl>
    <w:p>
      <w:pPr>
        <w:spacing w:after="0" w:line="235" w:lineRule="exact"/>
        <w:rPr>
          <w:sz w:val="20"/>
          <w:szCs w:val="20"/>
          <w:color w:val="auto"/>
        </w:rPr>
      </w:pPr>
    </w:p>
    <w:p>
      <w:pPr>
        <w:sectPr>
          <w:pgSz w:w="11900" w:h="16858" w:orient="portrait"/>
          <w:cols w:equalWidth="0" w:num="2">
            <w:col w:w="6620" w:space="720"/>
            <w:col w:w="3900"/>
          </w:cols>
          <w:pgMar w:left="320" w:top="121" w:right="339" w:bottom="0" w:gutter="0" w:footer="0" w:header="0"/>
          <w:type w:val="continuous"/>
        </w:sectPr>
      </w:pP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Ceding Commission Revenue</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ectPr>
          <w:pgSz w:w="11900" w:h="16858" w:orient="portrait"/>
          <w:cols w:equalWidth="0" w:num="1">
            <w:col w:w="11240"/>
          </w:cols>
          <w:pgMar w:left="320" w:top="121" w:right="339" w:bottom="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58" w:orient="portrait"/>
          <w:cols w:equalWidth="0" w:num="1">
            <w:col w:w="11240"/>
          </w:cols>
          <w:pgMar w:left="320" w:top="121" w:right="339" w:bottom="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Company’s estimated ultimate treaty year loss ratios (the “Loss Ratio(s)”) for treaties in effect during the three months and six months ended June 30, 2020 are attributable to contracts under the 2019/2020 Treaty. The Loss Ratios for treaties in effect for the three months and six months ended June 30, 2019 are attributable to contracts under the 2017/2019 Treaty for the 2018/2019 Treaty Year, which expired on June 30, 2019 and was not renewed.</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2019/2020 Treaty and the 2017/2019 Treaty for the 2018/2019 Treaty Year, the Company received an upfront fixed provisional ceding commission rate that is not subject to a sliding scale contingent adjustment. In addition to the treaties that were in effect during the three months and six months ended June 30, 2020 and 2019, the Loss Ratios from prior years’ treaties are subject to change as incurred losses from those periods increase or decrease, resulting in an increase or decrease in the commission rate and contingent ceding commissions earned.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Ceding commission revenue consists of the following:</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3,440,676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1,363,474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7,161,036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2,681,225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39,538</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(687,779)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150,277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(727,847)</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3,480,214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675,695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1,953,378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June 30, 2020 and December 31, 2019, net contingent ceding commissions payable to reinsurers under all treaties was approximately $2,736,000 and $2,886,000, respectively, which is recorded in reinsurance balances payable on the accompanying condensed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Debt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Federal Home Loan Bank</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July 2017, KICO became a member of, and invested in, the Federal Home Loan Bank of New York (“FHLBNY”). The aggregate fair value of the investment in dividend bearing common stock was $11,200 and $15,180 as of June 30, 2020 and December 31, 2019, respectively.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ninety days of borrowing. The maximum allowable advance as of June 30, 2020 was approximately $11,339,000. Advances are limited to 85% of the amount of available collateral, which was approximately $5,944,000 as of June 30, 2020. There were no borrowings under this facility during the six months ended June 30, 2020 and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Long-term Debt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June 30, 2020 and December 31, 2019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June 30,</w:t>
            </w:r>
          </w:p>
        </w:tc>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Discount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(81,133)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(359,346)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(431,244)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debt, net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$ 29,559,521</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$ 29,471,431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9"/>
          <w:szCs w:val="19"/>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has used an aggregate $28,256,335 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 Declared and Paid</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Dividends declared and paid on Common Stock were $1,103,400 and $2,153,349 for the six months ended June 30, 2020 and 2019, respectively. The Company’s Board of Directors approved a quarterly dividend on August 5, 2020 of $.04 per share payable in cash on September 15, 2020 to stockholders of record as of August 31, 2020 (see Note 13 - Subsequent Events).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 Options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shares of Common Stock of the Company that are authorized to be used pursuant to the 2014 Plan to 1,400,000 (see Note 13 - Subsequent Events).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results of operations for the three months ended June 30, 2020 and 2019 include stock-based compensation expense for stock options totaling approximately $21,000 and $0, respectively. The results of operations for the six months ended June 30, 2020 and 2019 include stock-based compensation expense for stock options totaling approximately $38,000 and $0, respectively. Stock-based compensation expense related to stock options is net of estimated forfeitures of approximately 16% for the three months and six months ended June 30 2020 and 2019. Such amounts have been included in the consolidated statements of operations and comprehensive income within other operating expenses.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weighted average estimated fair value of stock options granted during the six months ended June 30, 2020 was $2.40 per share. No options were granted during the six months ended June 30, 2019. The fair value of stock options at the grant date was estimated using the Black-Scholes option-pricing model.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weighted average assumptions were used for grants during the following periods:</w:t>
      </w:r>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2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37.69%</w:t>
            </w:r>
          </w:p>
        </w:tc>
        <w:tc>
          <w:tcPr>
            <w:tcW w:w="2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Expected Life</w:t>
            </w:r>
          </w:p>
        </w:tc>
        <w:tc>
          <w:tcPr>
            <w:tcW w:w="1460" w:type="dxa"/>
            <w:vAlign w:val="bottom"/>
            <w:gridSpan w:val="3"/>
          </w:tcPr>
          <w:p>
            <w:pPr>
              <w:ind w:left="200"/>
              <w:spacing w:after="0"/>
              <w:rPr>
                <w:sz w:val="20"/>
                <w:szCs w:val="20"/>
                <w:color w:val="auto"/>
              </w:rPr>
            </w:pPr>
            <w:r>
              <w:rPr>
                <w:rFonts w:ascii="Arial" w:cs="Arial" w:eastAsia="Arial" w:hAnsi="Arial"/>
                <w:sz w:val="18"/>
                <w:szCs w:val="18"/>
                <w:color w:val="auto"/>
              </w:rPr>
              <w:t>2.75 years</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ectPr>
          <w:pgSz w:w="11900" w:h="16838" w:orient="portrait"/>
          <w:cols w:equalWidth="0" w:num="1">
            <w:col w:w="11240"/>
          </w:cols>
          <w:pgMar w:left="320" w:top="118" w:right="339" w:bottom="0" w:gutter="0" w:footer="0" w:header="0"/>
        </w:sectPr>
      </w:pPr>
    </w:p>
    <w:bookmarkStart w:id="22" w:name="page23"/>
    <w:bookmarkEnd w:id="22"/>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A summary of stock option activity under the Company’s 2014 Plan for the six months ended June 30, 2020 is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r>
      <w:tr>
        <w:trPr>
          <w:trHeight w:val="230"/>
        </w:trPr>
        <w:tc>
          <w:tcPr>
            <w:tcW w:w="5940" w:type="dxa"/>
            <w:vAlign w:val="bottom"/>
          </w:tcPr>
          <w:p>
            <w:pPr>
              <w:ind w:left="24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Term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Intrinsic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74,523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(36,557)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119,966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2020</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aggregate intrinsic value of options outstanding and options exercisable at June 30, 2020 is calculated as the difference between the exercise price of the underlying options and the market price of the Company’s Common Stock for the options that had exercise prices that were lower than the $4.42 closing price of the Company’s Common Stock on June 30, 2020. No options were exercised during the six months ended June 30, 2020. The total intrinsic value of options forfeited during the six months ended June 30, 2020 was $-0-, determined as of the date of forfeiture.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2020, the estimated fair value of unamortized compensation cost related to unvested stock option awards was approximately $98,000. Unamortized compensation cost as of June 30, 2020 is expected to be recognized over a remaining weighted-average vesting period of 1.68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2020, there were 110,199 shares reserved for grants under the 2014 Plan.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Restricted Stock Awards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summary of the restricted Common Stock activity under the Company’s 2014 Plan for the six months ended June 30, 2020 is as follows:</w:t>
      </w:r>
    </w:p>
    <w:p>
      <w:pPr>
        <w:spacing w:after="0" w:line="200" w:lineRule="exact"/>
        <w:rPr>
          <w:sz w:val="20"/>
          <w:szCs w:val="20"/>
          <w:color w:val="auto"/>
        </w:rPr>
      </w:pP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Grant Date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16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5"/>
              </w:rPr>
              <w:t>per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213,929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199,812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(59,420)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14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343,458</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3,958,091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Fair value was calculated using the closing price of the Company’s Common Stock on the grant date. For the three months ended June 30, 2020 and 2019, stock-based compensation for these grants was approximately $434,000 and $399,000, respectively, which is included in other operating expenses on the accompanying condensed consolidated statements of operations and comprehensive income. For the six months ended June 30, 2020 and 2019, stock-based compensation for these grants was</w:t>
      </w:r>
    </w:p>
    <w:p>
      <w:pPr>
        <w:sectPr>
          <w:pgSz w:w="11900" w:h="16848" w:orient="portrait"/>
          <w:cols w:equalWidth="0" w:num="1">
            <w:col w:w="11240"/>
          </w:cols>
          <w:pgMar w:left="320" w:top="584" w:right="339" w:bottom="0" w:gutter="0" w:footer="0" w:header="0"/>
        </w:sectPr>
      </w:pPr>
    </w:p>
    <w:bookmarkStart w:id="23" w:name="page24"/>
    <w:bookmarkEnd w:id="23"/>
    <w:p>
      <w:pPr>
        <w:spacing w:after="0" w:line="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approximately $905,000 and $708,000, respectively, which is included in other operating expenses on the accompanying condensed consolidated statements of operations and comprehensive income. These amounts reflect the Company’s accounting expense and do not correspond to the actual value that will be recognized by the directors, executives and employees.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Income Taxes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Significant components of the Company’s deferred tax assets and liabilities are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36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carryovers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55,845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Claims reserve discount</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771,358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3,068,011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Deferred ceding commission revenue</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1,465,501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1,624,434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332,021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5,692,736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KICO (2)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759,543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Deferred acquisition costs</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4,099,692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4,333,219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302,443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unrealized gains of securities - available-for-sale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2,015,527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7,282,205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deferred income tax (liability)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(1,589,469)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80" w:type="dxa"/>
            <w:vAlign w:val="bottom"/>
            <w:gridSpan w:val="6"/>
          </w:tcPr>
          <w:p>
            <w:pPr>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4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December</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June 30,</w:t>
            </w:r>
          </w:p>
        </w:tc>
        <w:tc>
          <w:tcPr>
            <w:tcW w:w="1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6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Type of NOL</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Expiration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060" w:type="dxa"/>
            <w:vAlign w:val="bottom"/>
            <w:gridSpan w:val="2"/>
          </w:tcPr>
          <w:p>
            <w:pPr>
              <w:ind w:left="400"/>
              <w:spacing w:after="0"/>
              <w:rPr>
                <w:sz w:val="20"/>
                <w:szCs w:val="20"/>
                <w:color w:val="auto"/>
              </w:rPr>
            </w:pPr>
            <w:r>
              <w:rPr>
                <w:rFonts w:ascii="Arial" w:cs="Arial" w:eastAsia="Arial" w:hAnsi="Arial"/>
                <w:sz w:val="18"/>
                <w:szCs w:val="18"/>
                <w:color w:val="auto"/>
              </w:rPr>
              <w:t>Federal only, current year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1,517,866</w:t>
            </w:r>
          </w:p>
        </w:tc>
        <w:tc>
          <w:tcPr>
            <w:tcW w:w="12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State only (B)</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1,805,591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1,616,568</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December 31, 2040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(1,749,746)</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(1,548,187)</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1,586,247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620" w:hanging="5"/>
        <w:spacing w:after="0" w:line="238" w:lineRule="auto"/>
        <w:tabs>
          <w:tab w:leader="none" w:pos="978" w:val="left"/>
        </w:tabs>
        <w:numPr>
          <w:ilvl w:val="0"/>
          <w:numId w:val="7"/>
        </w:numPr>
        <w:rPr>
          <w:rFonts w:ascii="Arial" w:cs="Arial" w:eastAsia="Arial" w:hAnsi="Arial"/>
          <w:sz w:val="22"/>
          <w:szCs w:val="22"/>
          <w:color w:val="auto"/>
        </w:rPr>
      </w:pPr>
      <w:r>
        <w:rPr>
          <w:rFonts w:ascii="Arial" w:cs="Arial" w:eastAsia="Arial" w:hAnsi="Arial"/>
          <w:sz w:val="22"/>
          <w:szCs w:val="22"/>
          <w:color w:val="auto"/>
        </w:rPr>
        <w:t>On March 27, 2020, the Coronavirus Aid, Relief, and Economic Security (CARES) Act was signed into law, allowing for a five year carryback of 2019 NOL’s. The Company will elect on its 2019 federal income tax return to carry back the 2019 NOL to tax years 2014 and 2015. The corporate tax rate in 2014 and 2015 was 34%, compared to the corporate tax rate of 21% in 2019.</w:t>
      </w:r>
    </w:p>
    <w:p>
      <w:pPr>
        <w:spacing w:after="0" w:line="211" w:lineRule="exact"/>
        <w:rPr>
          <w:rFonts w:ascii="Arial" w:cs="Arial" w:eastAsia="Arial" w:hAnsi="Arial"/>
          <w:sz w:val="22"/>
          <w:szCs w:val="22"/>
          <w:color w:val="auto"/>
        </w:rPr>
      </w:pPr>
    </w:p>
    <w:p>
      <w:pPr>
        <w:jc w:val="both"/>
        <w:ind w:left="620" w:hanging="5"/>
        <w:spacing w:after="0" w:line="287" w:lineRule="auto"/>
        <w:tabs>
          <w:tab w:leader="none" w:pos="971" w:val="left"/>
        </w:tabs>
        <w:numPr>
          <w:ilvl w:val="0"/>
          <w:numId w:val="7"/>
        </w:numPr>
        <w:rPr>
          <w:rFonts w:ascii="Arial" w:cs="Arial" w:eastAsia="Arial" w:hAnsi="Arial"/>
          <w:sz w:val="19"/>
          <w:szCs w:val="19"/>
          <w:color w:val="auto"/>
        </w:rPr>
      </w:pPr>
      <w:r>
        <w:rPr>
          <w:rFonts w:ascii="Arial" w:cs="Arial" w:eastAsia="Arial" w:hAnsi="Arial"/>
          <w:sz w:val="19"/>
          <w:szCs w:val="19"/>
          <w:color w:val="auto"/>
        </w:rPr>
        <w:t>Kingstone generates operating losses for state purposes and has prior year NOLs available. The state NOL as of June 30, 2020 and December 31, 2019 was approximately $26,502,000 and $24,901,000, respectively. KICO, the Company’s insurance underwriting subsidiary, is not subject to state income taxes. KICO’s state tax obligations are paid through a gross premiums tax, which is included in the consolidated statements of operations and comprehensive loss within other</w:t>
      </w:r>
    </w:p>
    <w:p>
      <w:pPr>
        <w:sectPr>
          <w:pgSz w:w="11900" w:h="16848" w:orient="portrait"/>
          <w:cols w:equalWidth="0" w:num="1">
            <w:col w:w="11240"/>
          </w:cols>
          <w:pgMar w:left="320" w:top="118" w:right="339" w:bottom="0" w:gutter="0" w:footer="0" w:header="0"/>
        </w:sectPr>
      </w:pPr>
    </w:p>
    <w:bookmarkStart w:id="24" w:name="page25"/>
    <w:bookmarkEnd w:id="24"/>
    <w:p>
      <w:pPr>
        <w:jc w:val="both"/>
        <w:ind w:left="620"/>
        <w:spacing w:after="0"/>
        <w:rPr>
          <w:sz w:val="20"/>
          <w:szCs w:val="20"/>
          <w:color w:val="auto"/>
        </w:rPr>
      </w:pPr>
      <w:r>
        <w:rPr>
          <w:rFonts w:ascii="Arial" w:cs="Arial" w:eastAsia="Arial" w:hAnsi="Arial"/>
          <w:sz w:val="22"/>
          <w:szCs w:val="22"/>
          <w:color w:val="auto"/>
        </w:rPr>
        <w:t>underwriting expenses. Kingstone has recorded a valuation allowance due to the uncertainty of generating enough state taxable income to utilize 100% of the available state NOLs over their remaining lives, which expire between 2027 and 2040.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(2) Deferred tax liability - Investment in KICO</w:t>
      </w:r>
    </w:p>
    <w:p>
      <w:pPr>
        <w:spacing w:after="0" w:line="233" w:lineRule="exact"/>
        <w:rPr>
          <w:sz w:val="20"/>
          <w:szCs w:val="20"/>
          <w:color w:val="auto"/>
        </w:rPr>
      </w:pPr>
    </w:p>
    <w:p>
      <w:pPr>
        <w:jc w:val="both"/>
        <w:ind w:left="620"/>
        <w:spacing w:after="0" w:line="272" w:lineRule="auto"/>
        <w:rPr>
          <w:sz w:val="20"/>
          <w:szCs w:val="20"/>
          <w:color w:val="auto"/>
        </w:rPr>
      </w:pPr>
      <w:r>
        <w:rPr>
          <w:rFonts w:ascii="Arial" w:cs="Arial" w:eastAsia="Arial" w:hAnsi="Arial"/>
          <w:sz w:val="19"/>
          <w:szCs w:val="19"/>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74"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2020 and 2019. If any had been recognized these would have been reported in income tax expense.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Generally, taxing authorities may examine the Company’s tax returns for the three years from the date of filing. The Company’s tax returns for the years ended December 31, 2016 through December 31, 2019 remain subject to examination. The Company’s federal income tax return for the year ended December 31, 2016 has been examined by the Internal Revenue Service and was accepted as filed.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10 -Earnings/(Loss) Per Common Share</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computation of diluted earnings/(loss) per common share excludes outstanding options in periods where the exercise of such options would be anti-dilutive. For the six months ended June 30, 2020,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reconciliation of the weighted average number of shares of Common Stock used in the calculation of basic and diluted earnings (loss) per common share follows:</w:t>
      </w:r>
    </w:p>
    <w:p>
      <w:pPr>
        <w:spacing w:after="0" w:line="200" w:lineRule="exact"/>
        <w:rPr>
          <w:sz w:val="20"/>
          <w:szCs w:val="20"/>
          <w:color w:val="auto"/>
        </w:rPr>
      </w:pP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0"/>
                <w:szCs w:val="20"/>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10,733,354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10,771,717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10,770,598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10,764,824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25" w:name="page26"/>
    <w:bookmarkEnd w:id="25"/>
    <w:p>
      <w:pPr>
        <w:spacing w:after="0" w:line="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awards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used for computing diluted earnings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10,734,784</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10,785,064</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10,770,598</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10,764,824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Litigation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9"/>
          <w:szCs w:val="19"/>
          <w:i w:val="1"/>
          <w:iCs w:val="1"/>
          <w:color w:val="auto"/>
        </w:rPr>
        <w:t>Woolgar v. Kingstone Companies et al.</w:t>
      </w:r>
      <w:r>
        <w:rPr>
          <w:rFonts w:ascii="Arial" w:cs="Arial" w:eastAsia="Arial" w:hAnsi="Arial"/>
          <w:sz w:val="19"/>
          <w:szCs w:val="19"/>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believes the lawsuit to be without merit. The Company has not established an accrual for this matter as a loss is not considered to be probable and reasonably estimable. It is the opinion of management, after consulting legal counsel, that facts known at the present time do not indicate that such litigation will have a material adverse impact on the Company’s results of operations, financial position, or cash flows. On August 10, 2020, the court granted the Company’s motion to dismiss the amended complaint in the suit. The court has permitted plaintiff to amend the complaint to attempt to cure the deficiencies identified by the court in its opinion (to the extent plaintiff has a good faith basis to do so). The amended complaint, if any, would need to be filed by September 11, 2020.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Office Lease</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a party to a non-cancellable operating lease, dated March 27, 2015, for its office facility for KICO located in Valley Stream, New York expiring March 31, 2024.</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July 8, 2019, the Company entered into a lease agreement for an additional office facility for Cosi located in Valley Stream, New York under a non-cancelable operating lease. The lease has a term of seven years and two months expiring December 31, 2026.</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the base rental costs, occupancy lease agreements generally provide for rent escalations resulting from increased assessments from real estate taxes and other charges.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Additional information regarding the Company’s office operating leases is as follows:</w:t>
      </w:r>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040" w:type="dxa"/>
            <w:vAlign w:val="bottom"/>
            <w:gridSpan w:val="4"/>
          </w:tcPr>
          <w:p>
            <w:pPr>
              <w:ind w:left="1260"/>
              <w:spacing w:after="0"/>
              <w:rPr>
                <w:sz w:val="20"/>
                <w:szCs w:val="20"/>
                <w:color w:val="auto"/>
              </w:rPr>
            </w:pPr>
            <w:r>
              <w:rPr>
                <w:rFonts w:ascii="Arial" w:cs="Arial" w:eastAsia="Arial" w:hAnsi="Arial"/>
                <w:sz w:val="18"/>
                <w:szCs w:val="18"/>
                <w:b w:val="1"/>
                <w:bCs w:val="1"/>
                <w:color w:val="auto"/>
                <w:w w:val="99"/>
              </w:rPr>
              <w:t>Three months ended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Lease cost</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40" w:type="dxa"/>
            <w:vAlign w:val="bottom"/>
            <w:tcBorders>
              <w:top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61,297</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Short-term leases</w:t>
            </w: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cost (1)</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61,297</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122,594</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Cash payments included in the measurement of lease</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liability reported in operating cash flows</w:t>
            </w: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62,782</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127,063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Remaining lease term in years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the condensed consolidated statements of operations and comprehensive income within other underwriting expenses for KICO and</w:t>
      </w:r>
    </w:p>
    <w:p>
      <w:pPr>
        <w:sectPr>
          <w:pgSz w:w="11900" w:h="16845" w:orient="portrait"/>
          <w:cols w:equalWidth="0" w:num="1">
            <w:col w:w="11240"/>
          </w:cols>
          <w:pgMar w:left="320" w:top="125" w:right="339" w:bottom="0" w:gutter="0" w:footer="0" w:header="0"/>
        </w:sectPr>
      </w:pPr>
    </w:p>
    <w:bookmarkStart w:id="26" w:name="page27"/>
    <w:bookmarkEnd w:id="26"/>
    <w:p>
      <w:pPr>
        <w:ind w:left="900"/>
        <w:spacing w:after="0"/>
        <w:rPr>
          <w:sz w:val="20"/>
          <w:szCs w:val="20"/>
          <w:color w:val="auto"/>
        </w:rPr>
      </w:pPr>
      <w:r>
        <w:rPr>
          <w:rFonts w:ascii="Arial" w:cs="Arial" w:eastAsia="Arial" w:hAnsi="Arial"/>
          <w:sz w:val="18"/>
          <w:szCs w:val="18"/>
          <w:color w:val="auto"/>
        </w:rPr>
        <w:t>within other operating expenses for Cosi.</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contractual maturities of the Company’s lease liabilities as of June 30, 2020:</w:t>
      </w:r>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ind w:left="3700"/>
              <w:spacing w:after="0"/>
              <w:rPr>
                <w:sz w:val="20"/>
                <w:szCs w:val="20"/>
                <w:color w:val="auto"/>
              </w:rPr>
            </w:pPr>
            <w:r>
              <w:rPr>
                <w:rFonts w:ascii="Arial" w:cs="Arial" w:eastAsia="Arial" w:hAnsi="Arial"/>
                <w:sz w:val="18"/>
                <w:szCs w:val="18"/>
                <w:b w:val="1"/>
                <w:bCs w:val="1"/>
                <w:color w:val="auto"/>
              </w:rPr>
              <w:t>For the Year</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920"/>
              <w:spacing w:after="0"/>
              <w:rPr>
                <w:sz w:val="20"/>
                <w:szCs w:val="20"/>
                <w:color w:val="auto"/>
              </w:rPr>
            </w:pPr>
            <w:r>
              <w:rPr>
                <w:rFonts w:ascii="Arial" w:cs="Arial" w:eastAsia="Arial" w:hAnsi="Arial"/>
                <w:sz w:val="18"/>
                <w:szCs w:val="18"/>
                <w:b w:val="1"/>
                <w:bCs w:val="1"/>
                <w:color w:val="auto"/>
              </w:rPr>
              <w:t>Ending</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3680"/>
              <w:spacing w:after="0"/>
              <w:rPr>
                <w:sz w:val="20"/>
                <w:szCs w:val="20"/>
                <w:color w:val="auto"/>
              </w:rPr>
            </w:pPr>
            <w:r>
              <w:rPr>
                <w:rFonts w:ascii="Arial" w:cs="Arial" w:eastAsia="Arial" w:hAnsi="Arial"/>
                <w:sz w:val="18"/>
                <w:szCs w:val="18"/>
                <w:b w:val="1"/>
                <w:bCs w:val="1"/>
                <w:color w:val="auto"/>
              </w:rPr>
              <w:t>December 31,</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264,571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2023</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undiscounted lease payments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1,284,033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Less: present value adjustment</w:t>
            </w: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190,041</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liability</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1,093,992</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Rent expense for the three months ended June 30, 2020 and 2019 amounted to $61,297 and $41,342, respectively. Rent expense for the six months ended June 30, 2020 and 2019 totaled $122,594 and $82,684, respectively. Rent expense is included in the accompanying condensed consolidated statements of operations and comprehensive income within other underwriting expenses.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Employment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Barry Goldstein, President, Chief Executive Officer and Executive Chairman of the Board</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will become vested with respect to one-third of the award on each of the first and second anniversaries of the grant date and on December 31, 2022 based on the continued provision of services through the applicable vesting date. Also pursuant to the Amended Employment Agreement, Mr. Goldstein will be entitled to receive a grant, under the terms of the 2014 Plan, during January 2021, of a number of shares of restricted stock determined by dividing $1,500,000 by the fair market value of the Company’s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Amended Employment Agreement, Mr. Goldstein is entitled to receive a grant, under the terms of the 2014 Plan, during each of 2020, 2021 and 2022, of a number of shares of restricted stock determined by dividing $136,500 by the fair market value of the Company’s Common Stock on the date of grant. In January 2020, Mr. Goldstein was granted 17,191 shares of restricted stock pursuant to this provision. This grant will become vested with respect to one-third of the award on each of the first and second anniversaries of the grant date and on December 31, 2022 based on the continued provision of services through the applicable</w:t>
      </w:r>
    </w:p>
    <w:p>
      <w:pPr>
        <w:sectPr>
          <w:pgSz w:w="11900" w:h="16838" w:orient="portrait"/>
          <w:cols w:equalWidth="0" w:num="1">
            <w:col w:w="11240"/>
          </w:cols>
          <w:pgMar w:left="320" w:top="125" w:right="339" w:bottom="0" w:gutter="0" w:footer="0" w:header="0"/>
        </w:sectPr>
      </w:pPr>
    </w:p>
    <w:bookmarkStart w:id="27" w:name="page28"/>
    <w:bookmarkEnd w:id="27"/>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Dale A. Thatcher</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w:t>
      </w:r>
    </w:p>
    <w:p>
      <w:pPr>
        <w:spacing w:after="0" w:line="4" w:lineRule="exact"/>
        <w:rPr>
          <w:sz w:val="20"/>
          <w:szCs w:val="20"/>
          <w:color w:val="auto"/>
        </w:rPr>
      </w:pPr>
    </w:p>
    <w:p>
      <w:pPr>
        <w:jc w:val="both"/>
        <w:ind w:firstLine="8"/>
        <w:spacing w:after="0" w:line="273" w:lineRule="auto"/>
        <w:tabs>
          <w:tab w:leader="none" w:pos="324" w:val="left"/>
        </w:tabs>
        <w:numPr>
          <w:ilvl w:val="0"/>
          <w:numId w:val="9"/>
        </w:numPr>
        <w:rPr>
          <w:rFonts w:ascii="Arial" w:cs="Arial" w:eastAsia="Arial" w:hAnsi="Arial"/>
          <w:sz w:val="19"/>
          <w:szCs w:val="19"/>
          <w:color w:val="auto"/>
        </w:rPr>
      </w:pPr>
      <w:r>
        <w:rPr>
          <w:rFonts w:ascii="Arial" w:cs="Arial" w:eastAsia="Arial" w:hAnsi="Arial"/>
          <w:sz w:val="19"/>
          <w:szCs w:val="19"/>
          <w:color w:val="auto"/>
        </w:rPr>
        <w:t>$5,000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(Mr. Thatcher shall not be entitled to any further grants of stock awards after the Separation Date) . 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Meryl Golden, Chief Operating Officer</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September 16, 2019, the Company and Meryl Golden entered into an employment agreement (the “Golden Employment Agreement”) pursuant to which Ms. Golden serves as the Company’s Chief Operating Officer. Ms. Golden also serves as KICO’s Chief Operating Officer. The Golden Employment Agreement became effective as of September 25, 2019 and expires on December 31, 2021.</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the Golden Employment Agreement, Ms. Golden is entitled to receive an annual salary of $500,000 and was granted a five year option for the purchase of 50,000 shares of the Company’s Common Stock pursuant to the 2014 Plan. The options granted will vest in three equal installments, with the first installment vesting on the grant date, and the remaining installments vesting on the first and second anniversaries following the grant date, subject to the terms of the stock option agreement between the Company and Ms. Golden.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COVID-19</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recent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Deferred Compensation Plan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w:t>
      </w:r>
    </w:p>
    <w:p>
      <w:pPr>
        <w:sectPr>
          <w:pgSz w:w="11900" w:h="16938" w:orient="portrait"/>
          <w:cols w:equalWidth="0" w:num="1">
            <w:col w:w="11240"/>
          </w:cols>
          <w:pgMar w:left="320" w:top="118" w:right="339" w:bottom="0" w:gutter="0" w:footer="0" w:header="0"/>
        </w:sectPr>
      </w:pPr>
    </w:p>
    <w:bookmarkStart w:id="28" w:name="page29"/>
    <w:bookmarkEnd w:id="28"/>
    <w:p>
      <w:pPr>
        <w:jc w:val="both"/>
        <w:spacing w:after="0" w:line="234" w:lineRule="auto"/>
        <w:rPr>
          <w:sz w:val="20"/>
          <w:szCs w:val="20"/>
          <w:color w:val="auto"/>
        </w:rPr>
      </w:pPr>
      <w:r>
        <w:rPr>
          <w:rFonts w:ascii="Arial" w:cs="Arial" w:eastAsia="Arial" w:hAnsi="Arial"/>
          <w:sz w:val="22"/>
          <w:szCs w:val="22"/>
          <w:color w:val="auto"/>
        </w:rPr>
        <w:t>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June 30, 2020 and December 31, 2019 amounted to $559,917 and $599,274, respectively, and is recorded in accounts payable, accrued expenses and other liabilities in the accompanying condensed consolidated balance sheets. The Company did not make any voluntary contributions for the six months ended June 30, 2020 and 2019.</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Subsequent Events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has evaluated events that occurred subsequent to June 30, 2020 through the date these condensed consolidated financial statements were issued for matters that required disclosure or adjustment in these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Reinsurance</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Effective July 1, 2020, the Company entered into new excess of loss and catastrophe reinsurance treaties (see Note 6 – Property and Casualty Insurance Activity “Reinsurance”).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 M. Best</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July 10, 2020, KICO’s A.M. Best financial strength rating was downgraded from A- (Excellent) to B++ (Good) and its long-term issuer credit rating (“Long-Term ICR”) was downgraded from “a-” to “bbb”. Concurrently, A.M. Best also downgraded the Company’s Long-Term ICR from “bbb-” to “bb”. Also downgraded was the long-term issue credit rating on the Company’s $30.0 million 5.50% senior unsecured notes due 2022 from “bbb-” to “bb”.</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Executive Employment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July 20, 2020, the Company and Victor J. Brodsky, Chief Financial Officer and Treasurer of the Company and Chief Financial Officer, Executive Vice President and a director of KICO, agreed that Mr. Brodsky’s employment with the Company and KICO will cease on September 30, 2020. Mr. Brodsky’s cessation of employment was a voluntary decision made by him to pursue other interests. The Company, KICO and Mr. Brodsky also agreed that Mr. Brodsky will serve as a consultant to the Company and KICO for the period from October 1, 2020 through March 31, 2021.</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Tropical Storm Isaias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August 4, 2020, the Northeast, which is the primary location of KICO’s insureds, was struck by Tropical Storm Isaias which caused power outages and significant damage to homes. KICO has received more than 1,100 claims relating to the storm. The Company is unable to determine the aggregate dollar amount of the claims at this time but the claims will in all likelihood have a material adverse effect upon the 2020 third quarter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 Declared</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August 5, 2020, the Company’s Board of Directors approved a quarterly dividend of $0.04 per share payable in cash on September 15, 2020 to stockholders of record as of the close of business on August 31, 2020 (see Note 8 -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Participation Plan</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August 5, 2020, the Company’s stockholders approved amendments to the 2014 Plan, including an increase in the maximum shares of Common Stock of the Company that are authorized to be used pursuant to the 2014 Plan to 1,400,000.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auto"/>
        </w:rPr>
        <w:t>ITEM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MANAGEMENT’S DISCUSSION AND ANALYSIS OF FINANCIAL CONDITION AND RESULTS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OPERATIONS</w:t>
      </w:r>
      <w:r>
        <w:rPr>
          <w:rFonts w:ascii="Arial" w:cs="Arial" w:eastAsia="Arial" w:hAnsi="Arial"/>
          <w:sz w:val="22"/>
          <w:szCs w:val="22"/>
          <w:color w:val="auto"/>
        </w:rPr>
        <w:t>.</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and six months ended June 30, 2020, respectively, 79.5% and 81.0% of KICO’s direct written premiums came from the New York policies.</w:t>
      </w:r>
    </w:p>
    <w:p>
      <w:pPr>
        <w:sectPr>
          <w:pgSz w:w="11900" w:h="16838" w:orient="portrait"/>
          <w:cols w:equalWidth="0" w:num="1">
            <w:col w:w="11240"/>
          </w:cols>
          <w:pgMar w:left="320" w:top="118" w:right="339" w:bottom="186" w:gutter="0" w:footer="0" w:header="0"/>
        </w:sectPr>
      </w:pPr>
    </w:p>
    <w:bookmarkStart w:id="29" w:name="page30"/>
    <w:bookmarkEnd w:id="29"/>
    <w:p>
      <w:pPr>
        <w:jc w:val="both"/>
        <w:ind w:firstLine="754"/>
        <w:spacing w:after="0" w:line="246" w:lineRule="auto"/>
        <w:rPr>
          <w:sz w:val="20"/>
          <w:szCs w:val="20"/>
          <w:color w:val="auto"/>
        </w:rPr>
      </w:pPr>
      <w:r>
        <w:rPr>
          <w:rFonts w:ascii="Arial" w:cs="Arial" w:eastAsia="Arial" w:hAnsi="Arial"/>
          <w:sz w:val="21"/>
          <w:szCs w:val="21"/>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Cosi revenue is included in other income and Cosi related expenses are included in other operating expenses. Cosi operations are not included in our stand-alone insurance underwriting business and, accordingly, its revenue and expenses are not included in the calculation of our combined ratio as described below.</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commissions paid to brokers, employment costs, and consulting costs.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Lines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product lines include the following:</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b w:val="1"/>
          <w:bCs w:val="1"/>
          <w:i w:val="1"/>
          <w:iCs w:val="1"/>
          <w:color w:val="auto"/>
        </w:rPr>
        <w:t xml:space="preserve">Personal lines: </w:t>
      </w:r>
      <w:r>
        <w:rPr>
          <w:rFonts w:ascii="Arial" w:cs="Arial" w:eastAsia="Arial" w:hAnsi="Arial"/>
          <w:sz w:val="22"/>
          <w:szCs w:val="22"/>
          <w:color w:val="auto"/>
        </w:rPr>
        <w:t>Our largest line of business is personal lines, consisting of homeowners, dwelling fire,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cooperative/condominium, renters, and personal umbrella policies.</w:t>
      </w:r>
    </w:p>
    <w:p>
      <w:pPr>
        <w:spacing w:after="0" w:line="202" w:lineRule="exact"/>
        <w:rPr>
          <w:sz w:val="20"/>
          <w:szCs w:val="20"/>
          <w:color w:val="auto"/>
        </w:rPr>
      </w:pPr>
    </w:p>
    <w:p>
      <w:pPr>
        <w:jc w:val="both"/>
        <w:ind w:firstLine="702"/>
        <w:spacing w:after="0" w:line="236" w:lineRule="auto"/>
        <w:rPr>
          <w:sz w:val="20"/>
          <w:szCs w:val="20"/>
          <w:color w:val="auto"/>
        </w:rPr>
      </w:pPr>
      <w:r>
        <w:rPr>
          <w:rFonts w:ascii="Arial" w:cs="Arial" w:eastAsia="Arial" w:hAnsi="Arial"/>
          <w:sz w:val="22"/>
          <w:szCs w:val="22"/>
          <w:b w:val="1"/>
          <w:bCs w:val="1"/>
          <w:i w:val="1"/>
          <w:iCs w:val="1"/>
          <w:color w:val="auto"/>
        </w:rPr>
        <w:t xml:space="preserve">Commercial liability: </w:t>
      </w:r>
      <w:r>
        <w:rPr>
          <w:rFonts w:ascii="Arial" w:cs="Arial" w:eastAsia="Arial" w:hAnsi="Arial"/>
          <w:sz w:val="22"/>
          <w:szCs w:val="22"/>
          <w:color w:val="auto"/>
        </w:rPr>
        <w:t>Through July 2019, we offered businessowners policies, which consist primarily of small business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retail, service, and office 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 force policies for these lines are being non-renewed at the end of their current annual terms. For the three months and six months ended June 30, 2020, these policies represent approximately 3.0% and 4.6%, respectively of net premiums earned and as of June 30, 2020, 41.7% of loss and LAE reserves net of reinsurance recoverables. See discussion below under “Additional Financial Information”.</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Livery physical damage: </w:t>
      </w:r>
      <w:r>
        <w:rPr>
          <w:rFonts w:ascii="Arial" w:cs="Arial" w:eastAsia="Arial" w:hAnsi="Arial"/>
          <w:sz w:val="22"/>
          <w:szCs w:val="22"/>
          <w:color w:val="auto"/>
        </w:rPr>
        <w:t>We write for-hire vehicle physical damage only policies for livery and car service vehicles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taxicabs. These policies insure only the physical damage portion of insurance for such vehicles, with no liability coverage included.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Other: </w:t>
      </w:r>
      <w:r>
        <w:rPr>
          <w:rFonts w:ascii="Arial" w:cs="Arial" w:eastAsia="Arial" w:hAnsi="Arial"/>
          <w:sz w:val="22"/>
          <w:szCs w:val="22"/>
          <w:color w:val="auto"/>
        </w:rPr>
        <w:t>We write canine legal liability policies and have a small participation in mandatory state joint underwriting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associations.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Measures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utilize the following key measures in analyzing the results of our insurance underwriting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Net loss ratio: </w:t>
      </w:r>
      <w:r>
        <w:rPr>
          <w:rFonts w:ascii="Arial" w:cs="Arial" w:eastAsia="Arial" w:hAnsi="Arial"/>
          <w:sz w:val="19"/>
          <w:szCs w:val="19"/>
          <w:color w:val="auto"/>
        </w:rPr>
        <w:t>The net loss ratio is a measure of the underwriting profitability of an insurance company’s business.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Expressed as a percentage, this is the ratio of net losses and LAE incurred to net premiums earned.</w:t>
      </w:r>
    </w:p>
    <w:p>
      <w:pPr>
        <w:sectPr>
          <w:pgSz w:w="11900" w:h="16838" w:orient="portrait"/>
          <w:cols w:equalWidth="0" w:num="1">
            <w:col w:w="11240"/>
          </w:cols>
          <w:pgMar w:left="320" w:top="118" w:right="339" w:bottom="0" w:gutter="0" w:footer="0" w:header="0"/>
        </w:sectPr>
      </w:pPr>
    </w:p>
    <w:bookmarkStart w:id="30" w:name="page31"/>
    <w:bookmarkEnd w:id="30"/>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Net underwriting expense ratio: </w:t>
      </w:r>
      <w:r>
        <w:rPr>
          <w:rFonts w:ascii="Arial" w:cs="Arial" w:eastAsia="Arial" w:hAnsi="Arial"/>
          <w:sz w:val="22"/>
          <w:szCs w:val="22"/>
          <w:color w:val="auto"/>
        </w:rPr>
        <w:t>The net underwriting expense ratio is a measure of an insurance company’s operational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efficiency in 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Net combined ratio: </w:t>
      </w:r>
      <w:r>
        <w:rPr>
          <w:rFonts w:ascii="Arial" w:cs="Arial" w:eastAsia="Arial" w:hAnsi="Arial"/>
          <w:sz w:val="19"/>
          <w:szCs w:val="19"/>
          <w:color w:val="auto"/>
        </w:rPr>
        <w:t>The net combined ratio is a measure of an insurance company’s overall underwriting profit. This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sum of the net loss and net underwriting expense ratios. If the net combined ratio is at or above 100 percent, an insurance company cannot be profitable without investment income, and may not be profitable if investment income is insufficient.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i w:val="1"/>
          <w:iCs w:val="1"/>
          <w:color w:val="auto"/>
        </w:rPr>
        <w:t xml:space="preserve">Underwriting income: </w:t>
      </w:r>
      <w:r>
        <w:rPr>
          <w:rFonts w:ascii="Arial" w:cs="Arial" w:eastAsia="Arial" w:hAnsi="Arial"/>
          <w:sz w:val="22"/>
          <w:szCs w:val="22"/>
          <w:color w:val="auto"/>
        </w:rPr>
        <w:t>Underwriting income is net pre-tax income attributable to our insurance underwriting business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before investment activity. 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Channels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42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940" w:type="dxa"/>
            <w:vAlign w:val="bottom"/>
            <w:gridSpan w:val="4"/>
          </w:tcPr>
          <w:p>
            <w:pPr>
              <w:jc w:val="right"/>
              <w:ind w:right="42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Six months ended</w:t>
            </w:r>
          </w:p>
        </w:tc>
        <w:tc>
          <w:tcPr>
            <w:tcW w:w="100" w:type="dxa"/>
            <w:vAlign w:val="bottom"/>
          </w:tcPr>
          <w:p>
            <w:pPr>
              <w:spacing w:after="0"/>
              <w:rPr>
                <w:sz w:val="18"/>
                <w:szCs w:val="18"/>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w w:val="97"/>
              </w:rPr>
              <w:t>Six months ended</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8"/>
                <w:szCs w:val="18"/>
                <w:color w:val="auto"/>
              </w:rPr>
              <w:t>June 30, 2020</w:t>
            </w:r>
          </w:p>
        </w:tc>
        <w:tc>
          <w:tcPr>
            <w:tcW w:w="80" w:type="dxa"/>
            <w:vAlign w:val="bottom"/>
          </w:tcPr>
          <w:p>
            <w:pPr>
              <w:spacing w:after="0"/>
              <w:rPr>
                <w:sz w:val="20"/>
                <w:szCs w:val="20"/>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8"/>
                <w:szCs w:val="18"/>
                <w:color w:val="auto"/>
              </w:rPr>
              <w:t>June 30, 2019</w:t>
            </w:r>
          </w:p>
        </w:tc>
        <w:tc>
          <w:tcPr>
            <w:tcW w:w="80" w:type="dxa"/>
            <w:vAlign w:val="bottom"/>
          </w:tcPr>
          <w:p>
            <w:pPr>
              <w:spacing w:after="0"/>
              <w:rPr>
                <w:sz w:val="20"/>
                <w:szCs w:val="20"/>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20"/>
                <w:szCs w:val="20"/>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8"/>
                <w:szCs w:val="18"/>
                <w:color w:val="auto"/>
              </w:rPr>
              <w:t>June 30, 2019</w:t>
            </w:r>
          </w:p>
        </w:tc>
      </w:tr>
      <w:tr>
        <w:trPr>
          <w:trHeight w:val="210"/>
        </w:trPr>
        <w:tc>
          <w:tcPr>
            <w:tcW w:w="3140" w:type="dxa"/>
            <w:vAlign w:val="bottom"/>
          </w:tcPr>
          <w:p>
            <w:pPr>
              <w:spacing w:after="0"/>
              <w:rPr>
                <w:sz w:val="20"/>
                <w:szCs w:val="20"/>
                <w:color w:val="auto"/>
              </w:rPr>
            </w:pPr>
            <w:r>
              <w:rPr>
                <w:rFonts w:ascii="Arial" w:cs="Arial" w:eastAsia="Arial" w:hAnsi="Arial"/>
                <w:sz w:val="18"/>
                <w:szCs w:val="18"/>
                <w:color w:val="auto"/>
              </w:rPr>
              <w:t>Direct Written Pemiums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Percent</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3"/>
              </w:rPr>
              <w:t>Amount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3"/>
              </w:rPr>
              <w:t>Amount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Percent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Percent</w:t>
            </w:r>
          </w:p>
        </w:tc>
        <w:tc>
          <w:tcPr>
            <w:tcW w:w="160" w:type="dxa"/>
            <w:vAlign w:val="bottom"/>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Independent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58,427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w:t>
            </w: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Expansion Independent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6,272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13,342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9,492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Alternative Distribution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through Cosi</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0"/>
        </w:trPr>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1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41,460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37,982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75,826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68,016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 Outside of New York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(Percent components may not sum to totals due to rounding)</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For the three months ended June 30, 2020 and 2019, Alternative Distribution made up 5.0% and 2.5% of direct written premiums for our homeowners and dwelling fire components of personal lines. As discussed above, on July 10, 2020, KICO’s A.M. Best Financial Strength Rating was downgraded from A- (Excellent) to B++ (Good),. We believe this action will result in a material decrease in the business from Cosi, a multi-state licensed general agent that had partnered with name-brand carriers which require an A.M. Best rating of A- (Excellent) from its partners.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18" w:right="339" w:bottom="254" w:gutter="0" w:footer="0" w:header="0"/>
        </w:sectPr>
      </w:pPr>
    </w:p>
    <w:bookmarkStart w:id="31" w:name="page32"/>
    <w:bookmarkEnd w:id="31"/>
    <w:p>
      <w:pPr>
        <w:jc w:val="both"/>
        <w:ind w:firstLine="648"/>
        <w:spacing w:after="0" w:line="282" w:lineRule="auto"/>
        <w:rPr>
          <w:sz w:val="20"/>
          <w:szCs w:val="20"/>
          <w:color w:val="auto"/>
        </w:rPr>
      </w:pPr>
      <w:r>
        <w:rPr>
          <w:rFonts w:ascii="Arial" w:cs="Arial" w:eastAsia="Arial" w:hAnsi="Arial"/>
          <w:sz w:val="19"/>
          <w:szCs w:val="19"/>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Six Months Ended June 30, 2020 Compared to Six Months Ended June 30, 2019</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the changes in the results of our operations (in thousands)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7"/>
              </w:rPr>
              <w:t>Six months ended June 30,</w:t>
            </w:r>
          </w:p>
        </w:tc>
        <w:tc>
          <w:tcPr>
            <w:tcW w:w="1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Assumed written premiums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0"/>
        </w:trPr>
        <w:tc>
          <w:tcPr>
            <w:tcW w:w="580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Ceded written premiums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quota share treaties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Ceded to excess of loss treaties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ind w:left="220"/>
              <w:spacing w:after="0"/>
              <w:rPr>
                <w:sz w:val="20"/>
                <w:szCs w:val="20"/>
                <w:color w:val="auto"/>
              </w:rPr>
            </w:pPr>
            <w:r>
              <w:rPr>
                <w:rFonts w:ascii="Arial" w:cs="Arial" w:eastAsia="Arial" w:hAnsi="Arial"/>
                <w:sz w:val="18"/>
                <w:szCs w:val="18"/>
                <w:color w:val="auto"/>
              </w:rPr>
              <w:t>Total ceded written premiums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12,738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10"/>
        </w:trPr>
        <w:tc>
          <w:tcPr>
            <w:tcW w:w="580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Change in unearned premiums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Ceded to quota share treaties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09"/>
        </w:trPr>
        <w:tc>
          <w:tcPr>
            <w:tcW w:w="580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Premiums earned</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Ceded to reinsurance treaties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(31,146)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(16,089)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0"/>
        </w:trPr>
        <w:tc>
          <w:tcPr>
            <w:tcW w:w="580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Ceding commission revenue</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Excluding the effect of catastrophes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Effect of catastrophes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gains on investments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(238.0)%</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0"/>
        </w:trPr>
        <w:tc>
          <w:tcPr>
            <w:tcW w:w="5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Direct and assumed: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Loss and loss adjustment expenses excluding the effect of catastrophes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Losses from catastrophes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(4,926)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r>
      <w:tr>
        <w:trPr>
          <w:trHeight w:val="210"/>
        </w:trPr>
        <w:tc>
          <w:tcPr>
            <w:tcW w:w="58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Loss and loss adjustment expenses excluding the effect of catastrop hes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Losses from catastrophes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0"/>
        </w:trPr>
        <w:tc>
          <w:tcPr>
            <w:tcW w:w="58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loss and loss adjustment expenses: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Loss and loss adjustment expenses excluding the effect of catastrophes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16"/>
        </w:trPr>
        <w:tc>
          <w:tcPr>
            <w:tcW w:w="5800" w:type="dxa"/>
            <w:vAlign w:val="bottom"/>
          </w:tcPr>
          <w:p>
            <w:pPr>
              <w:ind w:left="420"/>
              <w:spacing w:after="0"/>
              <w:rPr>
                <w:sz w:val="20"/>
                <w:szCs w:val="20"/>
                <w:color w:val="auto"/>
              </w:rPr>
            </w:pPr>
            <w:r>
              <w:rPr>
                <w:rFonts w:ascii="Arial" w:cs="Arial" w:eastAsia="Arial" w:hAnsi="Arial"/>
                <w:sz w:val="18"/>
                <w:szCs w:val="18"/>
                <w:color w:val="auto"/>
              </w:rPr>
              <w:t>Losses from catastrophes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(4,791)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(17,607)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09"/>
        </w:trPr>
        <w:tc>
          <w:tcPr>
            <w:tcW w:w="580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ind w:left="220"/>
              <w:spacing w:after="0"/>
              <w:rPr>
                <w:sz w:val="20"/>
                <w:szCs w:val="20"/>
                <w:color w:val="auto"/>
              </w:rPr>
            </w:pPr>
            <w:r>
              <w:rPr>
                <w:rFonts w:ascii="Arial" w:cs="Arial" w:eastAsia="Arial" w:hAnsi="Arial"/>
                <w:sz w:val="18"/>
                <w:szCs w:val="18"/>
                <w:color w:val="auto"/>
              </w:rPr>
              <w:t>Loss before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(78.4) %</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(836)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(5,696)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4,860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hanging="452"/>
        <w:spacing w:after="0" w:line="31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six months ended June 30,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18" w:right="3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5"/>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425"/>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39.2%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0"/>
        </w:trPr>
        <w:tc>
          <w:tcPr>
            <w:tcW w:w="5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 Written Premiums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Direct written premiums during the six months ended June 30, 2020 (“Six Months 2020”) were $79,347,000 compared to $82,310,000 during the six months ended June 30, 2019 (“Six Months 2019”). The decrease of $2,963,000, or 3.6%, was primarily due to an $8,580,000 decrease in premiums from our commercial lines business as result of our decision in July 2019 to no longer underwrite this line of business. Direct written premiums from our personal lines business for Six Months 2020 were $75,958,000, an increase of $7,811,000, or 11.5%, from $68,147,000 in Six Months 2019.</w:t>
      </w:r>
    </w:p>
    <w:p>
      <w:pPr>
        <w:spacing w:after="0" w:line="174" w:lineRule="exact"/>
        <w:rPr>
          <w:sz w:val="20"/>
          <w:szCs w:val="20"/>
          <w:color w:val="auto"/>
        </w:rPr>
      </w:pPr>
    </w:p>
    <w:p>
      <w:pPr>
        <w:jc w:val="both"/>
        <w:ind w:firstLine="732"/>
        <w:spacing w:after="0" w:line="238" w:lineRule="auto"/>
        <w:rPr>
          <w:sz w:val="20"/>
          <w:szCs w:val="20"/>
          <w:color w:val="auto"/>
        </w:rPr>
      </w:pPr>
      <w:r>
        <w:rPr>
          <w:rFonts w:ascii="Arial" w:cs="Arial" w:eastAsia="Arial" w:hAnsi="Arial"/>
          <w:sz w:val="22"/>
          <w:szCs w:val="22"/>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$15,095,000 in Six Months 2020 compared to $9,529,000 in Six Months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Written Premiums and Net Premiums Earned</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Our personal lines quota share reinsurance treaty in effect for Six Months 2019 was covered under a treaty covering a two-year period from July 1, 2017 through June 30, 2019 (“2017/2019 Treaty”). The treaty in effect during Six Months 2019 was covered under the July 1, 2018 through June 30, 2019 treaty year (“2018/2019 Treaty Year”). The following table describes the quota share reinsurance ceding rates in effect for each treaty year during Six Months 2020 and Six Months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10"/>
        </w:trPr>
        <w:tc>
          <w:tcPr>
            <w:tcW w:w="4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r>
      <w:tr>
        <w:trPr>
          <w:trHeight w:val="191"/>
        </w:trPr>
        <w:tc>
          <w:tcPr>
            <w:tcW w:w="4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("2018/2019</w:t>
            </w:r>
          </w:p>
        </w:tc>
        <w:tc>
          <w:tcPr>
            <w:tcW w:w="22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338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94"/>
              </w:rPr>
              <w:t>("2019/2020</w:t>
            </w:r>
          </w:p>
        </w:tc>
        <w:tc>
          <w:tcPr>
            <w:tcW w:w="2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Treaty</w:t>
            </w:r>
          </w:p>
        </w:tc>
      </w:tr>
      <w:tr>
        <w:trPr>
          <w:trHeight w:val="234"/>
        </w:trPr>
        <w:tc>
          <w:tcPr>
            <w:tcW w:w="4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Treaty")</w:t>
            </w:r>
          </w:p>
        </w:tc>
        <w:tc>
          <w:tcPr>
            <w:tcW w:w="26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color w:val="auto"/>
              </w:rPr>
              <w:t>Quota share reinsurance rates</w:t>
            </w:r>
          </w:p>
        </w:tc>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lines</w:t>
            </w:r>
          </w:p>
        </w:tc>
        <w:tc>
          <w:tcPr>
            <w:tcW w:w="3380" w:type="dxa"/>
            <w:vAlign w:val="bottom"/>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94"/>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(1)</w:t>
            </w:r>
          </w:p>
        </w:tc>
      </w:tr>
    </w:tbl>
    <w:p>
      <w:pPr>
        <w:spacing w:after="0" w:line="229" w:lineRule="exact"/>
        <w:rPr>
          <w:sz w:val="20"/>
          <w:szCs w:val="20"/>
          <w:color w:val="auto"/>
        </w:rPr>
      </w:pPr>
    </w:p>
    <w:p>
      <w:pPr>
        <w:ind w:left="920" w:right="140" w:hanging="453"/>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2018/2019 Treaty Year, covered under the 2017/2019 Treaty, expired on a run-off basis effective July 1, 2019 through June 30, 2020 (the “2019 Run-off”).</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2019/2020 Treaty was effective December 15, 2019 with a quota share reinsurance rate of 25%.</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See “Reinsurance” below for changes to our personal lines quota share treaty effective December 15, 2019, and July 1, 2019 and 2018.</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Net written premiums decreased $15,701,000, or 23.4%, to $51,281,000 in Six Months 2020 from $66,982,000 in Six Months 2019. Net written premiums include direct and assumed premiums, less the amount of written premiums ceded under our reinsurance treaties (quota share, excess of loss, and catastrophe). The decrease in net written premiums in Six Months 2020 was attributable to the inception of the 2019/2020 Treaty on December 15, 2019 and the decrease in commercial lines premiums, which are not subject to a quota share treaty. In Six Months 2020, our premiums ceded under quota share treaties increased by $9,637,000 over the comparable ceded premiums in Six Months 2019. Our personal lines business was subject to the 2017/2019 Treaty under the 2018/2019 Treaty Year through June 30, 2019. Following June 30, 2019, any earned premium and associated claims for policies still in force will continue to be ceded under the 10% quota share rate until such policies expire (run-off) over the next year. The 2019 Run-off period is from July 1, 2019 through June 30, 2020 and there was no return of unearned premiums under this arrangement.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Excess of loss reinsurance treaties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An increase in written premiums will increase the premiums ceded under our excess of loss treaties. In Six Months 2020, our ceded excess of loss reinsurance premiums increased by 114,000 over the comparable ceded premiums for Six Months 2019. The increase was due to an increase in premiums subject to excess of loss reinsurance.</w:t>
      </w:r>
    </w:p>
    <w:p>
      <w:pPr>
        <w:sectPr>
          <w:pgSz w:w="11900" w:h="16838" w:orient="portrait"/>
          <w:cols w:equalWidth="0" w:num="1">
            <w:col w:w="11240"/>
          </w:cols>
          <w:pgMar w:left="320" w:top="121" w:right="339" w:bottom="0" w:gutter="0" w:footer="0" w:header="0"/>
        </w:sectPr>
      </w:pPr>
    </w:p>
    <w:bookmarkStart w:id="33" w:name="page34"/>
    <w:bookmarkEnd w:id="33"/>
    <w:p>
      <w:pPr>
        <w:spacing w:after="0" w:line="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Catastrophe reinsurance treaties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Six Months 2020, our premiums ceded under catastrophe treaties increased by $2,987,000 over the comparable ceded premiums in Six Months 2019. The change was due to an increase in our catastrophe limit purchased, an increase in premiums subject to catastrophe reinsurance due to continued growth of our personal lines business, and an increase in reinsurance rates effective July 1, 2019. Our ceded catastrophe premiums are paid based on the total direct written premiums subject to the catastrophe reinsurance treaty.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Net premiums earned</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Net premiums earned decreased $7,219,000, or 11.9%, to $53,578,000 in Six Months 2020 from $60,797,000 in Six Months 2019. The decrease was due to the inception of the 2019/2020 Treaty on December 15, 2019 and the decrease in commercial lines premiums, which are not subject to a quota share treaty.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Ceding Commission Revenue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4,480</w:t>
            </w:r>
          </w:p>
        </w:tc>
        <w:tc>
          <w:tcPr>
            <w:tcW w:w="12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167.1%</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Contingent ceding commissions earned excluding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40"/>
              <w:spacing w:after="0"/>
              <w:rPr>
                <w:sz w:val="20"/>
                <w:szCs w:val="20"/>
                <w:color w:val="auto"/>
              </w:rPr>
            </w:pPr>
            <w:r>
              <w:rPr>
                <w:rFonts w:ascii="Arial" w:cs="Arial" w:eastAsia="Arial" w:hAnsi="Arial"/>
                <w:sz w:val="18"/>
                <w:szCs w:val="18"/>
                <w:color w:val="auto"/>
              </w:rPr>
              <w:t>the effect of catastrophes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2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Effect of catastrophes on ceding commissions earned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2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5,358</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274.3%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Ceding commission revenue was $7,311,000 in Six Months 2020 compared to $1,953,000 in Six Months 2019. The increase of $5,358,000, or 274.3%,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Provisional Ceding Commissions Earned</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receive a provisional ceding commission based on ceded written premiums. The $4,480,000 increase in provisional ceding commissions earned is primarily due to the increase in the quota share ceding rate effective December 15, 2019 to 25%, from the 10% rate in effect in Six Months 2019. There was an increase in ceded premiums in Six Months 2020 available from which to earn ceding commissions compared to Six Months 2019 due to the changes in quota share ceding rates and an increase in personal lines direct written premiums subject to the quota share.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Contingent Ceding Commissions Earned</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Investment Income</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Net investment income was $3,278,000 in Six Months 2020 compared to $3,343,000 in Six Months 2019, a decrease of $65,000, or 1.9%. The average yield on invested assets was 3.53% as of June 30, 2020 compared to 3.64% as of June 30, 2019. The pre-tax equivalent yield on invested assets was 3.09% and 3.43% as of June 30, 2020 and 2019, respectively.</w:t>
      </w:r>
    </w:p>
    <w:p>
      <w:pPr>
        <w:sectPr>
          <w:pgSz w:w="11900" w:h="16844" w:orient="portrait"/>
          <w:cols w:equalWidth="0" w:num="1">
            <w:col w:w="11240"/>
          </w:cols>
          <w:pgMar w:left="320" w:top="361" w:right="339" w:bottom="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Cash and invested assets were $218,739,000 as of June 30, 2020 compared to $212,130,000 as of June 30, 2019. The $6,608,000 increase in cash and invested assets was primarily attributable to an increase in operating cash flows for the periods after June 30,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Gains and Losses on Investments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Net losses on investments were $3,746,000 in Six Months 2020 compared to a net gain of $2,714,000 in Six Months 2019. Unrealized losses on our equity securities and other investments in Six Months 2020 were $4,022,000, compared to unrealized gains of $2,713,000 in Six Months 2019. Realized gains on sales of investments were $275,000 in Six Months 2020 compared to $1000 in Six Months 2019. Unrealized losses in Six Months 2020 were due to the market fluctuations related to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Income</w:t>
      </w:r>
    </w:p>
    <w:p>
      <w:pPr>
        <w:spacing w:after="0" w:line="233"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22"/>
          <w:szCs w:val="22"/>
          <w:color w:val="auto"/>
        </w:rPr>
        <w:t>Other income was $1,313,000 in Six Months 2020 compared to $696,000 in Six Months 2019. The increase of $617,000, or 88.6%, was primarily due to commission revenue from Cosi.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Loss and LAE</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Net loss and LAE was $29,199,000 in Six Months 2020 compared to $48,806,000 in Six Months 2019. The net loss ratio was 54.5% in Six Months 2020 compared to 77.0% in Six Months 2019, an improvement of 22.5 percentage points.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141605</wp:posOffset>
            </wp:positionV>
            <wp:extent cx="5220335" cy="386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203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640"/>
        <w:spacing w:after="0"/>
        <w:rPr>
          <w:sz w:val="20"/>
          <w:szCs w:val="20"/>
          <w:color w:val="auto"/>
        </w:rPr>
      </w:pPr>
      <w:r>
        <w:rPr>
          <w:rFonts w:ascii="Arial" w:cs="Arial" w:eastAsia="Arial" w:hAnsi="Arial"/>
          <w:sz w:val="22"/>
          <w:szCs w:val="22"/>
          <w:i w:val="1"/>
          <w:iCs w:val="1"/>
          <w:color w:val="auto"/>
        </w:rPr>
        <w:t>(Components may not sum to totals due to rounding)</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Six Months 2020, the loss ratio improved 22.5 points, from 77.0% in Six Months 2019 to 54.5% in Six Months 2020. The loss ratio improved due to several factors, including a reduction in the impact of winter weather catastrophes, reduced impact from prior year loss development, and an improvement in the core loss ratio driven by reductions in claim frequency affecting both personal lines and Auto Physical Damage.</w:t>
      </w:r>
    </w:p>
    <w:p>
      <w:pPr>
        <w:sectPr>
          <w:pgSz w:w="11900" w:h="16838" w:orient="portrait"/>
          <w:cols w:equalWidth="0" w:num="1">
            <w:col w:w="11240"/>
          </w:cols>
          <w:pgMar w:left="320" w:top="584" w:right="339" w:bottom="0" w:gutter="0" w:footer="0" w:header="0"/>
        </w:sectPr>
      </w:pPr>
    </w:p>
    <w:bookmarkStart w:id="35" w:name="page36"/>
    <w:bookmarkEnd w:id="35"/>
    <w:p>
      <w:pPr>
        <w:jc w:val="both"/>
        <w:ind w:firstLine="648"/>
        <w:spacing w:after="0" w:line="287" w:lineRule="auto"/>
        <w:rPr>
          <w:sz w:val="20"/>
          <w:szCs w:val="20"/>
          <w:color w:val="auto"/>
        </w:rPr>
      </w:pPr>
      <w:r>
        <w:rPr>
          <w:rFonts w:ascii="Arial" w:cs="Arial" w:eastAsia="Arial" w:hAnsi="Arial"/>
          <w:sz w:val="19"/>
          <w:szCs w:val="19"/>
          <w:color w:val="auto"/>
        </w:rPr>
        <w:t>Prior year development has been slightly favorable for the Six Months 2020, with a 0.3 points of favorable impact on the overall loss ratio. The favorable loss development for the Six Months 2020 compares to 10.0 points of unfavorable impact in the Six Months 2019, which was primarily related to adverse loss development from commercial lines business, now in runoff. The impact of prior year development was 10.3 points more favorable in Six Months 2020 compared to the prior year period.</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impact of catastrophe losses was lower in Six Months 2020 when compared to the prior period. In the Six Months 2020 there was a much smaller impact from winter catastrophes events than in 2019. Catastrophe events through Six Months 2020 had a 3.2 point impact on the loss ratio, as compared to a 10.7 impact from catastrophe events in the Six Months 2019, or a decrease in the impact from catastrophe events of 7.5 points compared to the prior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underlying loss ratio (loss ratio excluding the impact of catastrophes and prior year development) was 51.6% for the Six Months 2020, a decrease of 4.7 points from the 56.3% underlying loss ratio recorded for Six Months 2019. The improvement was primarily due to reduced core claim frequency in personal lines and reduced claim frequency in the Auto Physical Damage line. Excluding commercial lines, the underlying loss ratio improved 3.5 points, from 53.1% for Six Months 2019 to 49.6% for the Six Months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table below under “Additional Financial Information” summarizing net loss ratios by line of business.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Commission Expense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Commission expense was $15,750,000 in Six Months 2020 or 18.6% of direct earned premiums. Commission expense was $14,153,000 in Six Months 2019 or 18.7% of direct earned premiums. The increase of $1,597,000 is primarily due to the increase in direct earned premiums for Six Months 2020 as compared to Six Months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Underwriting Expenses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Other underwriting expenses were $13,087,000 in Six Months 2020 compared to $11,552,000 in Six Months 2019. The increase of $1,535,000, or 13.3%, was primarily due to expenses related to growth in personal lines direct written premiums and salaries. Expenses directly related to the increase in personal lines direct written premiums primarily consist of underwriting expenses, software usage fees, and state premium taxes. Expenses indirectly related to the increase in personal lines direct written premiums primarily consist of salaries along with related other employment costs.</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largest single component of other underwriting expenses is salaries and employment costs, with costs of $5,342,000 in Six Months 2020 compared to $4,899,000 in Six Months 2019. The increase of $443,000, or 9.0%, was less than the 11.5% increase in personal lines direct written premiums. The increase in employment costs was attributable to the hiring of additional highly experienced management, offset by staff reductions.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Our net underwriting expense ratio in Six Months 2020 was 39.2% compared to 38.0% in Six Months 2019. The following table shows the individual components of our net underwriting expense ratio for the periods indicated:</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426"/>
        </w:trPr>
        <w:tc>
          <w:tcPr>
            <w:tcW w:w="6100" w:type="dxa"/>
            <w:vAlign w:val="bottom"/>
            <w:gridSpan w:val="2"/>
          </w:tcPr>
          <w:p>
            <w:pPr>
              <w:spacing w:after="0"/>
              <w:rPr>
                <w:sz w:val="20"/>
                <w:szCs w:val="20"/>
                <w:color w:val="auto"/>
              </w:rPr>
            </w:pPr>
            <w:r>
              <w:rPr>
                <w:rFonts w:ascii="Arial" w:cs="Arial" w:eastAsia="Arial" w:hAnsi="Arial"/>
                <w:sz w:val="18"/>
                <w:szCs w:val="18"/>
                <w:color w:val="auto"/>
              </w:rPr>
              <w:t>Other underwriting expenses</w:t>
            </w: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Employment costs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80"/>
              <w:spacing w:after="0"/>
              <w:rPr>
                <w:sz w:val="20"/>
                <w:szCs w:val="20"/>
                <w:color w:val="auto"/>
              </w:rPr>
            </w:pPr>
            <w:r>
              <w:rPr>
                <w:rFonts w:ascii="Arial" w:cs="Arial" w:eastAsia="Arial" w:hAnsi="Arial"/>
                <w:sz w:val="18"/>
                <w:szCs w:val="18"/>
                <w:color w:val="auto"/>
              </w:rPr>
              <w:t>Underwriting fees (inspections/data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Provisional</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80"/>
              <w:spacing w:after="0"/>
              <w:rPr>
                <w:sz w:val="20"/>
                <w:szCs w:val="20"/>
                <w:color w:val="auto"/>
              </w:rPr>
            </w:pPr>
            <w:r>
              <w:rPr>
                <w:rFonts w:ascii="Arial" w:cs="Arial" w:eastAsia="Arial" w:hAnsi="Arial"/>
                <w:sz w:val="18"/>
                <w:szCs w:val="18"/>
                <w:color w:val="auto"/>
              </w:rPr>
              <w:t>Contingent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Commission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1" w:right="339" w:bottom="0" w:gutter="0" w:footer="0" w:header="0"/>
        </w:sectPr>
      </w:pPr>
    </w:p>
    <w:bookmarkStart w:id="36" w:name="page37"/>
    <w:bookmarkEnd w:id="36"/>
    <w:p>
      <w:pPr>
        <w:spacing w:after="0" w:line="9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underwriting expense ratio</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overall 9.0 percentage point increase in the benefit from provisional ceding commissions was driven entirely by the change in our quota share ceding rates and its impact on provisional ceding commission revenue due to less retention beginning with the inception of the 2019/2020 Treaty on December 15, 2019, resulting in an increase in provisional ceding commissions. The components of our net underwriting expense ratio related to other underwriting expenses, other income and commissions increased in all categories due to less retention beginning with the inception of 2019/2020 Treaty on December 15, 2019, resulting in an overall 1.2 percentage point increase in the net underwriting expense ratio.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Operating Expenses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Other operating expenses, related to the expenses of our holding company and Cosi, were $2,983,000 for Six Months 2020 compared to $2,069,000 for Six Months 2019. The increase in Six Months 2020 of $914,000, or 44.2%, as compared to Six Months 2019 was primarily due to increases in equity compensation, commissions incurred by Cosi and professional fees. The increase in equity compensation was due to an annual restricted stock award pursuant to the employment agreement with Barry B. Goldstein, our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Depreciation and Amortization</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Depreciation and amortization was $1,360,000 in Six Months 2020 compared to $1,230,000 in Six Months 2019. The increase of $130,000, or 10.6%, in depreciation and amortization was primarily due to depreciation of our new systems platform for handling business being written in Expansion states, newly purchased assets used to upgrade our systems infrastructure and improvements to the Kingston, New York home office building from which we operate.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Interest Expense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Interest expense was $913,000 for both Six Months 2020 and Six Months 2019. We incurred interest expense in connection with our $30.0 million issuance of long-term debt in December 2017.</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 Benefit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Income tax benefit in Six Months 2020 was $724,000, which resulted in an effective tax benefit rate of 46.4%. Income tax benefit in Six Months 2019 was $1,524,000, which resulted in an effective tax benefit rate of 21.1%. Loss before taxes was $1,560,000 in Six Months 2020 compared to loss before taxes of $7,220,000 in Six Months 2019. On March 27, 2020, the Coronavirus Aid, Relief, and Economic Security (CARES) Act was signed into law, allowing for a five year carryback of 2019 NOL’s. We will elect on our 2019 federal income tax return to carry back the 2019 NOL of $7,222,000 to tax years 2014 and 2015. The corporate tax rate in 2014 and 2015 was 34%, compared to the corporate tax rate of 21% in 2019.</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Loss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loss was $836,000 in Six Months 2020 compared to net loss of $5,696,000 in Six Months 2019. The decrease in net loss of $4,860,000 was due to the circumstances described above, which caused the decrease in our net loss ratio, increase in ceding commission revenue and other income, partially offset by the decrease in our net premiums earned, and increases in net losses on investments, other underwriting and operating expenses, and depreciation and amortization.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Three Months Ended June 30, 2020 Compared to Three Months Ended June 30, 2019</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the changes in the results of our operations (in thousands)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42,650</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6,360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bl>
    <w:p>
      <w:pPr>
        <w:sectPr>
          <w:pgSz w:w="11900" w:h="16932" w:orient="portrait"/>
          <w:cols w:equalWidth="0" w:num="1">
            <w:col w:w="11240"/>
          </w:cols>
          <w:pgMar w:left="320" w:top="125" w:right="3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Net written premiums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28,090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36,621</w:t>
            </w: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(8,531)</w:t>
            </w: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(5,828)</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Ceded to quota share treaties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(1,334)</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42,123</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38,993</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3,130</w:t>
            </w: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(7,792)</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(4,564)</w:t>
            </w: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2,805</w:t>
            </w:r>
          </w:p>
        </w:tc>
        <w:tc>
          <w:tcPr>
            <w:tcW w:w="104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catastrophes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220"/>
              <w:spacing w:after="0"/>
              <w:rPr>
                <w:sz w:val="20"/>
                <w:szCs w:val="20"/>
                <w:color w:val="auto"/>
              </w:rPr>
            </w:pPr>
            <w:r>
              <w:rPr>
                <w:rFonts w:ascii="Arial" w:cs="Arial" w:eastAsia="Arial" w:hAnsi="Arial"/>
                <w:sz w:val="18"/>
                <w:szCs w:val="18"/>
                <w:color w:val="auto"/>
              </w:rPr>
              <w:t>Total ceding commission revenue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2,805</w:t>
            </w:r>
          </w:p>
        </w:tc>
        <w:tc>
          <w:tcPr>
            <w:tcW w:w="104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Net gains on investments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2,698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2,019</w:t>
            </w:r>
          </w:p>
        </w:tc>
        <w:tc>
          <w:tcPr>
            <w:tcW w:w="1040" w:type="dxa"/>
            <w:vAlign w:val="bottom"/>
          </w:tcPr>
          <w:p>
            <w:pPr>
              <w:jc w:val="right"/>
              <w:spacing w:after="0"/>
              <w:rPr>
                <w:sz w:val="20"/>
                <w:szCs w:val="20"/>
                <w:color w:val="auto"/>
              </w:rPr>
            </w:pPr>
            <w:r>
              <w:rPr>
                <w:rFonts w:ascii="Arial" w:cs="Arial" w:eastAsia="Arial" w:hAnsi="Arial"/>
                <w:sz w:val="18"/>
                <w:szCs w:val="18"/>
                <w:color w:val="auto"/>
              </w:rPr>
              <w:t>297.3%</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506</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15,109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19,521</w:t>
            </w: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(4,412)</w:t>
            </w: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Losses from catastrophes (1)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(3,992)</w:t>
            </w: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Losses from catastrophes (1)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346</w:t>
            </w:r>
          </w:p>
        </w:tc>
        <w:tc>
          <w:tcPr>
            <w:tcW w:w="104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11,301</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16,234</w:t>
            </w: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(4,933)</w:t>
            </w: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Losses from catastrophes (1)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8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17,672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(4,859)</w:t>
            </w: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7,851</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7,300</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551</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1,097</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323</w:t>
            </w: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567</w:t>
            </w:r>
          </w:p>
        </w:tc>
        <w:tc>
          <w:tcPr>
            <w:tcW w:w="104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2,969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firstLine="8"/>
        <w:spacing w:after="0" w:line="238" w:lineRule="auto"/>
        <w:tabs>
          <w:tab w:leader="none" w:pos="32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three months ended June 30,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426"/>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39.2%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5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 Written Premiums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Direct written premiums during the three months ended June 30, 2020 (“Three Months 2020”) were $42,650,000 compared to $44,821,000 during the three months ended June 30, 2019 (“Three Months 2019”). The decrease of $2,171,000, or 4.8%, was primarily due to a $3,866,000 decrease in premiums from our commercial lines business as result of our decision in</w:t>
      </w:r>
    </w:p>
    <w:p>
      <w:pPr>
        <w:sectPr>
          <w:pgSz w:w="11900" w:h="16838" w:orient="portrait"/>
          <w:cols w:equalWidth="0" w:num="1">
            <w:col w:w="11240"/>
          </w:cols>
          <w:pgMar w:left="320" w:top="120" w:right="339" w:bottom="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1"/>
          <w:szCs w:val="21"/>
          <w:color w:val="auto"/>
        </w:rPr>
        <w:t>July 2019 to no longer underwrite this line of business. Direct written premiums from our personal lines business for Three Months 2020 were $41,523,000, an increase of $3,475,000, or 9.1%, from $38,048,000 in Three Months 2019.</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$8,760,000 in Three Months 2020 compared to $6,297,000 in Three Months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Written Premiums and Net Premiums Earned</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Our personal lines quota share reinsurance treaty in effect for Three Months 2019 was covered under a treaty covering a two-year period from July 1, 2017 through June 30, 2019 (“2017/2019 Treaty”). The treaty in effect during Three Months 2019 was covered under the July 1, 2018 through June 30, 2019 treaty year (“2018/2019 Treaty Year”). The following table describes the quota share reinsurance ceding rates in effect for each treaty year during Three Months 2020 and Three Months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188"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Three months ended June</w:t>
      </w:r>
    </w:p>
    <w:p>
      <w:pPr>
        <w:spacing w:after="0" w:line="2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5715</wp:posOffset>
            </wp:positionV>
            <wp:extent cx="13201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8600"/>
        <w:spacing w:after="0"/>
        <w:tabs>
          <w:tab w:leader="none" w:pos="97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14605</wp:posOffset>
            </wp:positionV>
            <wp:extent cx="13201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("2018/2019</w:t>
      </w:r>
    </w:p>
    <w:p>
      <w:pPr>
        <w:spacing w:after="0" w:line="23" w:lineRule="exact"/>
        <w:rPr>
          <w:sz w:val="20"/>
          <w:szCs w:val="20"/>
          <w:color w:val="auto"/>
        </w:rPr>
      </w:pPr>
    </w:p>
    <w:p>
      <w:pPr>
        <w:ind w:left="8320"/>
        <w:spacing w:after="0"/>
        <w:tabs>
          <w:tab w:leader="none" w:pos="9660" w:val="left"/>
        </w:tabs>
        <w:rPr>
          <w:sz w:val="20"/>
          <w:szCs w:val="20"/>
          <w:color w:val="auto"/>
        </w:rPr>
      </w:pPr>
      <w:r>
        <w:rPr>
          <w:rFonts w:ascii="Arial" w:cs="Arial" w:eastAsia="Arial" w:hAnsi="Arial"/>
          <w:sz w:val="18"/>
          <w:szCs w:val="18"/>
          <w:b w:val="1"/>
          <w:bCs w:val="1"/>
          <w:color w:val="auto"/>
        </w:rPr>
        <w:t>("2019/2020</w:t>
      </w:r>
      <w:r>
        <w:rPr>
          <w:sz w:val="20"/>
          <w:szCs w:val="20"/>
          <w:color w:val="auto"/>
        </w:rPr>
        <w:tab/>
      </w:r>
      <w:r>
        <w:rPr>
          <w:rFonts w:ascii="Arial" w:cs="Arial" w:eastAsia="Arial" w:hAnsi="Arial"/>
          <w:sz w:val="18"/>
          <w:szCs w:val="18"/>
          <w:b w:val="1"/>
          <w:bCs w:val="1"/>
          <w:color w:val="auto"/>
        </w:rPr>
        <w:t>Treaty</w:t>
      </w:r>
    </w:p>
    <w:p>
      <w:pPr>
        <w:spacing w:after="0" w:line="9" w:lineRule="exact"/>
        <w:rPr>
          <w:sz w:val="20"/>
          <w:szCs w:val="20"/>
          <w:color w:val="auto"/>
        </w:rPr>
      </w:pPr>
    </w:p>
    <w:p>
      <w:pPr>
        <w:ind w:left="8460"/>
        <w:spacing w:after="0"/>
        <w:tabs>
          <w:tab w:leader="none" w:pos="9640" w:val="left"/>
        </w:tabs>
        <w:rPr>
          <w:sz w:val="20"/>
          <w:szCs w:val="20"/>
          <w:color w:val="auto"/>
        </w:rPr>
      </w:pPr>
      <w:r>
        <w:rPr>
          <w:rFonts w:ascii="Arial" w:cs="Arial" w:eastAsia="Arial" w:hAnsi="Arial"/>
          <w:sz w:val="18"/>
          <w:szCs w:val="18"/>
          <w:b w:val="1"/>
          <w:bCs w:val="1"/>
          <w:color w:val="auto"/>
        </w:rPr>
        <w:t>Treaty")</w:t>
      </w:r>
      <w:r>
        <w:rPr>
          <w:sz w:val="20"/>
          <w:szCs w:val="20"/>
          <w:color w:val="auto"/>
        </w:rPr>
        <w:tab/>
      </w:r>
      <w:r>
        <w:rPr>
          <w:rFonts w:ascii="Arial" w:cs="Arial" w:eastAsia="Arial" w:hAnsi="Arial"/>
          <w:sz w:val="18"/>
          <w:szCs w:val="18"/>
          <w:b w:val="1"/>
          <w:bCs w:val="1"/>
          <w:color w:val="auto"/>
        </w:rPr>
        <w:t>Year")</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4980" w:type="dxa"/>
            <w:vAlign w:val="bottom"/>
          </w:tcPr>
          <w:p>
            <w:pPr>
              <w:spacing w:after="0"/>
              <w:rPr>
                <w:sz w:val="20"/>
                <w:szCs w:val="20"/>
                <w:color w:val="auto"/>
              </w:rPr>
            </w:pPr>
            <w:r>
              <w:rPr>
                <w:rFonts w:ascii="Arial" w:cs="Arial" w:eastAsia="Arial" w:hAnsi="Arial"/>
                <w:sz w:val="18"/>
                <w:szCs w:val="18"/>
                <w:b w:val="1"/>
                <w:bCs w:val="1"/>
                <w:color w:val="auto"/>
              </w:rPr>
              <w:t>Quota share reinsurance rates</w:t>
            </w:r>
          </w:p>
        </w:tc>
        <w:tc>
          <w:tcPr>
            <w:tcW w:w="3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80" w:type="dxa"/>
            <w:vAlign w:val="bottom"/>
          </w:tcPr>
          <w:p>
            <w:pPr>
              <w:ind w:left="200"/>
              <w:spacing w:after="0"/>
              <w:rPr>
                <w:sz w:val="20"/>
                <w:szCs w:val="20"/>
                <w:color w:val="auto"/>
              </w:rPr>
            </w:pPr>
            <w:r>
              <w:rPr>
                <w:rFonts w:ascii="Arial" w:cs="Arial" w:eastAsia="Arial" w:hAnsi="Arial"/>
                <w:sz w:val="18"/>
                <w:szCs w:val="18"/>
                <w:color w:val="auto"/>
              </w:rPr>
              <w:t>Personal lines</w:t>
            </w:r>
          </w:p>
        </w:tc>
        <w:tc>
          <w:tcPr>
            <w:tcW w:w="3520" w:type="dxa"/>
            <w:vAlign w:val="bottom"/>
          </w:tcPr>
          <w:p>
            <w:pPr>
              <w:jc w:val="right"/>
              <w:ind w:right="190"/>
              <w:spacing w:after="0"/>
              <w:rPr>
                <w:sz w:val="20"/>
                <w:szCs w:val="20"/>
                <w:color w:val="auto"/>
              </w:rPr>
            </w:pPr>
            <w:r>
              <w:rPr>
                <w:rFonts w:ascii="Arial" w:cs="Arial" w:eastAsia="Arial" w:hAnsi="Arial"/>
                <w:sz w:val="18"/>
                <w:szCs w:val="18"/>
                <w:color w:val="auto"/>
              </w:rPr>
              <w:t>25% (2)</w:t>
            </w:r>
          </w:p>
        </w:tc>
        <w:tc>
          <w:tcPr>
            <w:tcW w:w="860" w:type="dxa"/>
            <w:vAlign w:val="bottom"/>
          </w:tcPr>
          <w:p>
            <w:pPr>
              <w:jc w:val="right"/>
              <w:spacing w:after="0"/>
              <w:rPr>
                <w:sz w:val="20"/>
                <w:szCs w:val="20"/>
                <w:color w:val="auto"/>
              </w:rPr>
            </w:pPr>
            <w:r>
              <w:rPr>
                <w:rFonts w:ascii="Arial" w:cs="Arial" w:eastAsia="Arial" w:hAnsi="Arial"/>
                <w:sz w:val="18"/>
                <w:szCs w:val="18"/>
                <w:color w:val="auto"/>
              </w:rPr>
              <w:t>10%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-136525</wp:posOffset>
            </wp:positionV>
            <wp:extent cx="606044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209" w:lineRule="exact"/>
        <w:rPr>
          <w:sz w:val="20"/>
          <w:szCs w:val="20"/>
          <w:color w:val="auto"/>
        </w:rPr>
      </w:pPr>
    </w:p>
    <w:p>
      <w:pPr>
        <w:ind w:left="9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2018/2019 Treaty Year, covered under the 2017/2019 Treaty, expired on a run-off basis effective July 1, 2019 through June 30, 2020 (the “2019 Run-off”).</w:t>
      </w:r>
    </w:p>
    <w:p>
      <w:pPr>
        <w:spacing w:after="0" w:line="170"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2019/2020 Treaty was effective December 15, 2019 with a quota share reinsurance rate of 25%. See “Reinsurance” below for changes to our personal lines quota share treaty effective December 15, 2019, and July 1, 2019 and 2018.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Net written premiums decreased $8,531,000, or 23.3%, to $28,090,000 in Three Months 2020 from $36,621,000 in Three Months 2019. Net written premiums include direct and assumed premiums, less the amount of written premiums ceded under our reinsurance treaties (quota share, excess of loss, and catastrophe). The decrease in net written premiums in Three Months 2020 was attributable to the inception of the 2019/2020 Treaty on December 15, 2019 and the decrease in commercial lines premiums, which are not subject to a quota share treaty. In Three Months 2020, our premiums ceded under quota share treaties increased by $5,198,000 over the comparable ceded premiums in Three Months 2019. Our personal lines business was subject to the 2017/2019 Treaty under the 2018/2019 Treaty Year through June 30, 2019. Following June 30, 2019, any earned premium and associated claims for policies still in force will continue to be ceded under the 10% quota share rate until such policies expire (run-off) over the next year. The 2019 Run-off period is from July 1, 2019 through June 30, 2020 and there was no return of unearned premiums under this arrangement.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Excess of loss reinsurance treaties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 increase in written premiums will increase the premiums ceded under our excess of loss treaties. In Three Months 2020, our ceded excess of loss reinsurance premiums increased by $23,000 over the comparable ceded premiums for Three Months 2019. The increase was due to an increase in premiums subject to excess of loss reinsurance.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Catastrophe reinsurance treaties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2020, our premiums ceded under catastrophe treaties increased by $1,140,000 over the comparable ceded premiums in Three Months 2019. The change was due to an increase in our catastrophe limit purchased, an increase in premiums subject to catastrophe reinsurance due to continued growth of our personal lines business, and an increase in reinsurance rates effective July 1, 2019. Our ceded catastrophe premiums are paid based on the total direct written premiums subject to the catastrophe reinsurance treaty.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Net premiums earned</w:t>
      </w:r>
    </w:p>
    <w:p>
      <w:pPr>
        <w:sectPr>
          <w:pgSz w:w="11900" w:h="16838" w:orient="portrait"/>
          <w:cols w:equalWidth="0" w:num="1">
            <w:col w:w="11240"/>
          </w:cols>
          <w:pgMar w:left="320" w:top="118" w:right="339" w:bottom="0" w:gutter="0" w:footer="0" w:header="0"/>
        </w:sectPr>
      </w:pPr>
    </w:p>
    <w:bookmarkStart w:id="39" w:name="page40"/>
    <w:bookmarkEnd w:id="39"/>
    <w:p>
      <w:pPr>
        <w:jc w:val="both"/>
        <w:ind w:firstLine="648"/>
        <w:spacing w:after="0" w:line="241" w:lineRule="auto"/>
        <w:rPr>
          <w:sz w:val="20"/>
          <w:szCs w:val="20"/>
          <w:color w:val="auto"/>
        </w:rPr>
      </w:pPr>
      <w:r>
        <w:rPr>
          <w:rFonts w:ascii="Arial" w:cs="Arial" w:eastAsia="Arial" w:hAnsi="Arial"/>
          <w:sz w:val="22"/>
          <w:szCs w:val="22"/>
          <w:color w:val="auto"/>
        </w:rPr>
        <w:t>Net premiums earned decreased $4,564,000, or 14.6%, to $26,637,000 in Three Months 2020 from $31,201,000 in Three Months 2019. The decrease was due to the inception of the 2019/2020 Treaty on December 15, 2019 and the decrease in commercial lines premiums, which are not subject to a quota share treaty.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Ceding Commission Revenue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w:t>
            </w:r>
          </w:p>
        </w:tc>
        <w:tc>
          <w:tcPr>
            <w:tcW w:w="12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152.5%</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Contingent ceding commissions earned excluding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the effect of catastrophes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12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Effect of catastrophes on ceding commissions earned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9"/>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12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2,805</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415.6%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Ceding commission revenue was $3,480,000 in Three Months 2020 compared to $675,000 in Three Months 2019. The increase of $2,805,000, or 415.6%,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Provisional Ceding Commissions Earned</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receive a provisional ceding commission based on ceded written premiums. The $2,078,000 increase in provisional ceding commissions earned is primarily due to the increase in the quota share ceding rate effective December 15, 2019 to 25%, from the 10% rate in effect in Three Months 2019. There was an increase in ceded premiums in Three Months 2020 available from which to earn ceding commissions compared to Three Months 2019 due to the changes in quota share ceding rates and an increase in personal lines direct written premiums subject to the quota share.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Contingent Ceding Commissions Earned</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Investment Income</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Net investment income was $1,612,000 in Three Months 2020 compared to $1,719,000 in Three Months 2019, a decrease of $107,000, or 6.2%. The average yield on invested assets was 3.53% as of June 30, 2020 compared to 3.64% as of June 30, 2019. The pre-tax equivalent yield on invested assets was 3.09% and 3.43% as of June 30, 2020 and 2019, respectively.</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Cash and invested assets were $218,739,000 as of June 30, 2020 compared to $212,130,000 as of June 30, 2019. The $6,608,000 increase in cash and invested assets was primarily attributable to an increase in operating cash flows for the periods after June 30,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Gains and Losses on Investments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Net gains on investments were $2,697,000 in Three Months 2020 compared to $679,000 in Three Months 2019. Unrealized losses on our equity securities and other investments in Three Months 2020 were $2,732,000, compared to unrealized</w:t>
      </w:r>
    </w:p>
    <w:p>
      <w:pPr>
        <w:sectPr>
          <w:pgSz w:w="11900" w:h="16838" w:orient="portrait"/>
          <w:cols w:equalWidth="0" w:num="1">
            <w:col w:w="11240"/>
          </w:cols>
          <w:pgMar w:left="320" w:top="118" w:right="339" w:bottom="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22"/>
          <w:szCs w:val="22"/>
          <w:color w:val="auto"/>
        </w:rPr>
        <w:t>gains of $628,000 in Three Months 2019. Realized losses on sales of investments were $35,000 in Three Months 2020 compared to $50,000 in Three Months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Income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Other income was $683,000 in Three Months 2020 compared to $330,000 in Three Months 2019. The increase of $353,000, or 107.0%, was primarily due to commission revenue from Cosi.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Loss and LAE</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Net loss and LAE was $12,813,000 in Three Months 2020 compared to $17,672,000 in Three Months 2019. The net loss ratio was 48.1% in Three Months 2020 compared to 56.6% in Three Months 2019, an improvement of 8.5 percentage points.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wp:posOffset>
            </wp:positionV>
            <wp:extent cx="5220335" cy="4131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20335"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640"/>
        <w:spacing w:after="0"/>
        <w:rPr>
          <w:sz w:val="20"/>
          <w:szCs w:val="20"/>
          <w:color w:val="auto"/>
        </w:rPr>
      </w:pPr>
      <w:r>
        <w:rPr>
          <w:rFonts w:ascii="Arial" w:cs="Arial" w:eastAsia="Arial" w:hAnsi="Arial"/>
          <w:sz w:val="22"/>
          <w:szCs w:val="22"/>
          <w:i w:val="1"/>
          <w:iCs w:val="1"/>
          <w:color w:val="auto"/>
        </w:rPr>
        <w:t>(Components may not sum to totals due to rounding)</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Three Months 2020, the loss ratio improved 8.5 points, from 56.6% in Three Months 2019 to 48.1%. The loss ratio improved due to decreased claim frequency affecting both personal lines and auto physical damage, as well as a reduction in the impact of prior year loss development. This was partially offset by an increase in the impact of catastrophe losses for the quarter ended June 30, 2020.</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Prior year development was slightly favorable in Three Months 2020, with a 0.2 point favorable impact to the overall loss ratio. This was the third consecutive quarter of stable prior year loss development. The favorable loss development for Three Months 2020 compares to 5.0 points of unfavorable impact in Three Months 2019, which was primarily related to adverse loss development from commercial lines business, now in runoff. The impact of prior year development was 5.2 points more favorable in Three Months 2020 compared to the prior year period.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18" w:right="339" w:bottom="0" w:gutter="0" w:footer="0" w:header="0"/>
        </w:sectPr>
      </w:pPr>
    </w:p>
    <w:p>
      <w:pPr>
        <w:spacing w:after="0" w:line="24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impact of catastrophe losses was slightly greater in Three Months 2020 when compared to Three Months 2019. In the Three Months 2020 there were several small cat events and one larger wind event in April. These events had a 5.7 point</w:t>
      </w:r>
    </w:p>
    <w:p>
      <w:pPr>
        <w:sectPr>
          <w:pgSz w:w="11900" w:h="16838" w:orient="portrait"/>
          <w:cols w:equalWidth="0" w:num="1">
            <w:col w:w="11240"/>
          </w:cols>
          <w:pgMar w:left="320" w:top="118" w:right="339" w:bottom="0" w:gutter="0" w:footer="0" w:header="0"/>
          <w:type w:val="continuous"/>
        </w:sectPr>
      </w:pPr>
    </w:p>
    <w:bookmarkStart w:id="41" w:name="page42"/>
    <w:bookmarkEnd w:id="41"/>
    <w:p>
      <w:pPr>
        <w:spacing w:after="0" w:line="8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impact on the loss ratio for the quarter. This compares to a 4.6 impact from catastrophe events in the Three Months 2019, or an increase in impact from catastrophe events of 1.1 points compared to the prior period.</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underlying loss ratio (loss ratio excluding the impact of catastrophes and prior year development) was 42.6% for Three Months 2020, a decrease of 4.5 points from the 47.1% underlying loss ratio recorded for Three Months 2019. The improvement was primarily due to reduced core claim frequency in personal lines, and well as a large reduction in claims frequency in the Auto Physical Damage line. Excluding commercial lines, the underlying loss ratio improved 1.3 points, from 43.5% for Three Months 2019 to 42.2% for Three Months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table below under “Additional Financial Information” summarizing net loss ratios by line of business.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Commission Expense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Commission expense was $7,851,000 in Three Months 2020 or 18.6% of direct earned premiums. Commission expense was $7,300,000 in Three Months 2019 or 18.7% of direct earned premiums. The increase of $551,000 is primarily due to the increase in direct earned premiums for Three Months 2020 as compared to Three Months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Underwriting Expenses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Other underwriting expenses were $6,325,000 in Three Months 2020 compared to $5,416,000 in Three Months 2019. The increase of $909,000, or 16.8%, was primarily due to expenses related to growth in personal lines direct written premiums. Expenses directly related to the increase in personal lines direct written premiums primarily consist of underwriting expenses, software usage fees, and state premium taxes. Expenses indirectly related to the increase in personal lines direct written premiums primarily consist of salaries along with related other employment costs.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largest single component of other underwriting expenses is salaries and employment costs, with costs of $2,602,000 in Three Months 2020 compared to $2,347,000 in Three Months 2019. The increase of $255,000, or 10.9%, was more than the 9.1% increase in personal lines direct written premiums. The increase in employment costs was attributable to the hiring of additional highly experienced management, offset by staff reductions.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Our net underwriting expense ratio in Three Months 2020 was 39.2% compared to 37.5% in Three Months 2019. The following table shows the individual components of our net underwriting expense ratio for the periods indicated:</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3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4"/>
              </w:rPr>
              <w:t>June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Other underwriting expenses</w:t>
            </w: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Employment costs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Underwriting fees (inspections/data services)</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Total other underwriting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Provisional</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Contingent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ceding commission revenue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Commission expense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underwriting expense ratio</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overall 8.5 percentage point increase in the benefit from provisional ceding commissions was driven entirely by the change in our quota share ceding rates and its impact on provisional ceding commission revenue due to less retention beginning with the inception of the 2019/2020 Treaty on December 15, 2019, resulting in an increase in provisional ceding commissions. The components of our net underwriting expense ratio related to other underwriting expenses, other income and commissions increased in all categories due to less retention beginning with the inception of 2019/2020 Treaty on December 15, 2019, resulting in an overall 1.7 percentage point increase in the net underwriting expense ratio.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Operating Expenses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Other operating expenses, related to the expenses of our holding company and Cosi, were $1,420,000 for Three Months 2020 compared to $1,097,000 for Three Months 2019. The increase in Three Months 2020 of $323,000, or 29.4%, as compared</w:t>
      </w:r>
    </w:p>
    <w:p>
      <w:pPr>
        <w:sectPr>
          <w:pgSz w:w="11900" w:h="16927" w:orient="portrait"/>
          <w:cols w:equalWidth="0" w:num="1">
            <w:col w:w="11240"/>
          </w:cols>
          <w:pgMar w:left="320" w:top="118" w:right="339" w:bottom="0" w:gutter="0" w:footer="0" w:header="0"/>
        </w:sectPr>
      </w:pPr>
    </w:p>
    <w:bookmarkStart w:id="42" w:name="page43"/>
    <w:bookmarkEnd w:id="42"/>
    <w:p>
      <w:pPr>
        <w:jc w:val="both"/>
        <w:spacing w:after="0" w:line="241" w:lineRule="auto"/>
        <w:rPr>
          <w:sz w:val="20"/>
          <w:szCs w:val="20"/>
          <w:color w:val="auto"/>
        </w:rPr>
      </w:pPr>
      <w:r>
        <w:rPr>
          <w:rFonts w:ascii="Arial" w:cs="Arial" w:eastAsia="Arial" w:hAnsi="Arial"/>
          <w:sz w:val="22"/>
          <w:szCs w:val="22"/>
          <w:color w:val="auto"/>
        </w:rPr>
        <w:t>to Three Months 2019 was primarily due to increases in equity compensation, commissions incurred by Cosi and professional fees. The increase in equity compensation was due to an annual restricted stock award pursuant to the employment agreement with Barry B. Goldstein, our Chief Executive Officer.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Depreciation and Amortization</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Depreciation and amortization was $673,000 in Three Months 2020 compared to $628,000 in Three Months 2019. The increase of $45,000, or 7.2%, in depreciation and amortization was primarily due to depreciation of our new systems platform for handling business being written in Expansion states, newly purchased assets used to upgrade our systems infrastructure and improvements to the Kingston, New York home office building from which we operate.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Interest Expense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Interest expense was $456,000 for both Three Months 2020 and Three Months 2019. We incurred interest expense in connection with our $30.0 million issuance of long-term debt in December 2017.</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 Expense</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Income tax expense in Three Months 2020 was $963,000, which resulted in an effective tax expense rate of 17.3%. Income tax expense in Three Months 2019 was $396,000, which resulted in an effective tax expense rate of 19.5%. Income before taxes was $5,571,000 in Three Months 2020 compared to $2,035,000 in Three Months 2019. On March 27, 2020, the Coronavirus Aid, Relief, and Economic Security (CARES) Act was signed into law, allowing for a five year carryback of 2019 NOL’s. We will elect on our 2019 federal income tax return to carry back the 2019 NOL of $7,222,000 to tax years 2014 and 2015. The corporate tax rate in 2014 and 2015 was 34%, compared to the corporate tax rate of 21% in 2019.</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income was $4,608,000 in Three Months 2020 compared to net income of $1,639,000 in Three Months 2019. The increase in net income of $2,969,000 was due to the circumstances described above, which caused the decrease in our net loss ratio, increase in ceding commission revenue, increases in net gains on investments, and other income, partially offset by the decrease in our net premiums earned, other underwriting and operating expenses, and depreciation and amortization.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Financial Information</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41,522,768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38,047,987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75,957,604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68,146,956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1,106,405</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2,878,749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3,420,806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5,608,835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54,876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61,806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129,731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134,877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without commercial lines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42,684,049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40,988,542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79,508,141</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73,890,668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3,832,848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(160,735)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8,419,236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Total gross premiums written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42,650,477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44,821,390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79,347,406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82,309,904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27,103,665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30,340,230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48,315,146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53,844,093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1,106,405</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2,878,749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3,420,806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5,608,835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42,579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112,279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without commercial lines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28,252,649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33,264,963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51,837,110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59,565,207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(162,170)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3,346,540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(555,957)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7,406,901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net premiums written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28,090,479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36,611,503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51,281,153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66,972,108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23,614,240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24,828,974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46,213,874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48,249,848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2,182,438</w:t>
            </w: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2,620,857</w:t>
            </w: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4,789,017</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5,138,539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59,404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117,421</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25,845,677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27,509,235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51,102,039</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53,505,808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791,179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3,692,044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2,476,267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7,291,360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26,636,856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31,201,279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53,578,306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60,797,168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10,639,057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11,874,563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23,153,625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32,277,107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369,120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1,203,457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1,149,690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2,420,760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176,091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326,565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1,242,516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651,142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2,012,328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1,345,792</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12,178,257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13,905,253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26,292,004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36,370,224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635,374</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3,767,085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2,907,448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10,436,308</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12,813,631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17,672,338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29,199,452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46,806,532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2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Personal lines</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45.1%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47.8%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50.1%</w:t>
            </w:r>
          </w:p>
        </w:tc>
        <w:tc>
          <w:tcPr>
            <w:tcW w:w="9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16.9%</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45.9%</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Other(1)</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-147.8%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296.4%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-23.8%</w:t>
            </w:r>
          </w:p>
        </w:tc>
        <w:tc>
          <w:tcPr>
            <w:tcW w:w="98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47.1%</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50.5%</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5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80.3%</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102.0%</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117.4%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Total</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48.1%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56.6%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54.5%</w:t>
            </w: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r>
    </w:tbl>
    <w:p>
      <w:pPr>
        <w:spacing w:after="0" w:line="214" w:lineRule="exact"/>
        <w:rPr>
          <w:sz w:val="20"/>
          <w:szCs w:val="20"/>
          <w:color w:val="auto"/>
        </w:rPr>
      </w:pPr>
    </w:p>
    <w:p>
      <w:pPr>
        <w:ind w:left="460" w:right="20" w:hanging="452"/>
        <w:spacing w:after="0" w:line="25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changes in quota share ceding rates, effective July 1, 2019 and 2018.</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discussion above with regard to “Net Loss and LAE”, as to catastrophe losses in the six months ended June 30, 2020 and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Underwriting Business on a Standalone Basis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insurance underwriting business reported on a standalone basis for the periods indicated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425"/>
        </w:trPr>
        <w:tc>
          <w:tcPr>
            <w:tcW w:w="5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26,636,856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31,201,279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53,578,306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60,797,168</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3,480,214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675,695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7,311,313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1,953,378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1,611,837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1,697,492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3,277,230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3,297,424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2,655,541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663,586</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(3,653,643)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2,657,149</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261,145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506,119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651,592</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34,645,593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34,574,906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61,019,325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69,356,711</w:t>
            </w: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12,813,631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17,672,308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29,199,452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46,806,532</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7,850,607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7,299,173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15,749,798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14,152,589</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6,325,472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5,416,449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13,087,264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11,552,440</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639,968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603,690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1,293,870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1,182,043</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27,629,678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30,991,620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59,330,384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73,693,604</w:t>
            </w:r>
          </w:p>
        </w:tc>
      </w:tr>
      <w:tr>
        <w:trPr>
          <w:trHeight w:val="210"/>
        </w:trPr>
        <w:tc>
          <w:tcPr>
            <w:tcW w:w="5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7,015,915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3,583,286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1,688,941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(4,336,893)</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1,387,003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745,041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179,034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(957,930)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5,628,912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2,838,245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1,509,907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(3,378,963)</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loss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underwriting expenses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14,176,079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12,715,622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28,837,062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25,705,029</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Less: Ceding commission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(3,480,214)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(675,695)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(7,311,313)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(1,953,378)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(651,592)</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Net underwriting expenses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10,434,720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11,703,073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21,019,630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23,100,059</w:t>
            </w:r>
          </w:p>
        </w:tc>
      </w:tr>
      <w:tr>
        <w:trPr>
          <w:trHeight w:val="36"/>
        </w:trPr>
        <w:tc>
          <w:tcPr>
            <w:tcW w:w="5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r>
    </w:tbl>
    <w:p>
      <w:pPr>
        <w:sectPr>
          <w:pgSz w:w="11900" w:h="16900" w:orient="portrait"/>
          <w:cols w:equalWidth="0" w:num="1">
            <w:col w:w="11240"/>
          </w:cols>
          <w:pgMar w:left="320" w:top="125"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180" w:type="dxa"/>
            <w:vAlign w:val="bottom"/>
            <w:gridSpan w:val="3"/>
          </w:tcPr>
          <w:p>
            <w:pPr>
              <w:jc w:val="right"/>
              <w:ind w:right="280"/>
              <w:spacing w:after="0"/>
              <w:rPr>
                <w:sz w:val="20"/>
                <w:szCs w:val="20"/>
                <w:color w:val="auto"/>
              </w:rPr>
            </w:pPr>
            <w:r>
              <w:rPr>
                <w:rFonts w:ascii="Arial" w:cs="Arial" w:eastAsia="Arial" w:hAnsi="Arial"/>
                <w:sz w:val="18"/>
                <w:szCs w:val="18"/>
                <w:color w:val="auto"/>
              </w:rPr>
              <w:t>$   26,636,856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31,201,279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53,578,306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   60,797,168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3180" w:type="dxa"/>
            <w:vAlign w:val="bottom"/>
            <w:gridSpan w:val="3"/>
          </w:tcPr>
          <w:p>
            <w:pPr>
              <w:jc w:val="right"/>
              <w:ind w:right="12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vMerge w:val="restart"/>
          </w:tcPr>
          <w:p>
            <w:pPr>
              <w:jc w:val="right"/>
              <w:ind w:right="30"/>
              <w:spacing w:after="0"/>
              <w:rPr>
                <w:sz w:val="20"/>
                <w:szCs w:val="20"/>
                <w:color w:val="auto"/>
              </w:rPr>
            </w:pPr>
            <w:r>
              <w:rPr>
                <w:rFonts w:ascii="Arial" w:cs="Arial" w:eastAsia="Arial" w:hAnsi="Arial"/>
                <w:sz w:val="18"/>
                <w:szCs w:val="18"/>
                <w:color w:val="auto"/>
              </w:rPr>
              <w:t>61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22"/>
          <w:szCs w:val="22"/>
          <w:color w:val="auto"/>
        </w:rPr>
        <w:t>An analysis of our direct, assumed and ceded earned premiums, loss and loss adjustment expenses, and loss ratios is shown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r>
      <w:tr>
        <w:trPr>
          <w:trHeight w:val="426"/>
        </w:trPr>
        <w:tc>
          <w:tcPr>
            <w:tcW w:w="5740" w:type="dxa"/>
            <w:vAlign w:val="bottom"/>
          </w:tcPr>
          <w:p>
            <w:pPr>
              <w:jc w:val="center"/>
              <w:ind w:right="3190"/>
              <w:spacing w:after="0"/>
              <w:rPr>
                <w:sz w:val="20"/>
                <w:szCs w:val="20"/>
                <w:color w:val="auto"/>
              </w:rPr>
            </w:pPr>
            <w:r>
              <w:rPr>
                <w:rFonts w:ascii="Arial" w:cs="Arial" w:eastAsia="Arial" w:hAnsi="Arial"/>
                <w:sz w:val="18"/>
                <w:szCs w:val="18"/>
                <w:b w:val="1"/>
                <w:bCs w:val="1"/>
                <w:color w:val="auto"/>
                <w:w w:val="88"/>
              </w:rPr>
              <w:t>Six months ended June 30, 2020</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79,347,406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(28,066,253)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51,281,153</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5,376,958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(3,079,805)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2,297,153</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84,724,364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(31,146,058)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53,578,306</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jc w:val="center"/>
              <w:ind w:right="3170"/>
              <w:spacing w:after="0"/>
              <w:rPr>
                <w:sz w:val="20"/>
                <w:szCs w:val="20"/>
                <w:color w:val="auto"/>
              </w:rPr>
            </w:pPr>
            <w:r>
              <w:rPr>
                <w:rFonts w:ascii="Arial" w:cs="Arial" w:eastAsia="Arial" w:hAnsi="Arial"/>
                <w:sz w:val="18"/>
                <w:szCs w:val="18"/>
                <w:color w:val="auto"/>
                <w:w w:val="89"/>
              </w:rPr>
              <w:t>the effect of catastrophes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37,080,936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(9,591,600)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27,489,336</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2,337,948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(627,832)</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1,710,116</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39,418,884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(10,219,432)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29,199,452</w:t>
            </w:r>
          </w:p>
        </w:tc>
      </w:tr>
      <w:tr>
        <w:trPr>
          <w:trHeight w:val="197"/>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jc w:val="center"/>
              <w:ind w:right="3190"/>
              <w:spacing w:after="0"/>
              <w:rPr>
                <w:sz w:val="20"/>
                <w:szCs w:val="20"/>
                <w:color w:val="auto"/>
              </w:rPr>
            </w:pPr>
            <w:r>
              <w:rPr>
                <w:rFonts w:ascii="Arial" w:cs="Arial" w:eastAsia="Arial" w:hAnsi="Arial"/>
                <w:sz w:val="18"/>
                <w:szCs w:val="18"/>
                <w:b w:val="1"/>
                <w:bCs w:val="1"/>
                <w:color w:val="auto"/>
                <w:w w:val="88"/>
              </w:rPr>
              <w:t>Six months ended June 30, 2019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Written premiums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82,309,827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(15,327,796)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66,982,108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(6,456,216)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271,074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(6,184,940)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Earned premiums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75,853,611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(15,056,722)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60,797,168</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5740" w:type="dxa"/>
            <w:vAlign w:val="bottom"/>
          </w:tcPr>
          <w:p>
            <w:pPr>
              <w:ind w:left="180"/>
              <w:spacing w:after="0" w:line="201" w:lineRule="exact"/>
              <w:rPr>
                <w:sz w:val="20"/>
                <w:szCs w:val="20"/>
                <w:color w:val="auto"/>
              </w:rPr>
            </w:pPr>
            <w:r>
              <w:rPr>
                <w:rFonts w:ascii="Arial" w:cs="Arial" w:eastAsia="Arial" w:hAnsi="Arial"/>
                <w:sz w:val="18"/>
                <w:szCs w:val="18"/>
                <w:color w:val="auto"/>
              </w:rPr>
              <w:t>Loss and loss adjustment expenses exluding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jc w:val="center"/>
              <w:ind w:right="3170"/>
              <w:spacing w:after="0"/>
              <w:rPr>
                <w:sz w:val="20"/>
                <w:szCs w:val="20"/>
                <w:color w:val="auto"/>
              </w:rPr>
            </w:pPr>
            <w:r>
              <w:rPr>
                <w:rFonts w:ascii="Arial" w:cs="Arial" w:eastAsia="Arial" w:hAnsi="Arial"/>
                <w:sz w:val="18"/>
                <w:szCs w:val="18"/>
                <w:color w:val="auto"/>
                <w:w w:val="89"/>
              </w:rPr>
              <w:t>the effect of catastrophes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46,166,574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(5,858,517)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40,305,976</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7,263,727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(763,171)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6,500,556</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53,430,301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(6,621,688)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46,806,532</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-745.9%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-745.9%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42,650,477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(14,559,998)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28,090,479</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(527,742)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(925,881)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(1,453,623)</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42,122,735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(15,485,879)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26,636,856</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jc w:val="center"/>
              <w:ind w:right="3170"/>
              <w:spacing w:after="0"/>
              <w:rPr>
                <w:sz w:val="20"/>
                <w:szCs w:val="20"/>
                <w:color w:val="auto"/>
              </w:rPr>
            </w:pPr>
            <w:r>
              <w:rPr>
                <w:rFonts w:ascii="Arial" w:cs="Arial" w:eastAsia="Arial" w:hAnsi="Arial"/>
                <w:sz w:val="18"/>
                <w:szCs w:val="18"/>
                <w:color w:val="auto"/>
                <w:w w:val="89"/>
              </w:rPr>
              <w:t>the effect of catastrophes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15,109,585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(3,807,610)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11,301,975</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2,056,580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(544,924)</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1,511,656</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17,166,165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(4,352,534)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12,813,631</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r>
      <w:tr>
        <w:trPr>
          <w:trHeight w:val="196"/>
        </w:trPr>
        <w:tc>
          <w:tcPr>
            <w:tcW w:w="5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Written premiums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44,821,279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(8,199,887)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36,621,503</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(5,828,149)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407,918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(5,420,224)</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Earned premiums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38,993,130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(7,791,969)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31,201,279</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5740" w:type="dxa"/>
            <w:vAlign w:val="bottom"/>
          </w:tcPr>
          <w:p>
            <w:pPr>
              <w:ind w:left="180"/>
              <w:spacing w:after="0" w:line="201" w:lineRule="exact"/>
              <w:rPr>
                <w:sz w:val="20"/>
                <w:szCs w:val="20"/>
                <w:color w:val="auto"/>
              </w:rPr>
            </w:pPr>
            <w:r>
              <w:rPr>
                <w:rFonts w:ascii="Arial" w:cs="Arial" w:eastAsia="Arial" w:hAnsi="Arial"/>
                <w:sz w:val="18"/>
                <w:szCs w:val="18"/>
                <w:color w:val="auto"/>
              </w:rPr>
              <w:t>Loss and loss adjustment expenses exluding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jc w:val="center"/>
              <w:ind w:right="3170"/>
              <w:spacing w:after="0"/>
              <w:rPr>
                <w:sz w:val="20"/>
                <w:szCs w:val="20"/>
                <w:color w:val="auto"/>
              </w:rPr>
            </w:pPr>
            <w:r>
              <w:rPr>
                <w:rFonts w:ascii="Arial" w:cs="Arial" w:eastAsia="Arial" w:hAnsi="Arial"/>
                <w:sz w:val="18"/>
                <w:szCs w:val="18"/>
                <w:color w:val="auto"/>
                <w:w w:val="89"/>
              </w:rPr>
              <w:t>the effect of catastrophes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19,520,797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(3,286,770)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16,234,948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1,636,384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1,437,360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21,157,181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(3,485,794)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17,672,308</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780.5%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780.5%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340"/>
        <w:spacing w:after="0"/>
        <w:rPr>
          <w:sz w:val="20"/>
          <w:szCs w:val="20"/>
          <w:color w:val="auto"/>
        </w:rPr>
      </w:pPr>
      <w:r>
        <w:rPr>
          <w:rFonts w:ascii="Arial" w:cs="Arial" w:eastAsia="Arial" w:hAnsi="Arial"/>
          <w:sz w:val="22"/>
          <w:szCs w:val="22"/>
          <w:i w:val="1"/>
          <w:iCs w:val="1"/>
          <w:color w:val="auto"/>
        </w:rPr>
        <w:t>(Percent components may not sum to totals due to rounding)</w:t>
      </w:r>
    </w:p>
    <w:p>
      <w:pPr>
        <w:sectPr>
          <w:pgSz w:w="11900" w:h="16838" w:orient="portrait"/>
          <w:cols w:equalWidth="0" w:num="1">
            <w:col w:w="11240"/>
          </w:cols>
          <w:pgMar w:left="320" w:top="140" w:right="33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key measures for our insurance underwriting business for the periods indicated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26,636,856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31,201,279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53,578,306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60,797,168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3,480,214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675,695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7,311,313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1,953,378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261,145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506,119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651,592</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12,813,631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17,672,308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29,199,452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46,806,532</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7,850,607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7,299,173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15,749,798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14,152,589</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6,325,472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5,416,449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13,087,264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11,552,440</w:t>
            </w:r>
          </w:p>
        </w:tc>
      </w:tr>
      <w:tr>
        <w:trPr>
          <w:trHeight w:val="195"/>
        </w:trPr>
        <w:tc>
          <w:tcPr>
            <w:tcW w:w="58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acquistion costs and other</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underwriting expenses</w:t>
            </w: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14,176,079</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12,715,622</w:t>
            </w: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28,837,062</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25,705,029</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3,388,505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1,825,898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3,359,224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(9,109,423)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Key Measures: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Effect of catastrophe loss on net loss ratio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r>
      <w:tr>
        <w:trPr>
          <w:trHeight w:val="210"/>
        </w:trPr>
        <w:tc>
          <w:tcPr>
            <w:tcW w:w="5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 excluding the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catastrophes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02"/>
        </w:trPr>
        <w:tc>
          <w:tcPr>
            <w:tcW w:w="5740" w:type="dxa"/>
            <w:vAlign w:val="bottom"/>
          </w:tcPr>
          <w:p>
            <w:pPr>
              <w:ind w:left="180"/>
              <w:spacing w:after="0" w:line="201" w:lineRule="exact"/>
              <w:rPr>
                <w:sz w:val="20"/>
                <w:szCs w:val="20"/>
                <w:color w:val="auto"/>
              </w:rPr>
            </w:pPr>
            <w:r>
              <w:rPr>
                <w:rFonts w:ascii="Arial" w:cs="Arial" w:eastAsia="Arial" w:hAnsi="Arial"/>
                <w:sz w:val="18"/>
                <w:szCs w:val="18"/>
                <w:color w:val="auto"/>
              </w:rPr>
              <w:t>Effect of catastrophe loss on net underwriting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expense ratio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0"/>
        </w:trPr>
        <w:tc>
          <w:tcPr>
            <w:tcW w:w="5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 excluding the effect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of catastrophes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catastrophe loss on net combined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ratio (1) (2)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underwriting expenses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14,176,079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12,715,622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28,837,062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25,705,029</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Less: Ceding commission revenue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(3,480,214)</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(675,695)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(7,311,313)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(1,953,378)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(261,145)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(651,592)</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10,434,720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11,703,073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21,019,630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23,100,059</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earned premium</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26,636,856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31,201,279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53,578,306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60,797,168</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8"/>
        <w:spacing w:after="0" w:line="257" w:lineRule="auto"/>
        <w:tabs>
          <w:tab w:leader="none" w:pos="312" w:val="left"/>
        </w:tabs>
        <w:numPr>
          <w:ilvl w:val="0"/>
          <w:numId w:val="15"/>
        </w:numPr>
        <w:rPr>
          <w:rFonts w:ascii="Arial" w:cs="Arial" w:eastAsia="Arial" w:hAnsi="Arial"/>
          <w:sz w:val="21"/>
          <w:szCs w:val="21"/>
          <w:color w:val="auto"/>
        </w:rPr>
      </w:pPr>
      <w:r>
        <w:rPr>
          <w:rFonts w:ascii="Arial" w:cs="Arial" w:eastAsia="Arial" w:hAnsi="Arial"/>
          <w:sz w:val="21"/>
          <w:szCs w:val="21"/>
          <w:color w:val="auto"/>
        </w:rPr>
        <w:t>For the three months ended June 30, 2020 and 2019, includes the sum of net catastrophe losses and loss adjustment expenses of $1,511,656 and $1,437,360, respectively. For the six months ended June 30, 2020 and 2019, includes the sum of net catastrophe losses and loss adjustment expenses of $1,710,116 and $6,500,556,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Portfolio Summary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Fixed-Maturity Securities</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following table presents a breakdown of the amortized cost, estimated fair value, and unrealized gains and losses of our investments in fixed-maturity securities classified as available-for-sale as of June 30, 2020 and December 31, 2019:</w:t>
      </w:r>
    </w:p>
    <w:p>
      <w:pPr>
        <w:sectPr>
          <w:pgSz w:w="11900" w:h="16838" w:orient="portrait"/>
          <w:cols w:equalWidth="0" w:num="1">
            <w:col w:w="11240"/>
          </w:cols>
          <w:pgMar w:left="320" w:top="584" w:right="33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June 30, 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Cost or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r>
      <w:tr>
        <w:trPr>
          <w:trHeight w:val="191"/>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8"/>
              </w:rPr>
              <w:t>Less than</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3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8,577,207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9,000,386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121,977,355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10,145,949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132,006,248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21,639,537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256,784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21,373,144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0"/>
        </w:trPr>
        <w:tc>
          <w:tcPr>
            <w:tcW w:w="3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155,226,267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10,880,454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(297,757)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(342,476)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165,466,488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hanging="452"/>
        <w:spacing w:after="0" w:line="30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KICO has placed certain residential mortgage backed securities as eligible collateral in a designated custodian account related to its membership in the Federal Home Loan Bank of New York ("FHLBNY"). The eligible collateral would be pledged to FHLBNY if KICO draws an advance from the FHLBNY credit line. As of June 30, 2020, the estimated fair value of the eligible investments was approximately $6,993,000. KICO will retain all rights regarding all securities if pledged as collateral. As of June 30, 2020, there was no outstanding balance on the FHLBNY credit line.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Cost 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r>
      <w:tr>
        <w:trPr>
          <w:trHeight w:val="191"/>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8"/>
              </w:rPr>
              <w:t>Less than</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7,037,856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7,061,100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9,321,812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119,874,573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5,777,624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125,622,039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26,138,633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26,231,230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0"/>
        </w:trPr>
        <w:tc>
          <w:tcPr>
            <w:tcW w:w="3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162,202,355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6,420,544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(96,794)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(289,924)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168,236,181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relationship with the FHLBNY. The eligible collateral would be pledged to FHLBNY if KICO draws an advance from FHLBNY. As of December 31, 2019, the estimated fair value of the eligible investments was $7,284,000. KICO will retain all rights regarding all securities if pledged as collateral. As of December 31, 2019, there was no outstanding balance on the FHLBNY credit line.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Equity Securities</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table presents a breakdown of the cost and estimated fair value of, and gross unrealized gains and losses on, investments in equity securities as of June 30, 2020 and December 31, 2019:</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2020</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9,023,896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(464,826)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8,647,980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r>
      <w:tr>
        <w:trPr>
          <w:trHeight w:val="202"/>
        </w:trPr>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stocks, mutual funds,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and exchange traded funds</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15,540,180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533,364</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(2,015,815)</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14,057,729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24,564,076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622,274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(2,480,641)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22,705,709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47" w:name="page48"/>
    <w:bookmarkEnd w:id="4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339,257</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8,701,887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r>
      <w:tr>
        <w:trPr>
          <w:trHeight w:val="202"/>
        </w:trPr>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stocks, mutual funds,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and exchange traded funds</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14,250,244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1,982,878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(273,627)</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15,959,495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22,624,668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2,322,135</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24,661,382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Other Investments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presents a breakdown of the cost and estimated fair value of, and gross unrealized gains on, our other investments as of June 30, 2020 and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June 30, 2020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r>
      <w:tr>
        <w:trPr>
          <w:trHeight w:val="191"/>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Gross</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Unrealized</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$ 1,999,381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542,939</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$ 2,542,320</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$ 1,999,381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585,532</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$ 2,584,913</w:t>
            </w:r>
          </w:p>
        </w:tc>
      </w:tr>
      <w:tr>
        <w:trPr>
          <w:trHeight w:val="20"/>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$ 1,999,381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542,939</w:t>
            </w:r>
          </w:p>
        </w:tc>
        <w:tc>
          <w:tcPr>
            <w:tcW w:w="2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$ 2,542,320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8"/>
              </w:rPr>
              <w:t>$ 1,999,381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585,532</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$ 2,584,913</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4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2"/>
        </w:trPr>
        <w:tc>
          <w:tcPr>
            <w:tcW w:w="5060" w:type="dxa"/>
            <w:vAlign w:val="bottom"/>
            <w:gridSpan w:val="2"/>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ind w:left="620"/>
        <w:spacing w:after="0"/>
        <w:rPr>
          <w:sz w:val="20"/>
          <w:szCs w:val="20"/>
          <w:color w:val="auto"/>
        </w:rPr>
      </w:pPr>
      <w:r>
        <w:rPr>
          <w:rFonts w:ascii="Arial" w:cs="Arial" w:eastAsia="Arial" w:hAnsi="Arial"/>
          <w:sz w:val="22"/>
          <w:szCs w:val="22"/>
          <w:u w:val="single" w:color="auto"/>
          <w:color w:val="auto"/>
        </w:rPr>
        <w:t>Held-to-Maturity Securities</w:t>
      </w:r>
    </w:p>
    <w:p>
      <w:pPr>
        <w:spacing w:after="0" w:line="233" w:lineRule="exact"/>
        <w:rPr>
          <w:sz w:val="20"/>
          <w:szCs w:val="20"/>
          <w:color w:val="auto"/>
        </w:rPr>
      </w:pPr>
    </w:p>
    <w:p>
      <w:pPr>
        <w:jc w:val="both"/>
        <w:ind w:firstLine="607"/>
        <w:spacing w:after="0" w:line="274" w:lineRule="auto"/>
        <w:rPr>
          <w:sz w:val="20"/>
          <w:szCs w:val="20"/>
          <w:color w:val="auto"/>
        </w:rPr>
      </w:pPr>
      <w:r>
        <w:rPr>
          <w:rFonts w:ascii="Arial" w:cs="Arial" w:eastAsia="Arial" w:hAnsi="Arial"/>
          <w:sz w:val="21"/>
          <w:szCs w:val="21"/>
          <w:color w:val="auto"/>
        </w:rPr>
        <w:t>The following table presents a breakdown of the amortized cost and estimated fair value of, and gross unrealized gains and losses on, investments in held-to-maturity securities as of June 30, 2020 and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Months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729,572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892,188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998,527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1,058,020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6,142,275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280,297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(50,324)</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6,372,248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r>
      <w:tr>
        <w:trPr>
          <w:trHeight w:val="210"/>
        </w:trPr>
        <w:tc>
          <w:tcPr>
            <w:tcW w:w="3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7,870,374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502,406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(50,324)</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8,322,456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9"/>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Months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729,550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880,552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998,619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1,049,640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2,097,783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97,627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2,194,575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r>
      <w:tr>
        <w:trPr>
          <w:trHeight w:val="209"/>
        </w:trPr>
        <w:tc>
          <w:tcPr>
            <w:tcW w:w="3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3,825,952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4,124,767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Held-to-maturity U.S. Treasury securities are held in trust pursuant to various states’ minimum fund requirements.</w:t>
      </w:r>
    </w:p>
    <w:p>
      <w:pPr>
        <w:sectPr>
          <w:pgSz w:w="11900" w:h="16872"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72" w:orient="portrait"/>
          <w:cols w:equalWidth="0" w:num="1">
            <w:col w:w="11240"/>
          </w:cols>
          <w:pgMar w:left="320" w:top="121" w:right="339" w:bottom="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r>
        <w:rPr>
          <w:rFonts w:ascii="Arial" w:cs="Arial" w:eastAsia="Arial" w:hAnsi="Arial"/>
          <w:sz w:val="18"/>
          <w:szCs w:val="18"/>
          <w:i w:val="1"/>
          <w:i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firstLine="607"/>
        <w:spacing w:after="0" w:line="250" w:lineRule="auto"/>
        <w:rPr>
          <w:sz w:val="20"/>
          <w:szCs w:val="20"/>
          <w:color w:val="auto"/>
        </w:rPr>
      </w:pPr>
      <w:r>
        <w:rPr>
          <w:rFonts w:ascii="Arial" w:cs="Arial" w:eastAsia="Arial" w:hAnsi="Arial"/>
          <w:sz w:val="22"/>
          <w:szCs w:val="22"/>
          <w:color w:val="auto"/>
        </w:rPr>
        <w:t>A summary of the amortized cost and fair value of our investments in held-to-maturity securities by contractual maturity as of June 30, 2020 and December 31, 2019 is shown below:</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Estimated</w:t>
            </w: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One to five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2,099,913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2,264,353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2,099,268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2,215,640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1,994,445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2,184,944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More than 10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3,276,016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3,377,529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606,550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7,870,374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8,322,456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3,825,952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4,124,767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Credit Rating of Fixed-Maturity Securities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table below summarizes the credit quality of our available-for-sale fixed-maturity securities as of June 30, 2020 and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December 31, 2019 as rated by Standard &amp; Poor’s (or, if unavailable from Standard &amp; Poor’s, then Moody’s or Fitch):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425"/>
        </w:trPr>
        <w:tc>
          <w:tcPr>
            <w:tcW w:w="4520" w:type="dxa"/>
            <w:vAlign w:val="bottom"/>
          </w:tcPr>
          <w:p>
            <w:pPr>
              <w:spacing w:after="0"/>
              <w:rPr>
                <w:sz w:val="20"/>
                <w:szCs w:val="20"/>
                <w:color w:val="auto"/>
              </w:rPr>
            </w:pPr>
            <w:r>
              <w:rPr>
                <w:rFonts w:ascii="Arial" w:cs="Arial" w:eastAsia="Arial" w:hAnsi="Arial"/>
                <w:sz w:val="18"/>
                <w:szCs w:val="18"/>
                <w:b w:val="1"/>
                <w:bCs w:val="1"/>
                <w:color w:val="auto"/>
              </w:rPr>
              <w:t>Rating</w:t>
            </w:r>
          </w:p>
        </w:tc>
        <w:tc>
          <w:tcPr>
            <w:tcW w:w="1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7,061,100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AAA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1,495,753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1,996,676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6,937,577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8,809,480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27,641,146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34,636,236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100,128,865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89,501,460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BB</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1,411,305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corporate and municipal bonds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137,614,646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134,943,852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AAA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2,895,529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2,976,306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17,433,461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18,440,382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2,402,420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2,471,761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CCC</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830,309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1,174,273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61,709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86,461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378,628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215,015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rated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745,846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849,218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340"/>
              <w:spacing w:after="0"/>
              <w:rPr>
                <w:sz w:val="20"/>
                <w:szCs w:val="20"/>
                <w:color w:val="auto"/>
              </w:rPr>
            </w:pPr>
            <w:r>
              <w:rPr>
                <w:rFonts w:ascii="Arial" w:cs="Arial" w:eastAsia="Arial" w:hAnsi="Arial"/>
                <w:sz w:val="18"/>
                <w:szCs w:val="18"/>
                <w:color w:val="auto"/>
              </w:rPr>
              <w:t>Total residential mortgage backed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24,765,132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26,231,229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165,466,488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168,236,181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5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table below summarizes the average yield by type of fixed-maturity security as of June 30, 2020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31, 2019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0" w:gutter="0" w:footer="0" w:header="0"/>
        </w:sectPr>
      </w:pPr>
    </w:p>
    <w:bookmarkStart w:id="49" w:name="page50"/>
    <w:bookmarkEnd w:id="49"/>
    <w:p>
      <w:pPr>
        <w:ind w:left="660"/>
        <w:spacing w:after="0"/>
        <w:rPr>
          <w:sz w:val="20"/>
          <w:szCs w:val="20"/>
          <w:color w:val="auto"/>
        </w:rPr>
      </w:pPr>
      <w:r>
        <w:rPr>
          <w:rFonts w:ascii="Arial" w:cs="Arial" w:eastAsia="Arial" w:hAnsi="Arial"/>
          <w:sz w:val="19"/>
          <w:szCs w:val="19"/>
          <w:color w:val="auto"/>
        </w:rPr>
        <w:t>The table below lists the weighted average maturity and effective duration in years on our fixed-maturity securities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June 30, 2020 and December 31, 2019:</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Fair Value Consideration</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2020 and December 31, 2019, 83% and 80%, respectively, of the investment portfolio recorded at fair value was priced based upon quoted market prices.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below summarizes the gross unrealized losses of our fixed-maturity securities available-for-sale and equity securities by length of time the security has continuously been in an unrealized loss position as of June 30,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June 30, 2020</w:t>
            </w: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w w:val="88"/>
              </w:rPr>
              <w:t>Less than 12 months</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0"/>
              </w:rPr>
              <w:t>12 months or more</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No. of</w:t>
            </w:r>
          </w:p>
        </w:tc>
        <w:tc>
          <w:tcPr>
            <w:tcW w:w="260" w:type="dxa"/>
            <w:vAlign w:val="bottom"/>
          </w:tcPr>
          <w:p>
            <w:pPr>
              <w:spacing w:after="0"/>
              <w:rPr>
                <w:sz w:val="16"/>
                <w:szCs w:val="16"/>
                <w:color w:val="auto"/>
              </w:rPr>
            </w:pPr>
          </w:p>
        </w:tc>
        <w:tc>
          <w:tcPr>
            <w:tcW w:w="8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Estimated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00" w:type="dxa"/>
            <w:vAlign w:val="bottom"/>
            <w:gridSpan w:val="5"/>
          </w:tcPr>
          <w:p>
            <w:pPr>
              <w:ind w:left="60"/>
              <w:spacing w:after="0"/>
              <w:rPr>
                <w:sz w:val="20"/>
                <w:szCs w:val="20"/>
                <w:color w:val="auto"/>
              </w:rPr>
            </w:pPr>
            <w:r>
              <w:rPr>
                <w:rFonts w:ascii="Arial" w:cs="Arial" w:eastAsia="Arial" w:hAnsi="Arial"/>
                <w:sz w:val="18"/>
                <w:szCs w:val="18"/>
                <w:b w:val="1"/>
                <w:bCs w:val="1"/>
                <w:color w:val="auto"/>
              </w:rPr>
              <w:t>Unrealized</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3"/>
              </w:rPr>
              <w:t>Positions</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Losses</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Held</w:t>
            </w:r>
          </w:p>
        </w:tc>
        <w:tc>
          <w:tcPr>
            <w:tcW w:w="26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Losses</w:t>
            </w:r>
          </w:p>
        </w:tc>
      </w:tr>
      <w:tr>
        <w:trPr>
          <w:trHeight w:val="426"/>
        </w:trPr>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4,839,822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(117,056)</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4,839,822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(117,056)</w:t>
            </w: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7,060,988</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(180,701)</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10,639,265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(342,476)</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17,700,253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(523,177)</w:t>
            </w:r>
          </w:p>
        </w:tc>
      </w:tr>
      <w:tr>
        <w:trPr>
          <w:trHeight w:val="209"/>
        </w:trPr>
        <w:tc>
          <w:tcPr>
            <w:tcW w:w="2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0"/>
              </w:rPr>
              <w:t>11,900,810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(297,757)</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10,639,265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(342,476)</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22,540,075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(640,233)</w:t>
            </w: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5"/>
        </w:trPr>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2"/>
        </w:trPr>
        <w:tc>
          <w:tcPr>
            <w:tcW w:w="258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December 31, 2019</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12 months or more</w:t>
            </w:r>
          </w:p>
        </w:tc>
        <w:tc>
          <w:tcPr>
            <w:tcW w:w="260" w:type="dxa"/>
            <w:vAlign w:val="bottom"/>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6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b w:val="1"/>
                <w:bCs w:val="1"/>
                <w:color w:val="auto"/>
              </w:rPr>
              <w:t>Unrealized</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16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16840"/>
                    </a:xfrm>
                    <a:prstGeom prst="rect">
                      <a:avLst/>
                    </a:prstGeom>
                    <a:noFill/>
                  </pic:spPr>
                </pic:pic>
              </a:graphicData>
            </a:graphic>
          </wp:anchor>
        </w:drawing>
      </w:r>
    </w:p>
    <w:p>
      <w:pPr>
        <w:sectPr>
          <w:pgSz w:w="11900" w:h="16838" w:orient="portrait"/>
          <w:cols w:equalWidth="0" w:num="1">
            <w:col w:w="11240"/>
          </w:cols>
          <w:pgMar w:left="320" w:top="361" w:right="3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3,067,428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3,067,428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(11,316)</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3,730,478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1,300,915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5,031,393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(30,158)</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5,862,636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13,534,768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(276,451)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19,397,404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(345,244)</w:t>
            </w:r>
          </w:p>
        </w:tc>
      </w:tr>
      <w:tr>
        <w:trPr>
          <w:trHeight w:val="210"/>
        </w:trPr>
        <w:tc>
          <w:tcPr>
            <w:tcW w:w="2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12,660,542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(96,794</w:t>
            </w:r>
            <w:r>
              <w:rPr>
                <w:rFonts w:ascii="Arial" w:cs="Arial" w:eastAsia="Arial" w:hAnsi="Arial"/>
                <w:sz w:val="25"/>
                <w:szCs w:val="25"/>
                <w:color w:val="auto"/>
                <w:vertAlign w:val="subscript"/>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14,835,683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(289,924</w:t>
            </w:r>
            <w:r>
              <w:rPr>
                <w:rFonts w:ascii="Arial" w:cs="Arial" w:eastAsia="Arial" w:hAnsi="Arial"/>
                <w:sz w:val="25"/>
                <w:szCs w:val="25"/>
                <w:color w:val="auto"/>
                <w:vertAlign w:val="subscript"/>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27,496,225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4"/>
                <w:szCs w:val="14"/>
                <w:color w:val="auto"/>
              </w:rPr>
              <w:t>(386,718</w:t>
            </w:r>
            <w:r>
              <w:rPr>
                <w:rFonts w:ascii="Arial" w:cs="Arial" w:eastAsia="Arial" w:hAnsi="Arial"/>
                <w:sz w:val="25"/>
                <w:szCs w:val="25"/>
                <w:color w:val="auto"/>
                <w:vertAlign w:val="subscript"/>
              </w:rPr>
              <w:t>)</w:t>
            </w:r>
          </w:p>
        </w:tc>
      </w:tr>
      <w:tr>
        <w:trPr>
          <w:trHeight w:val="675"/>
        </w:trPr>
        <w:tc>
          <w:tcPr>
            <w:tcW w:w="27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412"/>
        </w:trPr>
        <w:tc>
          <w:tcPr>
            <w:tcW w:w="27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There were 30 securities at June 30, 2020 that accounted for the gross unrealized loss of our fixed-maturity securities available-for-sale, none of which were deemed by us to be other than temporarily impaired. There were 39 securities at December 31, 2019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Cash Flows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the six months ended June 30, 2020, the primary source of cash flow for our holding company was the dividends received from KICO, subject to statutory restrictions. For the six months ended June 30, 2020, KICO paid dividends of $3,500,000 to us.</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March 31, 2020, and are due and payable within 90 days of borrowing. The maximum allowable advance as of June 30, 2020, based on the net admitted assets as of March 31, 2020, was approximately $11,339,000. Advances are limited to 85% of the amount of available collateral, which was approximately $5,944,000 as of June 30, 2020. There were no borrowings under this facility during the six months ended June 30, 2020.</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June 30, 2020, invested assets and cash in our holding company totaled approximately $1,700,000. If the aforementioned sources of cash flow currently available are insufficient to cover our holding company cash requirements, we will seek to obtain additional financing.</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40" w:right="339" w:bottom="38"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6320" w:type="dxa"/>
            <w:vAlign w:val="bottom"/>
            <w:gridSpan w:val="3"/>
          </w:tcPr>
          <w:p>
            <w:pPr>
              <w:ind w:left="660"/>
              <w:spacing w:after="0"/>
              <w:rPr>
                <w:sz w:val="20"/>
                <w:szCs w:val="20"/>
                <w:color w:val="auto"/>
              </w:rPr>
            </w:pPr>
            <w:r>
              <w:rPr>
                <w:rFonts w:ascii="Arial" w:cs="Arial" w:eastAsia="Arial" w:hAnsi="Arial"/>
                <w:sz w:val="22"/>
                <w:szCs w:val="22"/>
                <w:color w:val="auto"/>
              </w:rPr>
              <w:t>Cash flow and liquidity are categorized into three sources:</w:t>
            </w:r>
          </w:p>
        </w:tc>
        <w:tc>
          <w:tcPr>
            <w:tcW w:w="4900" w:type="dxa"/>
            <w:vAlign w:val="bottom"/>
            <w:gridSpan w:val="9"/>
          </w:tcPr>
          <w:p>
            <w:pPr>
              <w:ind w:left="60"/>
              <w:spacing w:after="0"/>
              <w:rPr>
                <w:sz w:val="20"/>
                <w:szCs w:val="20"/>
                <w:color w:val="auto"/>
              </w:rPr>
            </w:pPr>
            <w:r>
              <w:rPr>
                <w:rFonts w:ascii="Arial" w:cs="Arial" w:eastAsia="Arial" w:hAnsi="Arial"/>
                <w:sz w:val="22"/>
                <w:szCs w:val="22"/>
                <w:color w:val="auto"/>
                <w:w w:val="99"/>
              </w:rPr>
              <w:t>(1) operating activities; (2) investing activities; and</w:t>
            </w:r>
          </w:p>
        </w:tc>
        <w:tc>
          <w:tcPr>
            <w:tcW w:w="0" w:type="dxa"/>
            <w:vAlign w:val="bottom"/>
          </w:tcPr>
          <w:p>
            <w:pPr>
              <w:spacing w:after="0"/>
              <w:rPr>
                <w:sz w:val="1"/>
                <w:szCs w:val="1"/>
                <w:color w:val="auto"/>
              </w:rPr>
            </w:pPr>
          </w:p>
        </w:tc>
      </w:tr>
      <w:tr>
        <w:trPr>
          <w:trHeight w:val="274"/>
        </w:trPr>
        <w:tc>
          <w:tcPr>
            <w:tcW w:w="6320" w:type="dxa"/>
            <w:vAlign w:val="bottom"/>
            <w:gridSpan w:val="3"/>
          </w:tcPr>
          <w:p>
            <w:pPr>
              <w:spacing w:after="0"/>
              <w:rPr>
                <w:sz w:val="20"/>
                <w:szCs w:val="20"/>
                <w:color w:val="auto"/>
              </w:rPr>
            </w:pPr>
            <w:r>
              <w:rPr>
                <w:rFonts w:ascii="Arial" w:cs="Arial" w:eastAsia="Arial" w:hAnsi="Arial"/>
                <w:sz w:val="22"/>
                <w:szCs w:val="22"/>
                <w:color w:val="auto"/>
              </w:rPr>
              <w:t>(3) financing activities, which are shown in the following table:</w:t>
            </w: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86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Six Months Ended June 30,</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6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Cash flows provided by (used in):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(9,981,438)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$ 10,800,684</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(226,785)</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(10,790,645)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(2,029,530)</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(2,252,637)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(12,237,753)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(2,242,598)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32,391,485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21,138,403</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20,153,732</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$ 18,895,805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Net cash used in operating activities was $9,981,000 in Six Months 2020 as compared to $10,801,000 provided by operating activities in Six Months 2019. The $20,782,000 decrease in cash flows provided by operating activities in Six Months 2020 was primarily a result of a decrease in cash arising from net fluctuations in assets and liabilities, partially offset by an increase in net income (adjusted for non-cash items) of $14,383,000. The net fluctuations in assets and liabilities are related to operating activities of KICO as affected by growth or declines in its operations, payments on claims and changes in quota share ceding rates which are described above.</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Net cash used by investing activities was $227,000 in Six Months 2020 compared to $10,791,000 used in investing activities in Six Months 2019. The $10,564,000 decrease in net cash used in investing activities was the result of a $17,762,000 increase in disposal of invested assets, partially offset by a $8,450,000 increase in acquisitions of invested assets in Six Months 2020.</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Net cash used in financing activities was $2,030,000 in Six Months 2020 compared to $2,253,000 used in Six Months 2019. The $223,000 decrease in net cash used in financing activities was attributable to a $1,049,000 reduction in dividends paid, partially offset by $802,000 purchases of treasury stock in Six Months 2020 compared to Six Months 2019.</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Reinsurance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quota share reinsurance treaties in effect during Six Months 2020 and Six Months 2019 for our personal lines business, which primarily consists of homeowners’ policies, were covered under the 2019/2020 Treaty and under a treaty covering a two-year period from July 1, 2017 through June 30, 2019 (“2017/2019 Treaty”). The treaty in effect during Three Months 2019 and Six Months 2019 was covered under the July 1, 2018 through June 30, 2019 treaty year (“2018/2019 Treaty Year”).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Effective July 1, 2019, our 2017/2019 Treaty and commercial umbrella treaty expired on a run-off basis; these treaties were not renewed. We entered into new excess of loss and catastrophe reinsurance treaties effective July 1, 2020. Material terms for our reinsurance treaties in effect for the treaty years shown below are as follows: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688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Personal Lines: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Homeowners, dwelling fire and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and canine legal liability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Quota share treaty: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 ceded</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Treaty 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15,</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July 1, 2019</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July 1, 2018</w:t>
            </w:r>
          </w:p>
        </w:tc>
        <w:tc>
          <w:tcPr>
            <w:tcW w:w="0" w:type="dxa"/>
            <w:vAlign w:val="bottom"/>
          </w:tcPr>
          <w:p>
            <w:pPr>
              <w:spacing w:after="0"/>
              <w:rPr>
                <w:sz w:val="1"/>
                <w:szCs w:val="1"/>
                <w:color w:val="auto"/>
              </w:rPr>
            </w:pPr>
          </w:p>
        </w:tc>
      </w:tr>
      <w:tr>
        <w:trPr>
          <w:trHeight w:val="186"/>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14,</w:t>
            </w:r>
          </w:p>
        </w:tc>
        <w:tc>
          <w:tcPr>
            <w:tcW w:w="2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274320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548640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000"/>
        <w:spacing w:after="0"/>
        <w:tabs>
          <w:tab w:leader="none" w:pos="2140" w:val="left"/>
          <w:tab w:leader="none" w:pos="36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None</w:t>
      </w:r>
      <w:r>
        <w:rPr>
          <w:sz w:val="20"/>
          <w:szCs w:val="20"/>
          <w:color w:val="auto"/>
        </w:rPr>
        <w:tab/>
      </w:r>
      <w:r>
        <w:rPr>
          <w:rFonts w:ascii="Arial" w:cs="Arial" w:eastAsia="Arial" w:hAnsi="Arial"/>
          <w:sz w:val="12"/>
          <w:szCs w:val="12"/>
          <w:color w:val="auto"/>
        </w:rPr>
        <w:t>10%</w:t>
      </w:r>
    </w:p>
    <w:p>
      <w:pPr>
        <w:spacing w:after="0" w:line="200" w:lineRule="exact"/>
        <w:rPr>
          <w:sz w:val="20"/>
          <w:szCs w:val="20"/>
          <w:color w:val="auto"/>
        </w:rPr>
      </w:pPr>
    </w:p>
    <w:p>
      <w:pPr>
        <w:sectPr>
          <w:pgSz w:w="11900" w:h="16838" w:orient="portrait"/>
          <w:cols w:equalWidth="0" w:num="2">
            <w:col w:w="6600" w:space="720"/>
            <w:col w:w="3920"/>
          </w:cols>
          <w:pgMar w:left="320" w:top="108" w:right="33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Treaty Year</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January 1, 2021</w:t>
            </w: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July 1, 2020</w:t>
            </w:r>
          </w:p>
        </w:tc>
        <w:tc>
          <w:tcPr>
            <w:tcW w:w="24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15,</w:t>
            </w:r>
          </w:p>
        </w:tc>
        <w:tc>
          <w:tcPr>
            <w:tcW w:w="2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July 1, 2019</w:t>
            </w:r>
          </w:p>
        </w:tc>
        <w:tc>
          <w:tcPr>
            <w:tcW w:w="2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July 1, 2018</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3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Line of Business</w:t>
            </w:r>
          </w:p>
        </w:tc>
        <w:tc>
          <w:tcPr>
            <w:tcW w:w="12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14,</w:t>
            </w:r>
          </w:p>
        </w:tc>
        <w:tc>
          <w:tcPr>
            <w:tcW w:w="2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Lines</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Homeowners, dwelling fire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and canine legal liability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Quota share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52" w:name="page53"/>
    <w:bookmarkEnd w:id="52"/>
    <w:p>
      <w:pPr>
        <w:ind w:left="40"/>
        <w:spacing w:after="0"/>
        <w:rPr>
          <w:sz w:val="20"/>
          <w:szCs w:val="20"/>
          <w:color w:val="auto"/>
        </w:rPr>
      </w:pPr>
      <w:r>
        <w:rPr>
          <w:rFonts w:ascii="Arial" w:cs="Arial" w:eastAsia="Arial" w:hAnsi="Arial"/>
          <w:sz w:val="14"/>
          <w:szCs w:val="14"/>
          <w:color w:val="auto"/>
        </w:rPr>
        <w:t>Risk retained on intial</w:t>
      </w:r>
    </w:p>
    <w:p>
      <w:pPr>
        <w:ind w:left="40"/>
        <w:spacing w:after="0"/>
        <w:rPr>
          <w:sz w:val="20"/>
          <w:szCs w:val="20"/>
          <w:color w:val="auto"/>
        </w:rPr>
      </w:pPr>
      <w:r>
        <w:rPr>
          <w:rFonts w:ascii="Arial" w:cs="Arial" w:eastAsia="Arial" w:hAnsi="Arial"/>
          <w:sz w:val="14"/>
          <w:szCs w:val="14"/>
          <w:color w:val="auto"/>
        </w:rPr>
        <w:t>$1,000,000 of losses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2"/>
          <w:szCs w:val="12"/>
          <w:color w:val="auto"/>
        </w:rPr>
        <w:t>Losses per occurrence subject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quota share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reinsurance coverage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Expiration date</w:t>
      </w:r>
    </w:p>
    <w:p>
      <w:pPr>
        <w:ind w:left="40"/>
        <w:spacing w:after="0"/>
        <w:rPr>
          <w:sz w:val="20"/>
          <w:szCs w:val="20"/>
          <w:color w:val="auto"/>
        </w:rPr>
      </w:pPr>
      <w:r>
        <w:rPr>
          <w:rFonts w:ascii="Arial" w:cs="Arial" w:eastAsia="Arial" w:hAnsi="Arial"/>
          <w:sz w:val="13"/>
          <w:szCs w:val="13"/>
          <w:color w:val="auto"/>
        </w:rPr>
        <w:t>Excess of loss coverage and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facultative facility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coverage (1)</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reinsurance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 occurrence (7)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Losses per occurrence subject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reinsurance coverage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Expiration date (7)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20" w:type="dxa"/>
            <w:vAlign w:val="bottom"/>
          </w:tcPr>
          <w:p>
            <w:pPr>
              <w:jc w:val="right"/>
              <w:ind w:right="348"/>
              <w:spacing w:after="0"/>
              <w:rPr>
                <w:sz w:val="20"/>
                <w:szCs w:val="20"/>
                <w:color w:val="auto"/>
              </w:rPr>
            </w:pPr>
            <w:r>
              <w:rPr>
                <w:rFonts w:ascii="Arial" w:cs="Arial" w:eastAsia="Arial" w:hAnsi="Arial"/>
                <w:sz w:val="14"/>
                <w:szCs w:val="14"/>
                <w:color w:val="auto"/>
              </w:rPr>
              <w:t>NA (7)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574"/>
        </w:trPr>
        <w:tc>
          <w:tcPr>
            <w:tcW w:w="920" w:type="dxa"/>
            <w:vAlign w:val="bottom"/>
          </w:tcPr>
          <w:p>
            <w:pPr>
              <w:jc w:val="right"/>
              <w:ind w:right="348"/>
              <w:spacing w:after="0"/>
              <w:rPr>
                <w:sz w:val="20"/>
                <w:szCs w:val="20"/>
                <w:color w:val="auto"/>
              </w:rPr>
            </w:pPr>
            <w:r>
              <w:rPr>
                <w:rFonts w:ascii="Arial" w:cs="Arial" w:eastAsia="Arial" w:hAnsi="Arial"/>
                <w:sz w:val="14"/>
                <w:szCs w:val="14"/>
                <w:color w:val="auto"/>
              </w:rPr>
              <w:t>NA (7)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None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December 31,2020</w:t>
            </w: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1"/>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9,000,000</w:t>
            </w:r>
          </w:p>
        </w:tc>
        <w:tc>
          <w:tcPr>
            <w:tcW w:w="0" w:type="dxa"/>
            <w:vAlign w:val="bottom"/>
          </w:tcPr>
          <w:p>
            <w:pPr>
              <w:spacing w:after="0"/>
              <w:rPr>
                <w:sz w:val="1"/>
                <w:szCs w:val="1"/>
                <w:color w:val="auto"/>
              </w:rPr>
            </w:pPr>
          </w:p>
        </w:tc>
      </w:tr>
      <w:tr>
        <w:trPr>
          <w:trHeight w:val="18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in excess of</w:t>
            </w:r>
          </w:p>
        </w:tc>
        <w:tc>
          <w:tcPr>
            <w:tcW w:w="0" w:type="dxa"/>
            <w:vAlign w:val="bottom"/>
          </w:tcPr>
          <w:p>
            <w:pPr>
              <w:spacing w:after="0"/>
              <w:rPr>
                <w:sz w:val="1"/>
                <w:szCs w:val="1"/>
                <w:color w:val="auto"/>
              </w:rPr>
            </w:pPr>
          </w:p>
        </w:tc>
      </w:tr>
      <w:tr>
        <w:trPr>
          <w:trHeight w:val="23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20" w:type="dxa"/>
            <w:vAlign w:val="bottom"/>
          </w:tcPr>
          <w:p>
            <w:pPr>
              <w:spacing w:after="0"/>
              <w:rPr>
                <w:sz w:val="19"/>
                <w:szCs w:val="19"/>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19"/>
                <w:szCs w:val="19"/>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19"/>
                <w:szCs w:val="19"/>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405"/>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8,250,000</w:t>
            </w:r>
          </w:p>
        </w:tc>
        <w:tc>
          <w:tcPr>
            <w:tcW w:w="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9,250,000</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9,100,000</w:t>
            </w:r>
          </w:p>
        </w:tc>
        <w:tc>
          <w:tcPr>
            <w:tcW w:w="0" w:type="dxa"/>
            <w:vAlign w:val="bottom"/>
          </w:tcPr>
          <w:p>
            <w:pPr>
              <w:spacing w:after="0"/>
              <w:rPr>
                <w:sz w:val="1"/>
                <w:szCs w:val="1"/>
                <w:color w:val="auto"/>
              </w:rPr>
            </w:pPr>
          </w:p>
        </w:tc>
      </w:tr>
      <w:tr>
        <w:trPr>
          <w:trHeight w:val="398"/>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8,000,000</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9,000,000</w:t>
            </w:r>
          </w:p>
        </w:tc>
        <w:tc>
          <w:tcPr>
            <w:tcW w:w="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82"/>
        </w:trPr>
        <w:tc>
          <w:tcPr>
            <w:tcW w:w="920" w:type="dxa"/>
            <w:vAlign w:val="bottom"/>
          </w:tcPr>
          <w:p>
            <w:pPr>
              <w:jc w:val="right"/>
              <w:ind w:right="48"/>
              <w:spacing w:after="0"/>
              <w:rPr>
                <w:sz w:val="20"/>
                <w:szCs w:val="20"/>
                <w:color w:val="auto"/>
              </w:rPr>
            </w:pPr>
            <w:r>
              <w:rPr>
                <w:rFonts w:ascii="Arial" w:cs="Arial" w:eastAsia="Arial" w:hAnsi="Arial"/>
                <w:sz w:val="14"/>
                <w:szCs w:val="14"/>
                <w:color w:val="auto"/>
                <w:w w:val="87"/>
              </w:rPr>
              <w:t>June 30, 2021</w:t>
            </w:r>
          </w:p>
        </w:tc>
        <w:tc>
          <w:tcPr>
            <w:tcW w:w="3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June 30, 2021</w:t>
            </w: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2020</w:t>
            </w:r>
          </w:p>
        </w:tc>
        <w:tc>
          <w:tcPr>
            <w:tcW w:w="30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w w:val="99"/>
              </w:rPr>
              <w:t>June 30, 2020</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-1980565</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-1723390</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-1466215</wp:posOffset>
            </wp:positionV>
            <wp:extent cx="71323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-1148715</wp:posOffset>
            </wp:positionV>
            <wp:extent cx="713232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-891540</wp:posOffset>
            </wp:positionV>
            <wp:extent cx="713232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-634365</wp:posOffset>
            </wp:positionV>
            <wp:extent cx="713232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-377190</wp:posOffset>
            </wp:positionV>
            <wp:extent cx="713232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-120015</wp:posOffset>
            </wp:positionV>
            <wp:extent cx="713232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240" w:space="720"/>
            <w:col w:w="6280"/>
          </w:cols>
          <w:pgMar w:left="320" w:top="120" w:right="339" w:bottom="0" w:gutter="0" w:footer="0" w:header="0"/>
        </w:sectPr>
      </w:pPr>
    </w:p>
    <w:tbl>
      <w:tblPr>
        <w:tblLayout w:type="fixed"/>
        <w:tblInd w:w="0" w:type="dxa"/>
        <w:tblCellMar>
          <w:top w:w="0" w:type="dxa"/>
          <w:left w:w="0" w:type="dxa"/>
          <w:bottom w:w="0" w:type="dxa"/>
          <w:right w:w="0" w:type="dxa"/>
        </w:tblCellMar>
      </w:tblPr>
      <w:tr>
        <w:trPr>
          <w:trHeight w:val="161"/>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Catastrophe Reinsurance:</w:t>
            </w:r>
          </w:p>
        </w:tc>
        <w:tc>
          <w:tcPr>
            <w:tcW w:w="2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40" w:type="dxa"/>
            <w:vAlign w:val="bottom"/>
            <w:tcBorders>
              <w:top w:val="single" w:sz="8" w:color="auto"/>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Initial loss subject to personal</w:t>
            </w:r>
          </w:p>
        </w:tc>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lines quota share treaty</w:t>
            </w:r>
          </w:p>
        </w:tc>
        <w:tc>
          <w:tcPr>
            <w:tcW w:w="26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NA (7)</w:t>
            </w:r>
          </w:p>
        </w:tc>
        <w:tc>
          <w:tcPr>
            <w:tcW w:w="13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7,500,000</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7,500,000</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None</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82"/>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Risk retained per catastrophe</w:t>
            </w:r>
          </w:p>
        </w:tc>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occurrence (2) (7)</w:t>
            </w:r>
          </w:p>
        </w:tc>
        <w:tc>
          <w:tcPr>
            <w:tcW w:w="268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10,000,000</w:t>
            </w:r>
          </w:p>
        </w:tc>
        <w:tc>
          <w:tcPr>
            <w:tcW w:w="138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8,125,000</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5,625,000</w:t>
            </w:r>
          </w:p>
        </w:tc>
        <w:tc>
          <w:tcPr>
            <w:tcW w:w="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7,500,000</w:t>
            </w:r>
          </w:p>
        </w:tc>
        <w:tc>
          <w:tcPr>
            <w:tcW w:w="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182"/>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Catastrophe loss coverage</w:t>
            </w:r>
          </w:p>
        </w:tc>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 excess of</w:t>
            </w:r>
          </w:p>
        </w:tc>
        <w:tc>
          <w:tcPr>
            <w:tcW w:w="26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quota share coverage (3) (7)</w:t>
            </w:r>
          </w:p>
        </w:tc>
        <w:tc>
          <w:tcPr>
            <w:tcW w:w="2680" w:type="dxa"/>
            <w:vAlign w:val="bottom"/>
            <w:vMerge w:val="restart"/>
          </w:tcPr>
          <w:p>
            <w:pPr>
              <w:jc w:val="right"/>
              <w:ind w:right="248"/>
              <w:spacing w:after="0"/>
              <w:rPr>
                <w:sz w:val="20"/>
                <w:szCs w:val="20"/>
                <w:color w:val="auto"/>
              </w:rPr>
            </w:pPr>
            <w:r>
              <w:rPr>
                <w:rFonts w:ascii="Arial" w:cs="Arial" w:eastAsia="Arial" w:hAnsi="Arial"/>
                <w:sz w:val="14"/>
                <w:szCs w:val="14"/>
                <w:color w:val="auto"/>
              </w:rPr>
              <w:t>475,000,000</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475,000,000</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602,500,000</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602,500,000</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445,000,000</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Reinstatement premium</w:t>
            </w:r>
          </w:p>
        </w:tc>
        <w:tc>
          <w:tcPr>
            <w:tcW w:w="26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protection (4) (5) (6)</w:t>
            </w:r>
          </w:p>
        </w:tc>
        <w:tc>
          <w:tcPr>
            <w:tcW w:w="2680" w:type="dxa"/>
            <w:vAlign w:val="bottom"/>
          </w:tcPr>
          <w:p>
            <w:pPr>
              <w:jc w:val="right"/>
              <w:ind w:right="248"/>
              <w:spacing w:after="0"/>
              <w:rPr>
                <w:sz w:val="20"/>
                <w:szCs w:val="20"/>
                <w:color w:val="auto"/>
              </w:rPr>
            </w:pPr>
            <w:r>
              <w:rPr>
                <w:rFonts w:ascii="Arial" w:cs="Arial" w:eastAsia="Arial" w:hAnsi="Arial"/>
                <w:sz w:val="14"/>
                <w:szCs w:val="14"/>
                <w:color w:val="auto"/>
              </w:rPr>
              <w:t>Yes</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Yes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Yes</w:t>
            </w:r>
          </w:p>
        </w:tc>
        <w:tc>
          <w:tcPr>
            <w:tcW w:w="3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Yes</w:t>
            </w:r>
          </w:p>
        </w:tc>
        <w:tc>
          <w:tcPr>
            <w:tcW w:w="3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460" w:right="20" w:hanging="452"/>
        <w:spacing w:after="0" w:line="25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Plus losses in excess of catastrophe coverage. Effective July 1, 2020, no reinsurance coverage for the $2,500,000 gap between quota share limit of $7,500,000 and first $10,000,000 layer of catastrophe coverage (see note 7 below).</w:t>
      </w: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2018, reinstatement premium protection for $210,000,000 of catastrophe coverage in excess of $5,000,000.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2019, reinstatement premium protection for $292,500,000 of catastrophe coverage in excess of $7,500,000.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2020, reinstatement premium protection for $70,000,000 of catastrophe coverage in excess of $10,000,000.</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Quota share expires December 31, 2020; reinsurance coverage from January 1, 2021 through June 30, 2021 is only for excess of loss and catastrophe reinsurance.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0"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859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Personal Lines</w:t>
      </w: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Personal Umbrella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first $1,000,000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excess of $1,000,000 dollars of coverage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reinsurance coverage per occurrence</w:t>
      </w:r>
    </w:p>
    <w:p>
      <w:pPr>
        <w:spacing w:after="0" w:line="42" w:lineRule="exact"/>
        <w:rPr>
          <w:sz w:val="20"/>
          <w:szCs w:val="20"/>
          <w:color w:val="auto"/>
        </w:rPr>
      </w:pPr>
    </w:p>
    <w:p>
      <w:pPr>
        <w:ind w:left="160" w:right="2360" w:firstLine="288"/>
        <w:spacing w:after="0" w:line="333" w:lineRule="auto"/>
        <w:rPr>
          <w:sz w:val="20"/>
          <w:szCs w:val="20"/>
          <w:color w:val="auto"/>
        </w:rPr>
      </w:pPr>
      <w:r>
        <w:rPr>
          <w:rFonts w:ascii="Arial" w:cs="Arial" w:eastAsia="Arial" w:hAnsi="Arial"/>
          <w:sz w:val="14"/>
          <w:szCs w:val="14"/>
          <w:color w:val="auto"/>
        </w:rPr>
        <w:t>Losses per occurrence subject to quota share reinsurance coverage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Commercial Lines</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General liability commercial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Excess of loss coverage above risk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reinsurance coverage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Losses per occurrence subject to reinsurance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Commercial Umbrella</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Quota share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first $1,000,000 of coverage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Percent ceded - excess of $1,000,000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Risk retained</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reinsurance coverage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60" w:right="2360" w:firstLine="288"/>
        <w:spacing w:after="0" w:line="333" w:lineRule="auto"/>
        <w:rPr>
          <w:sz w:val="20"/>
          <w:szCs w:val="20"/>
          <w:color w:val="auto"/>
        </w:rPr>
      </w:pPr>
      <w:r>
        <w:rPr>
          <w:rFonts w:ascii="Arial" w:cs="Arial" w:eastAsia="Arial" w:hAnsi="Arial"/>
          <w:sz w:val="14"/>
          <w:szCs w:val="14"/>
          <w:color w:val="auto"/>
        </w:rPr>
        <w:t>Losses per occurrence subject to quota share reinsurance coverage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Treaty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4003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2020</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2019</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2018</w:t>
            </w:r>
          </w:p>
        </w:tc>
      </w:tr>
      <w:tr>
        <w:trPr>
          <w:trHeight w:val="203"/>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r>
      <w:tr>
        <w:trPr>
          <w:trHeight w:val="174"/>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3"/>
        </w:trPr>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4,900,000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4,900,000</w:t>
            </w:r>
          </w:p>
        </w:tc>
      </w:tr>
      <w:tr>
        <w:trPr>
          <w:trHeight w:val="196"/>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5,000,000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5,000,000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5,000,000</w:t>
            </w:r>
          </w:p>
        </w:tc>
      </w:tr>
      <w:tr>
        <w:trPr>
          <w:trHeight w:val="182"/>
        </w:trPr>
        <w:tc>
          <w:tcPr>
            <w:tcW w:w="1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June 30, 2021</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June 30, 2020</w:t>
            </w: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2019</w:t>
            </w:r>
          </w:p>
        </w:tc>
      </w:tr>
      <w:tr>
        <w:trPr>
          <w:trHeight w:val="810"/>
        </w:trPr>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None</w:t>
            </w:r>
          </w:p>
        </w:tc>
      </w:tr>
      <w:tr>
        <w:trPr>
          <w:trHeight w:val="229"/>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r>
      <w:tr>
        <w:trPr>
          <w:trHeight w:val="196"/>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3,750,000</w:t>
            </w:r>
          </w:p>
        </w:tc>
      </w:tr>
      <w:tr>
        <w:trPr>
          <w:trHeight w:val="182"/>
        </w:trPr>
        <w:tc>
          <w:tcPr>
            <w:tcW w:w="1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in excess of</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in excess of</w:t>
            </w: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in excess of</w:t>
            </w:r>
          </w:p>
        </w:tc>
      </w:tr>
      <w:tr>
        <w:trPr>
          <w:trHeight w:val="229"/>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750,000</w:t>
            </w:r>
          </w:p>
        </w:tc>
      </w:tr>
      <w:tr>
        <w:trPr>
          <w:trHeight w:val="20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3,750,000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3,750,000</w:t>
            </w:r>
          </w:p>
        </w:tc>
      </w:tr>
      <w:tr>
        <w:trPr>
          <w:trHeight w:val="202"/>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4,500,000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4,500,000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4,500,000</w:t>
            </w:r>
          </w:p>
        </w:tc>
      </w:tr>
      <w:tr>
        <w:trPr>
          <w:trHeight w:val="581"/>
        </w:trPr>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None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2"/>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3"/>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100,000</w:t>
            </w:r>
          </w:p>
        </w:tc>
      </w:tr>
      <w:tr>
        <w:trPr>
          <w:trHeight w:val="203"/>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4,900,000</w:t>
            </w:r>
          </w:p>
        </w:tc>
      </w:tr>
      <w:tr>
        <w:trPr>
          <w:trHeight w:val="19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5,000,000</w:t>
            </w:r>
          </w:p>
        </w:tc>
      </w:tr>
      <w:tr>
        <w:trPr>
          <w:trHeight w:val="182"/>
        </w:trPr>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June 30, 2019</w:t>
            </w:r>
          </w:p>
        </w:tc>
      </w:tr>
    </w:tbl>
    <w:p>
      <w:pPr>
        <w:sectPr>
          <w:pgSz w:w="11900" w:h="16838" w:orient="portrait"/>
          <w:cols w:equalWidth="0" w:num="2">
            <w:col w:w="6620" w:space="720"/>
            <w:col w:w="3900"/>
          </w:cols>
          <w:pgMar w:left="320" w:top="120" w:right="339" w:bottom="0" w:gutter="0" w:footer="0" w:header="0"/>
          <w:type w:val="continuous"/>
        </w:sectPr>
      </w:pPr>
    </w:p>
    <w:bookmarkStart w:id="53" w:name="page54"/>
    <w:bookmarkEnd w:id="53"/>
    <w:p>
      <w:pPr>
        <w:spacing w:after="0" w:line="4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catastrophe reinsurance treaty expired on June 30, 2020. Our growth in personal lines premiums and the increasing coastal exposure in Expansion states has increased our risks for catastrophes. Our catastrophe rates increased effective July 1, 2020 to reflect our increased risk and size of our personal lines business as well as increases in the reinsurance market related to COVID-19 exposure.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In addition, because COVID-19 did not begin to affect our financial results until late in the first quarter of 2020, its impact on our results through June 30, 2020 is not indicative of its impact on our results for the remainder of 2020.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have rapidly deteriorated. The decreased levels of economic activity will negatively impact premium volumes generated by new business. We began to experience this impact in March 2020 and it became more significant in the second quarter of 2020. We also expect this impact will further persist but to a lesser extent for the remainder of 2020, but the degree of the impact will depend on the extent and duration of the economic contraction and could be material. We have also made underwriting changes to emphasize profitability over growth and have culled out the type of risks that do not generate an acceptable level of return. This action has lead, and will continue to lead, to a slowdown in premium growth, particularly in new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4820"/>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u w:val="single" w:color="auto"/>
          <w:color w:val="auto"/>
        </w:rPr>
        <w:t>Quantitative and Qualitative Disclosures About Market Risk</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is not applicable to smaller reporting companies.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u w:val="single" w:color="auto"/>
          <w:color w:val="auto"/>
        </w:rPr>
        <w:t>Controls and Procedures</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right="100" w:firstLine="607"/>
        <w:spacing w:after="0" w:line="252" w:lineRule="auto"/>
        <w:rPr>
          <w:sz w:val="20"/>
          <w:szCs w:val="20"/>
          <w:color w:val="auto"/>
        </w:rPr>
      </w:pPr>
      <w:r>
        <w:rPr>
          <w:rFonts w:ascii="Arial" w:cs="Arial" w:eastAsia="Arial" w:hAnsi="Arial"/>
          <w:sz w:val="21"/>
          <w:szCs w:val="21"/>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ectPr>
          <w:pgSz w:w="11900" w:h="16880" w:orient="portrait"/>
          <w:cols w:equalWidth="0" w:num="1">
            <w:col w:w="11240"/>
          </w:cols>
          <w:pgMar w:left="320" w:top="361" w:right="339" w:bottom="0" w:gutter="0" w:footer="0" w:header="0"/>
        </w:sectPr>
      </w:pPr>
    </w:p>
    <w:bookmarkStart w:id="54" w:name="page55"/>
    <w:bookmarkEnd w:id="54"/>
    <w:p>
      <w:pPr>
        <w:spacing w:after="0" w:line="8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Remediation of Material Weakness</w:t>
      </w:r>
    </w:p>
    <w:p>
      <w:pPr>
        <w:spacing w:after="0" w:line="233" w:lineRule="exact"/>
        <w:rPr>
          <w:sz w:val="20"/>
          <w:szCs w:val="20"/>
          <w:color w:val="auto"/>
        </w:rPr>
      </w:pPr>
    </w:p>
    <w:p>
      <w:pPr>
        <w:ind w:left="620" w:right="20" w:firstLine="608"/>
        <w:spacing w:after="0" w:line="246" w:lineRule="auto"/>
        <w:rPr>
          <w:sz w:val="20"/>
          <w:szCs w:val="20"/>
          <w:color w:val="auto"/>
        </w:rPr>
      </w:pPr>
      <w:r>
        <w:rPr>
          <w:rFonts w:ascii="Arial" w:cs="Arial" w:eastAsia="Arial" w:hAnsi="Arial"/>
          <w:sz w:val="21"/>
          <w:szCs w:val="21"/>
          <w:color w:val="auto"/>
        </w:rPr>
        <w:t>During the quarter ended September 30, 2019 we identified and disclosed material weakness in our internal control over financial reporting relating to ineffective operation of controls related to the establishment and ongoing monitoring of case reserves for losses and loss adjustment expenses. Case reserve estimates are subject to individual judgment, and provide the primary information used as the basis for setting overall reserve levels including a provision for IBNR reserves. In order to remediate the material weakness identified as of September 30, 2019, we made the following changes outlined directly below, which include changes and/or enhancements to our internal controls over financial reporting within our claims cycle and they are as follows:</w:t>
      </w:r>
    </w:p>
    <w:p>
      <w:pPr>
        <w:spacing w:after="0" w:line="218" w:lineRule="exact"/>
        <w:rPr>
          <w:sz w:val="20"/>
          <w:szCs w:val="20"/>
          <w:color w:val="auto"/>
        </w:rPr>
      </w:pPr>
    </w:p>
    <w:p>
      <w:pPr>
        <w:ind w:left="920" w:right="40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Engaged external resources to perform a comprehensive review of our claims operations surrounding the establishment and monitoring of liability case reserves;</w:t>
      </w:r>
    </w:p>
    <w:p>
      <w:pPr>
        <w:spacing w:after="0" w:line="170" w:lineRule="exact"/>
        <w:rPr>
          <w:rFonts w:ascii="Arial" w:cs="Arial" w:eastAsia="Arial" w:hAnsi="Arial"/>
          <w:sz w:val="18"/>
          <w:szCs w:val="18"/>
          <w:color w:val="auto"/>
        </w:rPr>
      </w:pPr>
    </w:p>
    <w:p>
      <w:pPr>
        <w:ind w:left="920" w:right="28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Hired a new Chief Claims Officer whose role includes a review of the entire population of case reserves to the policy level to ensure proper valuation, existence, and completeness;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the number, experience level and skill of the personnel involved in our claims function through hiring and improved training;</w:t>
      </w:r>
    </w:p>
    <w:p>
      <w:pPr>
        <w:spacing w:after="0" w:line="236" w:lineRule="exact"/>
        <w:rPr>
          <w:rFonts w:ascii="Arial" w:cs="Arial" w:eastAsia="Arial" w:hAnsi="Arial"/>
          <w:sz w:val="17"/>
          <w:szCs w:val="17"/>
          <w:color w:val="auto"/>
        </w:rPr>
      </w:pPr>
    </w:p>
    <w:p>
      <w:pPr>
        <w:ind w:left="920" w:right="40" w:hanging="467"/>
        <w:spacing w:after="0" w:line="263"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Performed a thorough review of existing policies and procedures in place to facilitate the development and documentation of controls over financial reporting regarding liability case reserves.This review led to the addition of multiple controls including a quality assurance process as well as enhanced documentation of our existing controls in place;</w:t>
      </w:r>
    </w:p>
    <w:p>
      <w:pPr>
        <w:spacing w:after="0" w:line="167" w:lineRule="exact"/>
        <w:rPr>
          <w:sz w:val="20"/>
          <w:szCs w:val="20"/>
          <w:color w:val="auto"/>
        </w:rPr>
      </w:pPr>
    </w:p>
    <w:p>
      <w:pPr>
        <w:ind w:left="920" w:hanging="467"/>
        <w:spacing w:after="0"/>
        <w:tabs>
          <w:tab w:leader="none" w:pos="920" w:val="left"/>
        </w:tabs>
        <w:numPr>
          <w:ilvl w:val="0"/>
          <w:numId w:val="20"/>
        </w:numPr>
        <w:rPr>
          <w:rFonts w:ascii="Arial" w:cs="Arial" w:eastAsia="Arial" w:hAnsi="Arial"/>
          <w:sz w:val="25"/>
          <w:szCs w:val="25"/>
          <w:color w:val="auto"/>
        </w:rPr>
      </w:pPr>
      <w:r>
        <w:rPr>
          <w:rFonts w:ascii="Arial" w:cs="Arial" w:eastAsia="Arial" w:hAnsi="Arial"/>
          <w:sz w:val="18"/>
          <w:szCs w:val="18"/>
          <w:color w:val="auto"/>
        </w:rPr>
        <w:t>Added new and enhanced existing controls within our claims transaction cycle.</w:t>
      </w:r>
    </w:p>
    <w:p>
      <w:pPr>
        <w:spacing w:after="0" w:line="242" w:lineRule="exact"/>
        <w:rPr>
          <w:sz w:val="20"/>
          <w:szCs w:val="20"/>
          <w:color w:val="auto"/>
        </w:rPr>
      </w:pPr>
    </w:p>
    <w:p>
      <w:pPr>
        <w:ind w:left="920" w:right="360" w:hanging="467"/>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Enhanced testing procedures performed by our outsourced internal audit to ensure adequate design and operating effectiveness of new and existing internal controls;</w:t>
      </w:r>
    </w:p>
    <w:p>
      <w:pPr>
        <w:spacing w:after="0" w:line="190" w:lineRule="exact"/>
        <w:rPr>
          <w:sz w:val="20"/>
          <w:szCs w:val="20"/>
          <w:color w:val="auto"/>
        </w:rPr>
      </w:pPr>
    </w:p>
    <w:p>
      <w:pPr>
        <w:ind w:right="480" w:firstLine="607"/>
        <w:spacing w:after="0" w:line="328" w:lineRule="auto"/>
        <w:rPr>
          <w:sz w:val="20"/>
          <w:szCs w:val="20"/>
          <w:color w:val="auto"/>
        </w:rPr>
      </w:pPr>
      <w:r>
        <w:rPr>
          <w:rFonts w:ascii="Arial" w:cs="Arial" w:eastAsia="Arial" w:hAnsi="Arial"/>
          <w:sz w:val="19"/>
          <w:szCs w:val="19"/>
          <w:color w:val="auto"/>
        </w:rPr>
        <w:t>We believe that these actions, which are all incorporated in the process of estimating the liability for case reserves for losses and loss adjustment expenses, were sufficient to remediate the material weakness as of June 30, 2020.</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Except for the steps taken to remediate the material weakness identified above,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Inherent Limitation on Effectiveness of Controls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PART II. </w:t>
      </w:r>
      <w:r>
        <w:rPr>
          <w:rFonts w:ascii="Arial" w:cs="Arial" w:eastAsia="Arial" w:hAnsi="Arial"/>
          <w:sz w:val="22"/>
          <w:szCs w:val="22"/>
          <w:b w:val="1"/>
          <w:bCs w:val="1"/>
          <w:u w:val="single" w:color="auto"/>
          <w:color w:val="auto"/>
        </w:rPr>
        <w:t>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u w:val="single" w:color="auto"/>
          <w:color w:val="auto"/>
        </w:rPr>
        <w:t>Legal Proceedings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9"/>
          <w:szCs w:val="19"/>
          <w:i w:val="1"/>
          <w:iCs w:val="1"/>
          <w:color w:val="auto"/>
        </w:rPr>
        <w:t>Woolgar v. Kingstone Companies et al.</w:t>
      </w:r>
      <w:r>
        <w:rPr>
          <w:rFonts w:ascii="Arial" w:cs="Arial" w:eastAsia="Arial" w:hAnsi="Arial"/>
          <w:sz w:val="19"/>
          <w:szCs w:val="19"/>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after consulting legal counsel, believes the</w:t>
      </w:r>
    </w:p>
    <w:p>
      <w:pPr>
        <w:sectPr>
          <w:pgSz w:w="11900" w:h="16928" w:orient="portrait"/>
          <w:cols w:equalWidth="0" w:num="1">
            <w:col w:w="11240"/>
          </w:cols>
          <w:pgMar w:left="320" w:top="361" w:right="339" w:bottom="0" w:gutter="0" w:footer="0" w:header="0"/>
        </w:sectPr>
      </w:pPr>
    </w:p>
    <w:bookmarkStart w:id="55" w:name="page56"/>
    <w:bookmarkEnd w:id="55"/>
    <w:p>
      <w:pPr>
        <w:jc w:val="both"/>
        <w:spacing w:after="0" w:line="234" w:lineRule="auto"/>
        <w:rPr>
          <w:sz w:val="20"/>
          <w:szCs w:val="20"/>
          <w:color w:val="auto"/>
        </w:rPr>
      </w:pPr>
      <w:r>
        <w:rPr>
          <w:rFonts w:ascii="Arial" w:cs="Arial" w:eastAsia="Arial" w:hAnsi="Arial"/>
          <w:sz w:val="22"/>
          <w:szCs w:val="22"/>
          <w:color w:val="auto"/>
        </w:rPr>
        <w:t>lawsuit to be without merit. On August 10, 2020, the court granted the Company’s motion to dismiss the amended complaint in the suit. The court has permitted plaintiff to amend the complaint to attempt to cure the deficiencies identified by the court in its opinion (to the extent plaintiff has a good faith basis to do so). The amended complaint, if any, would need to be filed by September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u w:val="single" w:color="auto"/>
          <w:color w:val="auto"/>
        </w:rPr>
        <w:t>Risk Factors</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a discussion of the Company’s potential risks and uncertainties, see Part I, Item 1A- “Risk Factors” and Part II, Item 7- “Management’s Discussion and Analysis of Financial Condition and Results of Operations” in the Company’s 2019 Annual Report filed with the SEC, and Part I, Item 2-“Management’s Discussion and Analysis of Financial Condition and Results of Operations” herein, in each case as updated by the Company's periodic filings with the SEC. Other than as described below, there have been no material changes to the risk factors disclosed in Part I, Item 1A of the Company’s 2019 Annual Report.</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impact of COVID-19 and related risks could materially affect our results of operations, financial position and/or liquidity.</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Beginning in March 2020, the global pandemic related to the novel coronavirus COVID-19 began to impact the global economy and our results of operations. Because of the size and breadth of this pandemic, all of the direct and indirect consequences of COVID-19 are not yet known and may not emerge for some time. Risks presented by the ongoing effects of COVID-19 include, among others, the following:</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u w:val="single" w:color="auto"/>
          <w:color w:val="auto"/>
        </w:rPr>
        <w:t>Revenues.</w:t>
      </w:r>
      <w:r>
        <w:rPr>
          <w:rFonts w:ascii="Arial" w:cs="Arial" w:eastAsia="Arial" w:hAnsi="Arial"/>
          <w:sz w:val="22"/>
          <w:szCs w:val="22"/>
          <w:i w:val="1"/>
          <w:iCs w:val="1"/>
          <w:color w:val="auto"/>
        </w:rPr>
        <w:t xml:space="preserve"> </w:t>
      </w:r>
      <w:r>
        <w:rPr>
          <w:rFonts w:ascii="Arial" w:cs="Arial" w:eastAsia="Arial" w:hAnsi="Arial"/>
          <w:sz w:val="22"/>
          <w:szCs w:val="22"/>
          <w:color w:val="auto"/>
        </w:rPr>
        <w:t>We expect that the impact of COVID-19 on general economic activity will negatively impact our premium</w:t>
      </w:r>
      <w:r>
        <w:rPr>
          <w:rFonts w:ascii="Arial" w:cs="Arial" w:eastAsia="Arial" w:hAnsi="Arial"/>
          <w:sz w:val="22"/>
          <w:szCs w:val="22"/>
          <w:i w:val="1"/>
          <w:iCs w:val="1"/>
          <w:color w:val="auto"/>
        </w:rPr>
        <w:t xml:space="preserve"> </w:t>
      </w:r>
      <w:r>
        <w:rPr>
          <w:rFonts w:ascii="Arial" w:cs="Arial" w:eastAsia="Arial" w:hAnsi="Arial"/>
          <w:sz w:val="22"/>
          <w:szCs w:val="22"/>
          <w:color w:val="auto"/>
        </w:rPr>
        <w:t>volumes. We began to experience this impact in March 2020 and it became more significant in the second quarter of 2020. We also expect this impact will further persist but to a lesser extent for the remainder of 2020, but the degree of the impact will depend on the extent and duration of the economic contraction and could be material.</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u w:val="single" w:color="auto"/>
          <w:color w:val="auto"/>
        </w:rPr>
        <w:t>Investments.</w:t>
      </w:r>
      <w:r>
        <w:rPr>
          <w:rFonts w:ascii="Arial" w:cs="Arial" w:eastAsia="Arial" w:hAnsi="Arial"/>
          <w:sz w:val="19"/>
          <w:szCs w:val="19"/>
          <w:i w:val="1"/>
          <w:iCs w:val="1"/>
          <w:color w:val="auto"/>
        </w:rPr>
        <w:t xml:space="preserve"> </w:t>
      </w:r>
      <w:r>
        <w:rPr>
          <w:rFonts w:ascii="Arial" w:cs="Arial" w:eastAsia="Arial" w:hAnsi="Arial"/>
          <w:sz w:val="19"/>
          <w:szCs w:val="19"/>
          <w:color w:val="auto"/>
        </w:rPr>
        <w:t>The disruption in the financial markets related to COVID-19 has contributed to net investment losses,</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due to the impact of 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u w:val="single" w:color="auto"/>
          <w:color w:val="auto"/>
        </w:rPr>
        <w:t>Adverse Legislative and/or Regulatory Action.</w:t>
      </w:r>
      <w:r>
        <w:rPr>
          <w:rFonts w:ascii="Arial" w:cs="Arial" w:eastAsia="Arial" w:hAnsi="Arial"/>
          <w:sz w:val="19"/>
          <w:szCs w:val="19"/>
          <w:i w:val="1"/>
          <w:iCs w:val="1"/>
          <w:color w:val="auto"/>
        </w:rPr>
        <w:t xml:space="preserve"> </w:t>
      </w:r>
      <w:r>
        <w:rPr>
          <w:rFonts w:ascii="Arial" w:cs="Arial" w:eastAsia="Arial" w:hAnsi="Arial"/>
          <w:sz w:val="19"/>
          <w:szCs w:val="19"/>
          <w:color w:val="auto"/>
        </w:rPr>
        <w:t>Federal, state and local government actions to address and contain the</w:t>
      </w:r>
      <w:r>
        <w:rPr>
          <w:rFonts w:ascii="Arial" w:cs="Arial" w:eastAsia="Arial" w:hAnsi="Arial"/>
          <w:sz w:val="19"/>
          <w:szCs w:val="19"/>
          <w:i w:val="1"/>
          <w:iCs w:val="1"/>
          <w:color w:val="auto"/>
        </w:rPr>
        <w:t xml:space="preserve"> </w:t>
      </w:r>
      <w:r>
        <w:rPr>
          <w:rFonts w:ascii="Arial" w:cs="Arial" w:eastAsia="Arial" w:hAnsi="Arial"/>
          <w:sz w:val="19"/>
          <w:szCs w:val="19"/>
          <w:color w:val="auto"/>
        </w:rPr>
        <w:t>impact of COVID-19 may 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u w:val="single" w:color="auto"/>
          <w:color w:val="auto"/>
        </w:rPr>
        <w:t>Operational Disruptions and Heightened Cybersecurity Risks.</w:t>
      </w:r>
      <w:r>
        <w:rPr>
          <w:rFonts w:ascii="Arial" w:cs="Arial" w:eastAsia="Arial" w:hAnsi="Arial"/>
          <w:sz w:val="22"/>
          <w:szCs w:val="22"/>
          <w:i w:val="1"/>
          <w:iCs w:val="1"/>
          <w:color w:val="auto"/>
        </w:rPr>
        <w:t xml:space="preserve"> </w:t>
      </w:r>
      <w:r>
        <w:rPr>
          <w:rFonts w:ascii="Arial" w:cs="Arial" w:eastAsia="Arial" w:hAnsi="Arial"/>
          <w:sz w:val="22"/>
          <w:szCs w:val="22"/>
          <w:color w:val="auto"/>
        </w:rPr>
        <w:t>Our operations could be disrupted if key members of our</w:t>
      </w:r>
      <w:r>
        <w:rPr>
          <w:rFonts w:ascii="Arial" w:cs="Arial" w:eastAsia="Arial" w:hAnsi="Arial"/>
          <w:sz w:val="22"/>
          <w:szCs w:val="22"/>
          <w:i w:val="1"/>
          <w:iCs w:val="1"/>
          <w:color w:val="auto"/>
        </w:rPr>
        <w:t xml:space="preserve"> </w:t>
      </w:r>
      <w:r>
        <w:rPr>
          <w:rFonts w:ascii="Arial" w:cs="Arial" w:eastAsia="Arial" w:hAnsi="Arial"/>
          <w:sz w:val="22"/>
          <w:szCs w:val="22"/>
          <w:color w:val="auto"/>
        </w:rPr>
        <w:t>senior management or a 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u w:val="single" w:color="auto"/>
          <w:color w:val="auto"/>
        </w:rPr>
        <w:t>Reinsurance Risks.</w:t>
      </w:r>
      <w:r>
        <w:rPr>
          <w:rFonts w:ascii="Arial" w:cs="Arial" w:eastAsia="Arial" w:hAnsi="Arial"/>
          <w:sz w:val="19"/>
          <w:szCs w:val="19"/>
          <w:i w:val="1"/>
          <w:iCs w:val="1"/>
          <w:color w:val="auto"/>
        </w:rPr>
        <w:t xml:space="preserve"> </w:t>
      </w:r>
      <w:r>
        <w:rPr>
          <w:rFonts w:ascii="Arial" w:cs="Arial" w:eastAsia="Arial" w:hAnsi="Arial"/>
          <w:sz w:val="19"/>
          <w:szCs w:val="19"/>
          <w:color w:val="auto"/>
        </w:rPr>
        <w:t>We purchase reinsurance to reduce our net liability on individual risks, to protect against possible</w:t>
      </w:r>
      <w:r>
        <w:rPr>
          <w:rFonts w:ascii="Arial" w:cs="Arial" w:eastAsia="Arial" w:hAnsi="Arial"/>
          <w:sz w:val="19"/>
          <w:szCs w:val="19"/>
          <w:i w:val="1"/>
          <w:iCs w:val="1"/>
          <w:color w:val="auto"/>
        </w:rPr>
        <w:t xml:space="preserve"> </w:t>
      </w:r>
      <w:r>
        <w:rPr>
          <w:rFonts w:ascii="Arial" w:cs="Arial" w:eastAsia="Arial" w:hAnsi="Arial"/>
          <w:sz w:val="19"/>
          <w:szCs w:val="19"/>
          <w:color w:val="auto"/>
        </w:rPr>
        <w:t>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including the effect of COVID-19 on the reinsurance market, have impacted and may continue to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sectPr>
          <w:pgSz w:w="11900" w:h="16838" w:orient="portrait"/>
          <w:cols w:equalWidth="0" w:num="1">
            <w:col w:w="11240"/>
          </w:cols>
          <w:pgMar w:left="320" w:top="118" w:right="339" w:bottom="0" w:gutter="0" w:footer="0" w:header="0"/>
        </w:sectPr>
      </w:pPr>
    </w:p>
    <w:bookmarkStart w:id="56" w:name="page57"/>
    <w:bookmarkEnd w:id="56"/>
    <w:p>
      <w:pPr>
        <w:ind w:right="40"/>
        <w:spacing w:after="0" w:line="256" w:lineRule="auto"/>
        <w:rPr>
          <w:sz w:val="20"/>
          <w:szCs w:val="20"/>
          <w:color w:val="auto"/>
        </w:rPr>
      </w:pPr>
      <w:r>
        <w:rPr>
          <w:rFonts w:ascii="Arial" w:cs="Arial" w:eastAsia="Arial" w:hAnsi="Arial"/>
          <w:sz w:val="22"/>
          <w:szCs w:val="22"/>
          <w:b w:val="1"/>
          <w:bCs w:val="1"/>
          <w:color w:val="auto"/>
        </w:rPr>
        <w:t>Recent decline in the financial strength rating assigned to our insurance subsidiary by A.M. Best will impact our revenues and earnings.</w:t>
      </w:r>
    </w:p>
    <w:p>
      <w:pPr>
        <w:spacing w:after="0" w:line="19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spacing w:after="0" w:line="20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Our ratings are subject to periodic review by, and may be revised downward or revoked at the sole discretion of, the rating agencies. Our ability to write business, particularly commercial liability lines, is influenced by our financial strength rating from A.M. Best. On July 10, 2020, A.M. Best lowered the financial strength rating of KICO from “A-“ (Excellent) to “B++” (Good). The outlook of A.M. Best’s credit rating is negative. A.M. Best indicated that the ratings downgrade of KICO reflects its balance sheet strength, which A.M. Best categorizes as adequate, as well as its strong operating performance, limited business profile and appropriate enterprise risk management. It stated that the ratings action was driven by a revision in KICO’s catastrophe reinsurance program effective July 1, 2020 which significantly reduces the amount of reinsurance protection previously contemplated and purchased.</w:t>
      </w:r>
    </w:p>
    <w:p>
      <w:pPr>
        <w:spacing w:after="0" w:line="21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Management believes that A.M. Best’s financial strength rating is more significant with regard to commercial liability insurance, as opposed to personal lines business. Since we have discontinued our commercial lines business, we believe that A.M. Best’s rating action will not result in a material decrease in the amount of business that KICO will be a ble to write. However, the A.M Best ratings downgrade has resulted in a material decrease in the business of our subsidiary, Cosi, a multi-state licensed general agency that had partnered with name-brand carriers which require an A.M. Best “A-“ rating from its partners.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effects of Tropical Storm Isaias will be material to our results of operations for the third quarter of 2020</w:t>
      </w:r>
      <w:r>
        <w:rPr>
          <w:rFonts w:ascii="Arial" w:cs="Arial" w:eastAsia="Arial" w:hAnsi="Arial"/>
          <w:sz w:val="21"/>
          <w:szCs w:val="21"/>
          <w:b w:val="1"/>
          <w:bCs w:val="1"/>
          <w:i w:val="1"/>
          <w:iCs w:val="1"/>
          <w:color w:val="auto"/>
        </w:rPr>
        <w:t>.</w:t>
      </w: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August 4, 2020, the Northeast, which is the primary location of KICO’s insureds, was struck by Tropical Storm Isaias which caused power outages and significant damage to homes. We have received more than 1,100 claims relating to the storm. We are unable to determine the aggregate dollar amount of the claims at this time but the claims will in all likelihood have a material adverse effect upon our 2020 third quarter results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u w:val="single" w:color="auto"/>
          <w:color w:val="auto"/>
        </w:rPr>
        <w:t>Unregistered Sales of Equity Securities and Use of Proceeds.</w:t>
      </w:r>
    </w:p>
    <w:p>
      <w:pPr>
        <w:spacing w:after="0" w:line="239"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None.</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firstLine="656"/>
        <w:spacing w:after="0" w:line="250" w:lineRule="auto"/>
        <w:tabs>
          <w:tab w:leader="none" w:pos="9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following table sets forth certain information with respect to purchases of common stock made by us during the quarter ended June 30,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May Be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Price Paid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940" w:type="dxa"/>
            <w:vAlign w:val="bottom"/>
          </w:tcPr>
          <w:p>
            <w:pPr>
              <w:ind w:left="27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Purchased(1)</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4/1/20 - 4/30/20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5/1/20 - 5/31/20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121,236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6/1/20 - 6/30/20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(1) Purchases were made by us in open market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u w:val="single" w:color="auto"/>
          <w:color w:val="auto"/>
        </w:rPr>
        <w:t>Defaults Upon Senior Securities</w:t>
      </w:r>
      <w:r>
        <w:rPr>
          <w:rFonts w:ascii="Arial" w:cs="Arial" w:eastAsia="Arial" w:hAnsi="Arial"/>
          <w:sz w:val="22"/>
          <w:szCs w:val="22"/>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u w:val="single" w:color="auto"/>
          <w:color w:val="auto"/>
        </w:rPr>
        <w:t>Mine Safety Disclosures</w:t>
      </w:r>
      <w:r>
        <w:rPr>
          <w:rFonts w:ascii="Arial" w:cs="Arial" w:eastAsia="Arial" w:hAnsi="Arial"/>
          <w:sz w:val="22"/>
          <w:szCs w:val="22"/>
          <w:color w:val="auto"/>
        </w:rPr>
        <w:t>.</w:t>
      </w:r>
    </w:p>
    <w:p>
      <w:pPr>
        <w:sectPr>
          <w:pgSz w:w="11900" w:h="16838" w:orient="portrait"/>
          <w:cols w:equalWidth="0" w:num="1">
            <w:col w:w="11240"/>
          </w:cols>
          <w:pgMar w:left="320" w:top="355" w:right="339" w:bottom="19" w:gutter="0" w:footer="0" w:header="0"/>
        </w:sectPr>
      </w:pPr>
    </w:p>
    <w:bookmarkStart w:id="57" w:name="page58"/>
    <w:bookmarkEnd w:id="57"/>
    <w:p>
      <w:pPr>
        <w:ind w:left="660"/>
        <w:spacing w:after="0"/>
        <w:rPr>
          <w:sz w:val="20"/>
          <w:szCs w:val="20"/>
          <w:color w:val="auto"/>
        </w:rPr>
      </w:pPr>
      <w:r>
        <w:rPr>
          <w:rFonts w:ascii="Arial" w:cs="Arial" w:eastAsia="Arial" w:hAnsi="Arial"/>
          <w:sz w:val="22"/>
          <w:szCs w:val="22"/>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u w:val="single" w:color="auto"/>
          <w:color w:val="auto"/>
        </w:rPr>
        <w:t>Other Information</w:t>
      </w:r>
      <w:r>
        <w:rPr>
          <w:rFonts w:ascii="Arial" w:cs="Arial" w:eastAsia="Arial" w:hAnsi="Arial"/>
          <w:sz w:val="22"/>
          <w:szCs w:val="22"/>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u w:val="single" w:color="auto"/>
          <w:color w:val="auto"/>
        </w:rPr>
        <w:t>Exhibits</w:t>
      </w:r>
      <w:r>
        <w:rPr>
          <w:rFonts w:ascii="Arial" w:cs="Arial" w:eastAsia="Arial" w:hAnsi="Arial"/>
          <w:sz w:val="22"/>
          <w:szCs w:val="22"/>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3(a)</w:t>
            </w:r>
          </w:p>
        </w:tc>
        <w:tc>
          <w:tcPr>
            <w:tcW w:w="97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Restated Certificate of Incorporation, as amended (incorporated by reference to Exhibit 3(a) to the Company’s Quarterly Report on</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9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Form 10-Q for the period ended March 31, 2014 filed on May 15, 2014).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3(b)</w:t>
            </w:r>
          </w:p>
        </w:tc>
        <w:tc>
          <w:tcPr>
            <w:tcW w:w="97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By-laws, as amended (incorporated by reference to Exhibit 3.1 to the Company’s Current Report on Form 8-K filed on November 9,</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680" w:type="dxa"/>
            <w:vAlign w:val="bottom"/>
            <w:shd w:val="clear" w:color="auto" w:fill="CCEEFF"/>
          </w:tcPr>
          <w:p>
            <w:pPr>
              <w:spacing w:after="0"/>
              <w:rPr>
                <w:sz w:val="20"/>
                <w:szCs w:val="20"/>
                <w:color w:val="auto"/>
              </w:rPr>
            </w:pPr>
          </w:p>
        </w:tc>
        <w:tc>
          <w:tcPr>
            <w:tcW w:w="6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CCEEFF"/>
            </w:tcBorders>
            <w:shd w:val="clear" w:color="auto" w:fill="CCEEFF"/>
          </w:tcPr>
          <w:p>
            <w:pPr>
              <w:jc w:val="right"/>
              <w:ind w:right="250"/>
              <w:spacing w:after="0" w:line="176"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31(a)</w:t>
              </w:r>
            </w:hyperlink>
          </w:p>
        </w:tc>
        <w:tc>
          <w:tcPr>
            <w:tcW w:w="9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Rule 13a-14(a)/15d-14(a) Certification of Principal Executive Officer as adopted pursuant to Section 302 of the Sarbanes-Oxley Act of</w:t>
              </w:r>
            </w:hyperlink>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2002</w:t>
              </w:r>
            </w:hyperlink>
          </w:p>
        </w:tc>
        <w:tc>
          <w:tcPr>
            <w:tcW w:w="26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shd w:val="clear" w:color="auto" w:fill="CCEEFF"/>
          </w:tcPr>
          <w:p>
            <w:pPr>
              <w:jc w:val="right"/>
              <w:ind w:right="250"/>
              <w:spacing w:after="0" w:line="176"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31(b)</w:t>
              </w:r>
            </w:hyperlink>
          </w:p>
        </w:tc>
        <w:tc>
          <w:tcPr>
            <w:tcW w:w="9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Rule 13a-14(a)/15d-14(a) Certification of Principal Financial Officer as adopted pursuant to Section 302 of the Sarbanes-Oxley Act of</w:t>
              </w:r>
            </w:hyperlink>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2002</w:t>
              </w:r>
            </w:hyperlink>
          </w:p>
        </w:tc>
        <w:tc>
          <w:tcPr>
            <w:tcW w:w="26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CCEEFF"/>
            </w:tcBorders>
            <w:shd w:val="clear" w:color="auto" w:fill="CCEEFF"/>
          </w:tcPr>
          <w:p>
            <w:pPr>
              <w:jc w:val="right"/>
              <w:ind w:right="250"/>
              <w:spacing w:after="0" w:line="176"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32+</w:t>
              </w:r>
            </w:hyperlink>
          </w:p>
        </w:tc>
        <w:tc>
          <w:tcPr>
            <w:tcW w:w="9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spacing w:after="0"/>
              <w:rPr>
                <w:sz w:val="18"/>
                <w:szCs w:val="18"/>
                <w:color w:val="auto"/>
              </w:rPr>
            </w:pPr>
          </w:p>
        </w:tc>
        <w:tc>
          <w:tcPr>
            <w:tcW w:w="9780" w:type="dxa"/>
            <w:vAlign w:val="bottom"/>
            <w:gridSpan w:val="4"/>
            <w:shd w:val="clear" w:color="auto" w:fill="CCEEFF"/>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16"/>
        </w:trPr>
        <w:tc>
          <w:tcPr>
            <w:tcW w:w="14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40" w:type="dxa"/>
            <w:vAlign w:val="bottom"/>
            <w:tcBorders>
              <w:top w:val="single" w:sz="8" w:color="0000EE"/>
            </w:tcBorders>
            <w:gridSpan w:val="2"/>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101.INS</w:t>
            </w:r>
          </w:p>
        </w:tc>
        <w:tc>
          <w:tcPr>
            <w:tcW w:w="9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02"/>
        </w:trPr>
        <w:tc>
          <w:tcPr>
            <w:tcW w:w="14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101.SCH</w:t>
            </w:r>
          </w:p>
        </w:tc>
        <w:tc>
          <w:tcPr>
            <w:tcW w:w="9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101.CAL</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101.CAL</w:t>
            </w:r>
          </w:p>
        </w:tc>
        <w:tc>
          <w:tcPr>
            <w:tcW w:w="9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101.DEF</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101.DEF</w:t>
            </w:r>
          </w:p>
        </w:tc>
        <w:tc>
          <w:tcPr>
            <w:tcW w:w="9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101.LAB</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101.PRE</w:t>
            </w:r>
          </w:p>
        </w:tc>
        <w:tc>
          <w:tcPr>
            <w:tcW w:w="9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 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460" w:hanging="433"/>
        <w:spacing w:after="0" w:line="263"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280" w:type="dxa"/>
            <w:vAlign w:val="bottom"/>
            <w:gridSpan w:val="2"/>
          </w:tcPr>
          <w:p>
            <w:pPr>
              <w:ind w:left="202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August 11, 2020</w:t>
            </w:r>
          </w:p>
        </w:tc>
        <w:tc>
          <w:tcPr>
            <w:tcW w:w="6280" w:type="dxa"/>
            <w:vAlign w:val="bottom"/>
            <w:gridSpan w:val="2"/>
          </w:tcPr>
          <w:p>
            <w:pPr>
              <w:ind w:left="202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August 11, 2020</w:t>
            </w:r>
          </w:p>
        </w:tc>
        <w:tc>
          <w:tcPr>
            <w:tcW w:w="6280" w:type="dxa"/>
            <w:vAlign w:val="bottom"/>
            <w:gridSpan w:val="2"/>
          </w:tcPr>
          <w:p>
            <w:pPr>
              <w:ind w:left="2020"/>
              <w:spacing w:after="0"/>
              <w:rPr>
                <w:sz w:val="20"/>
                <w:szCs w:val="20"/>
                <w:color w:val="auto"/>
              </w:rPr>
            </w:pPr>
            <w:r>
              <w:rPr>
                <w:rFonts w:ascii="Arial" w:cs="Arial" w:eastAsia="Arial" w:hAnsi="Arial"/>
                <w:sz w:val="18"/>
                <w:szCs w:val="18"/>
                <w:color w:val="auto"/>
              </w:rPr>
              <w:t>By: /s/ Victor Brodsky</w:t>
            </w:r>
          </w:p>
        </w:tc>
        <w:tc>
          <w:tcPr>
            <w:tcW w:w="13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Victor Brodsky</w:t>
            </w:r>
          </w:p>
        </w:tc>
        <w:tc>
          <w:tcPr>
            <w:tcW w:w="13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20"/>
                <w:szCs w:val="20"/>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162"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31(a)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31(b)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Victor Brodsky,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Victor Brodsky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CHIEF FINANCIAL OFFICER</w:t>
      </w:r>
    </w:p>
    <w:p>
      <w:pPr>
        <w:jc w:val="center"/>
        <w:spacing w:after="0" w:line="230" w:lineRule="auto"/>
        <w:rPr>
          <w:sz w:val="20"/>
          <w:szCs w:val="20"/>
          <w:color w:val="auto"/>
        </w:rPr>
      </w:pPr>
      <w:r>
        <w:rPr>
          <w:rFonts w:ascii="Arial" w:cs="Arial" w:eastAsia="Arial" w:hAnsi="Arial"/>
          <w:sz w:val="22"/>
          <w:szCs w:val="22"/>
          <w:b w:val="1"/>
          <w:bCs w:val="1"/>
          <w:color w:val="auto"/>
        </w:rPr>
        <w:t>PURSUANT TO</w:t>
      </w:r>
    </w:p>
    <w:p>
      <w:pPr>
        <w:jc w:val="center"/>
        <w:spacing w:after="0" w:line="231" w:lineRule="auto"/>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12"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August 11, 2020</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5031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5031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Victor Brodsky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upperLetter"/>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2020-08-11T13:17:22Z</dcterms:created>
  <dcterms:modified xsi:type="dcterms:W3CDTF">2020-08-11T13:17:22Z</dcterms:modified>
</cp:coreProperties>
</file>