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304800</wp:posOffset>
            </wp:positionV>
            <wp:extent cx="725106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302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404495</wp:posOffset>
            </wp:positionV>
            <wp:extent cx="7251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FORM 10-Q</w:t>
      </w:r>
    </w:p>
    <w:p>
      <w:pPr>
        <w:spacing w:after="0" w:line="12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4" w:lineRule="exact"/>
        <w:rPr>
          <w:sz w:val="24"/>
          <w:szCs w:val="24"/>
          <w:color w:val="auto"/>
        </w:rPr>
      </w:pPr>
    </w:p>
    <w:p>
      <w:pPr>
        <w:jc w:val="center"/>
        <w:ind w:left="4080" w:right="1500" w:hanging="3807"/>
        <w:spacing w:after="0" w:line="507" w:lineRule="auto"/>
        <w:tabs>
          <w:tab w:leader="none" w:pos="1283"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June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23" w:lineRule="exact"/>
        <w:rPr>
          <w:sz w:val="24"/>
          <w:szCs w:val="24"/>
          <w:color w:val="auto"/>
        </w:rPr>
      </w:pPr>
    </w:p>
    <w:p>
      <w:pPr>
        <w:jc w:val="center"/>
        <w:ind w:left="3740" w:right="1500" w:hanging="3467"/>
        <w:spacing w:after="0" w:line="286" w:lineRule="auto"/>
        <w:tabs>
          <w:tab w:leader="none" w:pos="1277"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_________to _________</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0-1665</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KINGSTONE COMPANIES,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420"/>
          </w:cols>
          <w:pgMar w:left="240" w:top="989" w:right="239" w:bottom="1440" w:gutter="0" w:footer="0" w:header="0"/>
        </w:sectPr>
      </w:pPr>
    </w:p>
    <w:p>
      <w:pPr>
        <w:spacing w:after="0" w:line="205" w:lineRule="exact"/>
        <w:rPr>
          <w:sz w:val="24"/>
          <w:szCs w:val="24"/>
          <w:color w:val="auto"/>
        </w:rPr>
      </w:pPr>
    </w:p>
    <w:p>
      <w:pPr>
        <w:jc w:val="center"/>
        <w:ind w:right="1520"/>
        <w:spacing w:after="0"/>
        <w:rPr>
          <w:sz w:val="20"/>
          <w:szCs w:val="20"/>
          <w:color w:val="auto"/>
        </w:rPr>
      </w:pPr>
      <w:r>
        <w:rPr>
          <w:rFonts w:ascii="Arial" w:cs="Arial" w:eastAsia="Arial" w:hAnsi="Arial"/>
          <w:sz w:val="17"/>
          <w:szCs w:val="17"/>
          <w:b w:val="1"/>
          <w:bCs w:val="1"/>
          <w:color w:val="auto"/>
        </w:rPr>
        <w:t>Delaware</w:t>
      </w:r>
    </w:p>
    <w:p>
      <w:pPr>
        <w:spacing w:after="0" w:line="24" w:lineRule="exact"/>
        <w:rPr>
          <w:sz w:val="24"/>
          <w:szCs w:val="24"/>
          <w:color w:val="auto"/>
        </w:rPr>
      </w:pPr>
    </w:p>
    <w:p>
      <w:pPr>
        <w:jc w:val="center"/>
        <w:ind w:right="1520"/>
        <w:spacing w:after="0"/>
        <w:rPr>
          <w:sz w:val="20"/>
          <w:szCs w:val="20"/>
          <w:color w:val="auto"/>
        </w:rPr>
      </w:pPr>
      <w:r>
        <w:rPr>
          <w:rFonts w:ascii="Arial" w:cs="Arial" w:eastAsia="Arial" w:hAnsi="Arial"/>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80"/>
        <w:spacing w:after="0"/>
        <w:rPr>
          <w:sz w:val="20"/>
          <w:szCs w:val="20"/>
          <w:color w:val="auto"/>
        </w:rPr>
      </w:pPr>
      <w:r>
        <w:rPr>
          <w:rFonts w:ascii="Arial" w:cs="Arial" w:eastAsia="Arial" w:hAnsi="Arial"/>
          <w:sz w:val="17"/>
          <w:szCs w:val="17"/>
          <w:b w:val="1"/>
          <w:bCs w:val="1"/>
          <w:color w:val="auto"/>
        </w:rPr>
        <w:t>36-2476480</w:t>
      </w:r>
    </w:p>
    <w:p>
      <w:pPr>
        <w:spacing w:after="0" w:line="24" w:lineRule="exact"/>
        <w:rPr>
          <w:sz w:val="24"/>
          <w:szCs w:val="24"/>
          <w:color w:val="auto"/>
        </w:rPr>
      </w:pPr>
    </w:p>
    <w:p>
      <w:pPr>
        <w:jc w:val="center"/>
        <w:ind w:right="1080"/>
        <w:spacing w:after="0"/>
        <w:rPr>
          <w:sz w:val="20"/>
          <w:szCs w:val="20"/>
          <w:color w:val="auto"/>
        </w:rPr>
      </w:pPr>
      <w:r>
        <w:rPr>
          <w:rFonts w:ascii="Arial" w:cs="Arial" w:eastAsia="Arial" w:hAnsi="Arial"/>
          <w:sz w:val="15"/>
          <w:szCs w:val="15"/>
          <w:b w:val="1"/>
          <w:bCs w:val="1"/>
          <w:color w:val="auto"/>
        </w:rPr>
        <w:t>(I.R.S. Employer Identification Number)</w:t>
      </w:r>
    </w:p>
    <w:p>
      <w:pPr>
        <w:spacing w:after="0" w:line="37" w:lineRule="exact"/>
        <w:rPr>
          <w:sz w:val="24"/>
          <w:szCs w:val="24"/>
          <w:color w:val="auto"/>
        </w:rPr>
      </w:pPr>
    </w:p>
    <w:p>
      <w:pPr>
        <w:sectPr>
          <w:pgSz w:w="11900" w:h="16838" w:orient="portrait"/>
          <w:cols w:equalWidth="0" w:num="2">
            <w:col w:w="6660" w:space="720"/>
            <w:col w:w="4040"/>
          </w:cols>
          <w:pgMar w:left="240" w:top="989"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15 Joys Lane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Kingston, NY 12401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20"/>
          </w:cols>
          <w:pgMar w:left="240" w:top="989" w:right="239" w:bottom="1440" w:gutter="0" w:footer="0" w:header="0"/>
          <w:type w:val="continuous"/>
        </w:sect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(845) 802-7900</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17" w:lineRule="exact"/>
        <w:rPr>
          <w:sz w:val="24"/>
          <w:szCs w:val="24"/>
          <w:color w:val="auto"/>
        </w:rPr>
      </w:pPr>
    </w:p>
    <w:p>
      <w:pPr>
        <w:jc w:val="both"/>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ind w:right="120"/>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ind w:right="20"/>
        <w:spacing w:after="0" w:line="28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1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5000" w:type="dxa"/>
            <w:vAlign w:val="bottom"/>
          </w:tcPr>
          <w:p>
            <w:pPr>
              <w:ind w:left="620"/>
              <w:spacing w:after="0" w:line="171" w:lineRule="exact"/>
              <w:rPr>
                <w:sz w:val="20"/>
                <w:szCs w:val="20"/>
                <w:color w:val="auto"/>
              </w:rPr>
            </w:pPr>
            <w:r>
              <w:rPr>
                <w:rFonts w:ascii="MS PGothic" w:cs="MS PGothic" w:eastAsia="MS PGothic" w:hAnsi="MS PGothic"/>
                <w:sz w:val="17"/>
                <w:szCs w:val="17"/>
                <w:color w:val="auto"/>
              </w:rPr>
              <w:t>☐</w:t>
            </w:r>
          </w:p>
        </w:tc>
        <w:tc>
          <w:tcPr>
            <w:tcW w:w="3400" w:type="dxa"/>
            <w:vAlign w:val="bottom"/>
          </w:tcPr>
          <w:p>
            <w:pPr>
              <w:ind w:left="980"/>
              <w:spacing w:after="0"/>
              <w:rPr>
                <w:sz w:val="20"/>
                <w:szCs w:val="20"/>
                <w:color w:val="auto"/>
              </w:rPr>
            </w:pPr>
            <w:r>
              <w:rPr>
                <w:rFonts w:ascii="Arial" w:cs="Arial" w:eastAsia="Arial" w:hAnsi="Arial"/>
                <w:sz w:val="17"/>
                <w:szCs w:val="17"/>
                <w:color w:val="auto"/>
              </w:rPr>
              <w:t>Accelerated filer</w:t>
            </w:r>
          </w:p>
        </w:tc>
        <w:tc>
          <w:tcPr>
            <w:tcW w:w="70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9"/>
        </w:trPr>
        <w:tc>
          <w:tcPr>
            <w:tcW w:w="2140" w:type="dxa"/>
            <w:vAlign w:val="bottom"/>
          </w:tcPr>
          <w:p>
            <w:pPr>
              <w:spacing w:after="0"/>
              <w:rPr>
                <w:sz w:val="20"/>
                <w:szCs w:val="20"/>
                <w:color w:val="auto"/>
              </w:rPr>
            </w:pPr>
            <w:r>
              <w:rPr>
                <w:rFonts w:ascii="Arial" w:cs="Arial" w:eastAsia="Arial" w:hAnsi="Arial"/>
                <w:sz w:val="17"/>
                <w:szCs w:val="17"/>
                <w:color w:val="auto"/>
              </w:rPr>
              <w:t>Non-accelerated filer</w:t>
            </w:r>
          </w:p>
        </w:tc>
        <w:tc>
          <w:tcPr>
            <w:tcW w:w="5000" w:type="dxa"/>
            <w:vAlign w:val="bottom"/>
          </w:tcPr>
          <w:p>
            <w:pPr>
              <w:ind w:left="6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3400" w:type="dxa"/>
            <w:vAlign w:val="bottom"/>
          </w:tcPr>
          <w:p>
            <w:pPr>
              <w:ind w:left="980"/>
              <w:spacing w:after="0"/>
              <w:rPr>
                <w:sz w:val="20"/>
                <w:szCs w:val="20"/>
                <w:color w:val="auto"/>
              </w:rPr>
            </w:pPr>
            <w:r>
              <w:rPr>
                <w:rFonts w:ascii="Arial" w:cs="Arial" w:eastAsia="Arial" w:hAnsi="Arial"/>
                <w:sz w:val="17"/>
                <w:szCs w:val="17"/>
                <w:color w:val="auto"/>
              </w:rPr>
              <w:t>Smaller reporting company</w:t>
            </w:r>
          </w:p>
        </w:tc>
        <w:tc>
          <w:tcPr>
            <w:tcW w:w="70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8"/>
        </w:trPr>
        <w:tc>
          <w:tcPr>
            <w:tcW w:w="214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3400" w:type="dxa"/>
            <w:vAlign w:val="bottom"/>
          </w:tcPr>
          <w:p>
            <w:pPr>
              <w:ind w:left="980"/>
              <w:spacing w:after="0"/>
              <w:rPr>
                <w:sz w:val="20"/>
                <w:szCs w:val="20"/>
                <w:color w:val="auto"/>
              </w:rPr>
            </w:pPr>
            <w:r>
              <w:rPr>
                <w:rFonts w:ascii="Arial" w:cs="Arial" w:eastAsia="Arial" w:hAnsi="Arial"/>
                <w:sz w:val="17"/>
                <w:szCs w:val="17"/>
                <w:color w:val="auto"/>
              </w:rPr>
              <w:t>Emerging growth company</w:t>
            </w:r>
          </w:p>
        </w:tc>
        <w:tc>
          <w:tcPr>
            <w:tcW w:w="70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83" w:lineRule="exact"/>
        <w:rPr>
          <w:sz w:val="24"/>
          <w:szCs w:val="24"/>
          <w:color w:val="auto"/>
        </w:rPr>
      </w:pPr>
    </w:p>
    <w:p>
      <w:pPr>
        <w:ind w:right="240"/>
        <w:spacing w:after="0" w:line="22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5" w:lineRule="exact"/>
        <w:rPr>
          <w:sz w:val="24"/>
          <w:szCs w:val="24"/>
          <w:color w:val="auto"/>
        </w:rPr>
      </w:pPr>
    </w:p>
    <w:p>
      <w:pPr>
        <w:spacing w:after="0" w:line="184" w:lineRule="exact"/>
        <w:tabs>
          <w:tab w:leader="none" w:pos="83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67" w:lineRule="exact"/>
        <w:rPr>
          <w:sz w:val="24"/>
          <w:szCs w:val="24"/>
          <w:color w:val="auto"/>
        </w:rPr>
      </w:pPr>
    </w:p>
    <w:p>
      <w:pPr>
        <w:spacing w:after="0"/>
        <w:rPr>
          <w:sz w:val="20"/>
          <w:szCs w:val="20"/>
          <w:color w:val="auto"/>
        </w:rPr>
      </w:pPr>
      <w:r>
        <w:rPr>
          <w:rFonts w:ascii="Arial" w:cs="Arial" w:eastAsia="Arial" w:hAnsi="Arial"/>
          <w:sz w:val="17"/>
          <w:szCs w:val="17"/>
          <w:color w:val="auto"/>
        </w:rPr>
        <w:t>As of August 10, 2017 there were 10,630,492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280035</wp:posOffset>
            </wp:positionV>
            <wp:extent cx="7251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354965</wp:posOffset>
            </wp:positionV>
            <wp:extent cx="725106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33020"/>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KINGSTONE COMPANIES,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PAGE</w:t>
            </w:r>
          </w:p>
        </w:tc>
      </w:tr>
      <w:tr>
        <w:trPr>
          <w:trHeight w:val="410"/>
        </w:trPr>
        <w:tc>
          <w:tcPr>
            <w:tcW w:w="10400" w:type="dxa"/>
            <w:vAlign w:val="bottom"/>
            <w:gridSpan w:val="2"/>
          </w:tcPr>
          <w:p>
            <w:pPr>
              <w:spacing w:after="0"/>
              <w:rPr>
                <w:sz w:val="20"/>
                <w:szCs w:val="20"/>
                <w:color w:val="auto"/>
              </w:rPr>
            </w:pPr>
            <w:r>
              <w:rPr>
                <w:rFonts w:ascii="Arial" w:cs="Arial" w:eastAsia="Arial" w:hAnsi="Arial"/>
                <w:sz w:val="17"/>
                <w:szCs w:val="17"/>
                <w:b w:val="1"/>
                <w:bCs w:val="1"/>
                <w:color w:val="auto"/>
              </w:rPr>
              <w:t>PART I — FINANCIAL INFORMATION</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2</w:t>
            </w:r>
          </w:p>
        </w:tc>
      </w:tr>
      <w:tr>
        <w:trPr>
          <w:trHeight w:val="209"/>
        </w:trPr>
        <w:tc>
          <w:tcPr>
            <w:tcW w:w="1200" w:type="dxa"/>
            <w:vAlign w:val="bottom"/>
          </w:tcPr>
          <w:p>
            <w:pPr>
              <w:ind w:left="240"/>
              <w:spacing w:after="0"/>
              <w:rPr>
                <w:sz w:val="20"/>
                <w:szCs w:val="20"/>
                <w:color w:val="auto"/>
              </w:rPr>
            </w:pPr>
            <w:r>
              <w:rPr>
                <w:rFonts w:ascii="Arial" w:cs="Arial" w:eastAsia="Arial" w:hAnsi="Arial"/>
                <w:sz w:val="17"/>
                <w:szCs w:val="17"/>
                <w:color w:val="auto"/>
              </w:rPr>
              <w:t>Item 1 —</w:t>
            </w:r>
          </w:p>
        </w:tc>
        <w:tc>
          <w:tcPr>
            <w:tcW w:w="9200" w:type="dxa"/>
            <w:vAlign w:val="bottom"/>
          </w:tcPr>
          <w:p>
            <w:pPr>
              <w:ind w:left="200"/>
              <w:spacing w:after="0"/>
              <w:rPr>
                <w:sz w:val="20"/>
                <w:szCs w:val="20"/>
                <w:color w:val="auto"/>
              </w:rPr>
            </w:pPr>
            <w:r>
              <w:rPr>
                <w:rFonts w:ascii="Arial" w:cs="Arial" w:eastAsia="Arial" w:hAnsi="Arial"/>
                <w:sz w:val="17"/>
                <w:szCs w:val="17"/>
                <w:color w:val="auto"/>
              </w:rPr>
              <w:t>Financial Statements</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2</w:t>
            </w:r>
          </w:p>
        </w:tc>
      </w:tr>
      <w:tr>
        <w:trPr>
          <w:trHeight w:val="209"/>
        </w:trPr>
        <w:tc>
          <w:tcPr>
            <w:tcW w:w="1200" w:type="dxa"/>
            <w:vAlign w:val="bottom"/>
          </w:tcPr>
          <w:p>
            <w:pPr>
              <w:spacing w:after="0"/>
              <w:rPr>
                <w:sz w:val="18"/>
                <w:szCs w:val="18"/>
                <w:color w:val="auto"/>
              </w:rPr>
            </w:pPr>
          </w:p>
        </w:tc>
        <w:tc>
          <w:tcPr>
            <w:tcW w:w="9200" w:type="dxa"/>
            <w:vAlign w:val="bottom"/>
          </w:tcPr>
          <w:p>
            <w:pPr>
              <w:ind w:left="200"/>
              <w:spacing w:after="0"/>
              <w:rPr>
                <w:sz w:val="20"/>
                <w:szCs w:val="20"/>
                <w:color w:val="auto"/>
              </w:rPr>
            </w:pPr>
            <w:r>
              <w:rPr>
                <w:rFonts w:ascii="Arial" w:cs="Arial" w:eastAsia="Arial" w:hAnsi="Arial"/>
                <w:sz w:val="17"/>
                <w:szCs w:val="17"/>
                <w:color w:val="auto"/>
              </w:rPr>
              <w:t>Condensed Consolidated Balance Sheets at June 30, 2017 (Unaudited) and December 31, 2016</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2</w:t>
            </w:r>
          </w:p>
        </w:tc>
      </w:tr>
      <w:tr>
        <w:trPr>
          <w:trHeight w:val="209"/>
        </w:trPr>
        <w:tc>
          <w:tcPr>
            <w:tcW w:w="1200" w:type="dxa"/>
            <w:vAlign w:val="bottom"/>
          </w:tcPr>
          <w:p>
            <w:pPr>
              <w:spacing w:after="0"/>
              <w:rPr>
                <w:sz w:val="18"/>
                <w:szCs w:val="18"/>
                <w:color w:val="auto"/>
              </w:rPr>
            </w:pPr>
          </w:p>
        </w:tc>
        <w:tc>
          <w:tcPr>
            <w:tcW w:w="9200" w:type="dxa"/>
            <w:vAlign w:val="bottom"/>
          </w:tcPr>
          <w:p>
            <w:pPr>
              <w:ind w:left="200"/>
              <w:spacing w:after="0"/>
              <w:rPr>
                <w:sz w:val="20"/>
                <w:szCs w:val="20"/>
                <w:color w:val="auto"/>
              </w:rPr>
            </w:pPr>
            <w:r>
              <w:rPr>
                <w:rFonts w:ascii="Arial" w:cs="Arial" w:eastAsia="Arial" w:hAnsi="Arial"/>
                <w:sz w:val="17"/>
                <w:szCs w:val="17"/>
                <w:color w:val="auto"/>
                <w:w w:val="91"/>
              </w:rPr>
              <w:t>Condensed Consolidated Statements of Income and Comprehensive Income for the three months and six months ended June 30,</w:t>
            </w:r>
          </w:p>
        </w:tc>
        <w:tc>
          <w:tcPr>
            <w:tcW w:w="1020" w:type="dxa"/>
            <w:vAlign w:val="bottom"/>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9200" w:type="dxa"/>
            <w:vAlign w:val="bottom"/>
          </w:tcPr>
          <w:p>
            <w:pPr>
              <w:ind w:left="200"/>
              <w:spacing w:after="0"/>
              <w:rPr>
                <w:sz w:val="20"/>
                <w:szCs w:val="20"/>
                <w:color w:val="auto"/>
              </w:rPr>
            </w:pPr>
            <w:r>
              <w:rPr>
                <w:rFonts w:ascii="Arial" w:cs="Arial" w:eastAsia="Arial" w:hAnsi="Arial"/>
                <w:sz w:val="17"/>
                <w:szCs w:val="17"/>
                <w:color w:val="auto"/>
              </w:rPr>
              <w:t>2017 (Unaudited) and 2016 (Unaudited)</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3</w:t>
            </w:r>
          </w:p>
        </w:tc>
      </w:tr>
      <w:tr>
        <w:trPr>
          <w:trHeight w:val="209"/>
        </w:trPr>
        <w:tc>
          <w:tcPr>
            <w:tcW w:w="1200" w:type="dxa"/>
            <w:vAlign w:val="bottom"/>
          </w:tcPr>
          <w:p>
            <w:pPr>
              <w:spacing w:after="0"/>
              <w:rPr>
                <w:sz w:val="18"/>
                <w:szCs w:val="18"/>
                <w:color w:val="auto"/>
              </w:rPr>
            </w:pPr>
          </w:p>
        </w:tc>
        <w:tc>
          <w:tcPr>
            <w:tcW w:w="9200" w:type="dxa"/>
            <w:vAlign w:val="bottom"/>
          </w:tcPr>
          <w:p>
            <w:pPr>
              <w:ind w:left="200"/>
              <w:spacing w:after="0"/>
              <w:rPr>
                <w:sz w:val="20"/>
                <w:szCs w:val="20"/>
                <w:color w:val="auto"/>
              </w:rPr>
            </w:pPr>
            <w:r>
              <w:rPr>
                <w:rFonts w:ascii="Arial" w:cs="Arial" w:eastAsia="Arial" w:hAnsi="Arial"/>
                <w:sz w:val="17"/>
                <w:szCs w:val="17"/>
                <w:color w:val="auto"/>
              </w:rPr>
              <w:t>Condensed Consolidated Statement of Stockholders’ Equity for the six months ended June 30, 2017 (Unaudited)</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4</w:t>
            </w:r>
          </w:p>
        </w:tc>
      </w:tr>
      <w:tr>
        <w:trPr>
          <w:trHeight w:val="209"/>
        </w:trPr>
        <w:tc>
          <w:tcPr>
            <w:tcW w:w="1200" w:type="dxa"/>
            <w:vAlign w:val="bottom"/>
          </w:tcPr>
          <w:p>
            <w:pPr>
              <w:spacing w:after="0"/>
              <w:rPr>
                <w:sz w:val="18"/>
                <w:szCs w:val="18"/>
                <w:color w:val="auto"/>
              </w:rPr>
            </w:pPr>
          </w:p>
        </w:tc>
        <w:tc>
          <w:tcPr>
            <w:tcW w:w="9200" w:type="dxa"/>
            <w:vAlign w:val="bottom"/>
          </w:tcPr>
          <w:p>
            <w:pPr>
              <w:ind w:left="200"/>
              <w:spacing w:after="0"/>
              <w:rPr>
                <w:sz w:val="20"/>
                <w:szCs w:val="20"/>
                <w:color w:val="auto"/>
              </w:rPr>
            </w:pPr>
            <w:r>
              <w:rPr>
                <w:rFonts w:ascii="Arial" w:cs="Arial" w:eastAsia="Arial" w:hAnsi="Arial"/>
                <w:sz w:val="17"/>
                <w:szCs w:val="17"/>
                <w:color w:val="auto"/>
                <w:w w:val="89"/>
              </w:rPr>
              <w:t>Condensed Consolidated Statements of Cash Flows for the three months and six months ended June 30, 2017 (Unaudited) and 2016</w:t>
            </w:r>
          </w:p>
        </w:tc>
        <w:tc>
          <w:tcPr>
            <w:tcW w:w="1020" w:type="dxa"/>
            <w:vAlign w:val="bottom"/>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9200" w:type="dxa"/>
            <w:vAlign w:val="bottom"/>
          </w:tcPr>
          <w:p>
            <w:pPr>
              <w:ind w:left="200"/>
              <w:spacing w:after="0"/>
              <w:rPr>
                <w:sz w:val="20"/>
                <w:szCs w:val="20"/>
                <w:color w:val="auto"/>
              </w:rPr>
            </w:pPr>
            <w:r>
              <w:rPr>
                <w:rFonts w:ascii="Arial" w:cs="Arial" w:eastAsia="Arial" w:hAnsi="Arial"/>
                <w:sz w:val="17"/>
                <w:szCs w:val="17"/>
                <w:color w:val="auto"/>
              </w:rPr>
              <w:t>(Unaudited)</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5</w:t>
            </w:r>
          </w:p>
        </w:tc>
      </w:tr>
      <w:tr>
        <w:trPr>
          <w:trHeight w:val="209"/>
        </w:trPr>
        <w:tc>
          <w:tcPr>
            <w:tcW w:w="1200" w:type="dxa"/>
            <w:vAlign w:val="bottom"/>
          </w:tcPr>
          <w:p>
            <w:pPr>
              <w:spacing w:after="0"/>
              <w:rPr>
                <w:sz w:val="18"/>
                <w:szCs w:val="18"/>
                <w:color w:val="auto"/>
              </w:rPr>
            </w:pPr>
          </w:p>
        </w:tc>
        <w:tc>
          <w:tcPr>
            <w:tcW w:w="9200" w:type="dxa"/>
            <w:vAlign w:val="bottom"/>
          </w:tcPr>
          <w:p>
            <w:pPr>
              <w:ind w:left="200"/>
              <w:spacing w:after="0"/>
              <w:rPr>
                <w:sz w:val="20"/>
                <w:szCs w:val="20"/>
                <w:color w:val="auto"/>
              </w:rPr>
            </w:pPr>
            <w:r>
              <w:rPr>
                <w:rFonts w:ascii="Arial" w:cs="Arial" w:eastAsia="Arial" w:hAnsi="Arial"/>
                <w:sz w:val="17"/>
                <w:szCs w:val="17"/>
                <w:color w:val="auto"/>
              </w:rPr>
              <w:t>Notes to Condensed Consolidated Financial Statements (Unaudited)</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w:t>
            </w:r>
          </w:p>
        </w:tc>
      </w:tr>
      <w:tr>
        <w:trPr>
          <w:trHeight w:val="209"/>
        </w:trPr>
        <w:tc>
          <w:tcPr>
            <w:tcW w:w="1200" w:type="dxa"/>
            <w:vAlign w:val="bottom"/>
          </w:tcPr>
          <w:p>
            <w:pPr>
              <w:ind w:left="240"/>
              <w:spacing w:after="0"/>
              <w:rPr>
                <w:sz w:val="20"/>
                <w:szCs w:val="20"/>
                <w:color w:val="auto"/>
              </w:rPr>
            </w:pPr>
            <w:r>
              <w:rPr>
                <w:rFonts w:ascii="Arial" w:cs="Arial" w:eastAsia="Arial" w:hAnsi="Arial"/>
                <w:sz w:val="17"/>
                <w:szCs w:val="17"/>
                <w:color w:val="auto"/>
              </w:rPr>
              <w:t>Item 2 —</w:t>
            </w:r>
          </w:p>
        </w:tc>
        <w:tc>
          <w:tcPr>
            <w:tcW w:w="9200" w:type="dxa"/>
            <w:vAlign w:val="bottom"/>
          </w:tcPr>
          <w:p>
            <w:pPr>
              <w:ind w:left="20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34</w:t>
            </w:r>
          </w:p>
        </w:tc>
      </w:tr>
      <w:tr>
        <w:trPr>
          <w:trHeight w:val="209"/>
        </w:trPr>
        <w:tc>
          <w:tcPr>
            <w:tcW w:w="1200" w:type="dxa"/>
            <w:vAlign w:val="bottom"/>
          </w:tcPr>
          <w:p>
            <w:pPr>
              <w:ind w:left="240"/>
              <w:spacing w:after="0"/>
              <w:rPr>
                <w:sz w:val="20"/>
                <w:szCs w:val="20"/>
                <w:color w:val="auto"/>
              </w:rPr>
            </w:pPr>
            <w:r>
              <w:rPr>
                <w:rFonts w:ascii="Arial" w:cs="Arial" w:eastAsia="Arial" w:hAnsi="Arial"/>
                <w:sz w:val="17"/>
                <w:szCs w:val="17"/>
                <w:color w:val="auto"/>
              </w:rPr>
              <w:t>Item 3 —</w:t>
            </w:r>
          </w:p>
        </w:tc>
        <w:tc>
          <w:tcPr>
            <w:tcW w:w="9200" w:type="dxa"/>
            <w:vAlign w:val="bottom"/>
          </w:tcPr>
          <w:p>
            <w:pPr>
              <w:ind w:left="200"/>
              <w:spacing w:after="0"/>
              <w:rPr>
                <w:sz w:val="20"/>
                <w:szCs w:val="20"/>
                <w:color w:val="auto"/>
              </w:rPr>
            </w:pPr>
            <w:r>
              <w:rPr>
                <w:rFonts w:ascii="Arial" w:cs="Arial" w:eastAsia="Arial" w:hAnsi="Arial"/>
                <w:sz w:val="17"/>
                <w:szCs w:val="17"/>
                <w:color w:val="auto"/>
              </w:rPr>
              <w:t>Quantitative and Qualitative Disclosures About Market Risk</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66</w:t>
            </w:r>
          </w:p>
        </w:tc>
      </w:tr>
      <w:tr>
        <w:trPr>
          <w:trHeight w:val="216"/>
        </w:trPr>
        <w:tc>
          <w:tcPr>
            <w:tcW w:w="1200" w:type="dxa"/>
            <w:vAlign w:val="bottom"/>
          </w:tcPr>
          <w:p>
            <w:pPr>
              <w:ind w:left="240"/>
              <w:spacing w:after="0"/>
              <w:rPr>
                <w:sz w:val="20"/>
                <w:szCs w:val="20"/>
                <w:color w:val="auto"/>
              </w:rPr>
            </w:pPr>
            <w:r>
              <w:rPr>
                <w:rFonts w:ascii="Arial" w:cs="Arial" w:eastAsia="Arial" w:hAnsi="Arial"/>
                <w:sz w:val="17"/>
                <w:szCs w:val="17"/>
                <w:color w:val="auto"/>
              </w:rPr>
              <w:t>Item 4 —</w:t>
            </w:r>
          </w:p>
        </w:tc>
        <w:tc>
          <w:tcPr>
            <w:tcW w:w="9200" w:type="dxa"/>
            <w:vAlign w:val="bottom"/>
          </w:tcPr>
          <w:p>
            <w:pPr>
              <w:ind w:left="200"/>
              <w:spacing w:after="0"/>
              <w:rPr>
                <w:sz w:val="20"/>
                <w:szCs w:val="20"/>
                <w:color w:val="auto"/>
              </w:rPr>
            </w:pPr>
            <w:r>
              <w:rPr>
                <w:rFonts w:ascii="Arial" w:cs="Arial" w:eastAsia="Arial" w:hAnsi="Arial"/>
                <w:sz w:val="17"/>
                <w:szCs w:val="17"/>
                <w:color w:val="auto"/>
              </w:rPr>
              <w:t>Controls and Procedures</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66</w:t>
            </w:r>
          </w:p>
        </w:tc>
      </w:tr>
      <w:tr>
        <w:trPr>
          <w:trHeight w:val="412"/>
        </w:trPr>
        <w:tc>
          <w:tcPr>
            <w:tcW w:w="10400" w:type="dxa"/>
            <w:vAlign w:val="bottom"/>
            <w:gridSpan w:val="2"/>
          </w:tcPr>
          <w:p>
            <w:pPr>
              <w:spacing w:after="0"/>
              <w:rPr>
                <w:sz w:val="20"/>
                <w:szCs w:val="20"/>
                <w:color w:val="auto"/>
              </w:rPr>
            </w:pPr>
            <w:r>
              <w:rPr>
                <w:rFonts w:ascii="Arial" w:cs="Arial" w:eastAsia="Arial" w:hAnsi="Arial"/>
                <w:sz w:val="17"/>
                <w:szCs w:val="17"/>
                <w:b w:val="1"/>
                <w:bCs w:val="1"/>
                <w:color w:val="auto"/>
              </w:rPr>
              <w:t>PART II — OTHER INFORMATION</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68</w:t>
            </w:r>
          </w:p>
        </w:tc>
      </w:tr>
      <w:tr>
        <w:trPr>
          <w:trHeight w:val="209"/>
        </w:trPr>
        <w:tc>
          <w:tcPr>
            <w:tcW w:w="1200" w:type="dxa"/>
            <w:vAlign w:val="bottom"/>
          </w:tcPr>
          <w:p>
            <w:pPr>
              <w:ind w:left="240"/>
              <w:spacing w:after="0"/>
              <w:rPr>
                <w:sz w:val="20"/>
                <w:szCs w:val="20"/>
                <w:color w:val="auto"/>
              </w:rPr>
            </w:pPr>
            <w:r>
              <w:rPr>
                <w:rFonts w:ascii="Arial" w:cs="Arial" w:eastAsia="Arial" w:hAnsi="Arial"/>
                <w:sz w:val="17"/>
                <w:szCs w:val="17"/>
                <w:color w:val="auto"/>
              </w:rPr>
              <w:t>Item 1 —</w:t>
            </w:r>
          </w:p>
        </w:tc>
        <w:tc>
          <w:tcPr>
            <w:tcW w:w="9200" w:type="dxa"/>
            <w:vAlign w:val="bottom"/>
          </w:tcPr>
          <w:p>
            <w:pPr>
              <w:ind w:left="200"/>
              <w:spacing w:after="0"/>
              <w:rPr>
                <w:sz w:val="20"/>
                <w:szCs w:val="20"/>
                <w:color w:val="auto"/>
              </w:rPr>
            </w:pPr>
            <w:r>
              <w:rPr>
                <w:rFonts w:ascii="Arial" w:cs="Arial" w:eastAsia="Arial" w:hAnsi="Arial"/>
                <w:sz w:val="17"/>
                <w:szCs w:val="17"/>
                <w:color w:val="auto"/>
              </w:rPr>
              <w:t>Legal Proceedings</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68</w:t>
            </w:r>
          </w:p>
        </w:tc>
      </w:tr>
      <w:tr>
        <w:trPr>
          <w:trHeight w:val="209"/>
        </w:trPr>
        <w:tc>
          <w:tcPr>
            <w:tcW w:w="1200" w:type="dxa"/>
            <w:vAlign w:val="bottom"/>
          </w:tcPr>
          <w:p>
            <w:pPr>
              <w:ind w:left="240"/>
              <w:spacing w:after="0"/>
              <w:rPr>
                <w:sz w:val="20"/>
                <w:szCs w:val="20"/>
                <w:color w:val="auto"/>
              </w:rPr>
            </w:pPr>
            <w:r>
              <w:rPr>
                <w:rFonts w:ascii="Arial" w:cs="Arial" w:eastAsia="Arial" w:hAnsi="Arial"/>
                <w:sz w:val="17"/>
                <w:szCs w:val="17"/>
                <w:color w:val="auto"/>
              </w:rPr>
              <w:t>Item 1A —</w:t>
            </w:r>
          </w:p>
        </w:tc>
        <w:tc>
          <w:tcPr>
            <w:tcW w:w="9200" w:type="dxa"/>
            <w:vAlign w:val="bottom"/>
          </w:tcPr>
          <w:p>
            <w:pPr>
              <w:ind w:left="200"/>
              <w:spacing w:after="0"/>
              <w:rPr>
                <w:sz w:val="20"/>
                <w:szCs w:val="20"/>
                <w:color w:val="auto"/>
              </w:rPr>
            </w:pPr>
            <w:r>
              <w:rPr>
                <w:rFonts w:ascii="Arial" w:cs="Arial" w:eastAsia="Arial" w:hAnsi="Arial"/>
                <w:sz w:val="17"/>
                <w:szCs w:val="17"/>
                <w:color w:val="auto"/>
              </w:rPr>
              <w:t>Risk Factors</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68</w:t>
            </w:r>
          </w:p>
        </w:tc>
      </w:tr>
      <w:tr>
        <w:trPr>
          <w:trHeight w:val="209"/>
        </w:trPr>
        <w:tc>
          <w:tcPr>
            <w:tcW w:w="1200" w:type="dxa"/>
            <w:vAlign w:val="bottom"/>
          </w:tcPr>
          <w:p>
            <w:pPr>
              <w:ind w:left="240"/>
              <w:spacing w:after="0"/>
              <w:rPr>
                <w:sz w:val="20"/>
                <w:szCs w:val="20"/>
                <w:color w:val="auto"/>
              </w:rPr>
            </w:pPr>
            <w:r>
              <w:rPr>
                <w:rFonts w:ascii="Arial" w:cs="Arial" w:eastAsia="Arial" w:hAnsi="Arial"/>
                <w:sz w:val="17"/>
                <w:szCs w:val="17"/>
                <w:color w:val="auto"/>
              </w:rPr>
              <w:t>Item 2 —</w:t>
            </w:r>
          </w:p>
        </w:tc>
        <w:tc>
          <w:tcPr>
            <w:tcW w:w="9200" w:type="dxa"/>
            <w:vAlign w:val="bottom"/>
          </w:tcPr>
          <w:p>
            <w:pPr>
              <w:ind w:left="200"/>
              <w:spacing w:after="0"/>
              <w:rPr>
                <w:sz w:val="20"/>
                <w:szCs w:val="20"/>
                <w:color w:val="auto"/>
              </w:rPr>
            </w:pPr>
            <w:r>
              <w:rPr>
                <w:rFonts w:ascii="Arial" w:cs="Arial" w:eastAsia="Arial" w:hAnsi="Arial"/>
                <w:sz w:val="17"/>
                <w:szCs w:val="17"/>
                <w:color w:val="auto"/>
              </w:rPr>
              <w:t>Unregistered Sales of Equity Securities and Use of Proceeds</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68</w:t>
            </w:r>
          </w:p>
        </w:tc>
      </w:tr>
      <w:tr>
        <w:trPr>
          <w:trHeight w:val="209"/>
        </w:trPr>
        <w:tc>
          <w:tcPr>
            <w:tcW w:w="1200" w:type="dxa"/>
            <w:vAlign w:val="bottom"/>
          </w:tcPr>
          <w:p>
            <w:pPr>
              <w:ind w:left="240"/>
              <w:spacing w:after="0"/>
              <w:rPr>
                <w:sz w:val="20"/>
                <w:szCs w:val="20"/>
                <w:color w:val="auto"/>
              </w:rPr>
            </w:pPr>
            <w:r>
              <w:rPr>
                <w:rFonts w:ascii="Arial" w:cs="Arial" w:eastAsia="Arial" w:hAnsi="Arial"/>
                <w:sz w:val="17"/>
                <w:szCs w:val="17"/>
                <w:color w:val="auto"/>
              </w:rPr>
              <w:t>Item 3 —</w:t>
            </w:r>
          </w:p>
        </w:tc>
        <w:tc>
          <w:tcPr>
            <w:tcW w:w="9200" w:type="dxa"/>
            <w:vAlign w:val="bottom"/>
          </w:tcPr>
          <w:p>
            <w:pPr>
              <w:ind w:left="200"/>
              <w:spacing w:after="0"/>
              <w:rPr>
                <w:sz w:val="20"/>
                <w:szCs w:val="20"/>
                <w:color w:val="auto"/>
              </w:rPr>
            </w:pPr>
            <w:r>
              <w:rPr>
                <w:rFonts w:ascii="Arial" w:cs="Arial" w:eastAsia="Arial" w:hAnsi="Arial"/>
                <w:sz w:val="17"/>
                <w:szCs w:val="17"/>
                <w:color w:val="auto"/>
              </w:rPr>
              <w:t>Defaults Upon Senior Securities</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68</w:t>
            </w:r>
          </w:p>
        </w:tc>
      </w:tr>
      <w:tr>
        <w:trPr>
          <w:trHeight w:val="209"/>
        </w:trPr>
        <w:tc>
          <w:tcPr>
            <w:tcW w:w="1200" w:type="dxa"/>
            <w:vAlign w:val="bottom"/>
          </w:tcPr>
          <w:p>
            <w:pPr>
              <w:ind w:left="240"/>
              <w:spacing w:after="0"/>
              <w:rPr>
                <w:sz w:val="20"/>
                <w:szCs w:val="20"/>
                <w:color w:val="auto"/>
              </w:rPr>
            </w:pPr>
            <w:r>
              <w:rPr>
                <w:rFonts w:ascii="Arial" w:cs="Arial" w:eastAsia="Arial" w:hAnsi="Arial"/>
                <w:sz w:val="17"/>
                <w:szCs w:val="17"/>
                <w:color w:val="auto"/>
              </w:rPr>
              <w:t>Item 4 —</w:t>
            </w:r>
          </w:p>
        </w:tc>
        <w:tc>
          <w:tcPr>
            <w:tcW w:w="9200" w:type="dxa"/>
            <w:vAlign w:val="bottom"/>
          </w:tcPr>
          <w:p>
            <w:pPr>
              <w:ind w:left="200"/>
              <w:spacing w:after="0"/>
              <w:rPr>
                <w:sz w:val="20"/>
                <w:szCs w:val="20"/>
                <w:color w:val="auto"/>
              </w:rPr>
            </w:pPr>
            <w:r>
              <w:rPr>
                <w:rFonts w:ascii="Arial" w:cs="Arial" w:eastAsia="Arial" w:hAnsi="Arial"/>
                <w:sz w:val="17"/>
                <w:szCs w:val="17"/>
                <w:color w:val="auto"/>
              </w:rPr>
              <w:t>Mine Safety Disclosures</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68</w:t>
            </w:r>
          </w:p>
        </w:tc>
      </w:tr>
      <w:tr>
        <w:trPr>
          <w:trHeight w:val="209"/>
        </w:trPr>
        <w:tc>
          <w:tcPr>
            <w:tcW w:w="1200" w:type="dxa"/>
            <w:vAlign w:val="bottom"/>
          </w:tcPr>
          <w:p>
            <w:pPr>
              <w:ind w:left="240"/>
              <w:spacing w:after="0"/>
              <w:rPr>
                <w:sz w:val="20"/>
                <w:szCs w:val="20"/>
                <w:color w:val="auto"/>
              </w:rPr>
            </w:pPr>
            <w:r>
              <w:rPr>
                <w:rFonts w:ascii="Arial" w:cs="Arial" w:eastAsia="Arial" w:hAnsi="Arial"/>
                <w:sz w:val="17"/>
                <w:szCs w:val="17"/>
                <w:color w:val="auto"/>
              </w:rPr>
              <w:t>Item 5 —</w:t>
            </w:r>
          </w:p>
        </w:tc>
        <w:tc>
          <w:tcPr>
            <w:tcW w:w="9200" w:type="dxa"/>
            <w:vAlign w:val="bottom"/>
          </w:tcPr>
          <w:p>
            <w:pPr>
              <w:ind w:left="200"/>
              <w:spacing w:after="0"/>
              <w:rPr>
                <w:sz w:val="20"/>
                <w:szCs w:val="20"/>
                <w:color w:val="auto"/>
              </w:rPr>
            </w:pPr>
            <w:r>
              <w:rPr>
                <w:rFonts w:ascii="Arial" w:cs="Arial" w:eastAsia="Arial" w:hAnsi="Arial"/>
                <w:sz w:val="17"/>
                <w:szCs w:val="17"/>
                <w:color w:val="auto"/>
              </w:rPr>
              <w:t>Other Information</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68</w:t>
            </w:r>
          </w:p>
        </w:tc>
      </w:tr>
      <w:tr>
        <w:trPr>
          <w:trHeight w:val="209"/>
        </w:trPr>
        <w:tc>
          <w:tcPr>
            <w:tcW w:w="1200" w:type="dxa"/>
            <w:vAlign w:val="bottom"/>
          </w:tcPr>
          <w:p>
            <w:pPr>
              <w:ind w:left="240"/>
              <w:spacing w:after="0"/>
              <w:rPr>
                <w:sz w:val="20"/>
                <w:szCs w:val="20"/>
                <w:color w:val="auto"/>
              </w:rPr>
            </w:pPr>
            <w:r>
              <w:rPr>
                <w:rFonts w:ascii="Arial" w:cs="Arial" w:eastAsia="Arial" w:hAnsi="Arial"/>
                <w:sz w:val="17"/>
                <w:szCs w:val="17"/>
                <w:color w:val="auto"/>
              </w:rPr>
              <w:t>Item 6 —</w:t>
            </w:r>
          </w:p>
        </w:tc>
        <w:tc>
          <w:tcPr>
            <w:tcW w:w="9200" w:type="dxa"/>
            <w:vAlign w:val="bottom"/>
          </w:tcPr>
          <w:p>
            <w:pPr>
              <w:ind w:left="200"/>
              <w:spacing w:after="0"/>
              <w:rPr>
                <w:sz w:val="20"/>
                <w:szCs w:val="20"/>
                <w:color w:val="auto"/>
              </w:rPr>
            </w:pPr>
            <w:r>
              <w:rPr>
                <w:rFonts w:ascii="Arial" w:cs="Arial" w:eastAsia="Arial" w:hAnsi="Arial"/>
                <w:sz w:val="17"/>
                <w:szCs w:val="17"/>
                <w:color w:val="auto"/>
              </w:rPr>
              <w:t>Exhibits</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69</w:t>
            </w: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Signatures</w:t>
            </w:r>
          </w:p>
        </w:tc>
        <w:tc>
          <w:tcPr>
            <w:tcW w:w="920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70</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EXHIBIT 3(a)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EXHIBIT 3(b)</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31(a)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31(b)</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32</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EXHIBIT 101.INS XBRL Instance Document</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EXHIBIT 101.SCH XBRL Taxonomy Extension Schema</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EXHIBIT 101.CAL XBRL Taxonomy Extension Calculation Linkbase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EXHIBIT 101.DEF XBRL Taxonomy Extension Definition Linkbase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EXHIBIT 101.LAB XBRL Taxonomy Extension Label Linkbase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EXHIBIT 101.PRE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7251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auto"/>
        </w:rPr>
        <w:t>Forward-Looking Statements</w:t>
      </w:r>
    </w:p>
    <w:p>
      <w:pPr>
        <w:spacing w:after="0" w:line="15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This Quarterly Report on Form 10-Q contains forward-looking statements as that term is defined in the federal securities laws. The events described in forward-looking statements contained in this Quarterly Report may not occur. Generally, these statements relate to business plans or strategies, projected or anticipated benefits or other consequences of our plans or strategies, projected or anticipated benefits from acquisitions to be made by us, or projections involving anticipated revenues, earnings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which may affect our results include, but are not limited to, the risks and uncertainties discussed in Item 7 of our Annual Report on Form 10-K for the year ended December 31, 2016 under “Factors That May Affect Future Results and Financial Condition.”</w:t>
      </w:r>
    </w:p>
    <w:p>
      <w:pPr>
        <w:spacing w:after="0" w:line="99"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 xml:space="preserve">PART I. </w:t>
      </w:r>
      <w:r>
        <w:rPr>
          <w:rFonts w:ascii="Arial" w:cs="Arial" w:eastAsia="Arial" w:hAnsi="Arial"/>
          <w:sz w:val="17"/>
          <w:szCs w:val="17"/>
          <w:b w:val="1"/>
          <w:bCs w:val="1"/>
          <w:u w:val="single" w:color="auto"/>
          <w:color w:val="auto"/>
        </w:rPr>
        <w:t>FINANCIAL INFORMATION</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r>
        <w:rPr>
          <w:rFonts w:ascii="Arial" w:cs="Arial" w:eastAsia="Arial" w:hAnsi="Arial"/>
          <w:sz w:val="15"/>
          <w:szCs w:val="15"/>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25106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87" w:lineRule="exact"/>
        <w:rPr>
          <w:sz w:val="20"/>
          <w:szCs w:val="20"/>
          <w:color w:val="auto"/>
        </w:rPr>
      </w:pPr>
    </w:p>
    <w:p>
      <w:pPr>
        <w:ind w:left="9140"/>
        <w:spacing w:after="0"/>
        <w:tabs>
          <w:tab w:leader="none" w:pos="1030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pacing w:after="0" w:line="48" w:lineRule="exact"/>
        <w:rPr>
          <w:sz w:val="20"/>
          <w:szCs w:val="20"/>
          <w:color w:val="auto"/>
        </w:rPr>
      </w:pPr>
    </w:p>
    <w:p>
      <w:pPr>
        <w:ind w:left="9240"/>
        <w:spacing w:after="0"/>
        <w:tabs>
          <w:tab w:leader="none" w:pos="105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25106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w:t>
      </w:r>
    </w:p>
    <w:p>
      <w:pPr>
        <w:spacing w:after="0" w:line="24" w:lineRule="exact"/>
        <w:rPr>
          <w:sz w:val="20"/>
          <w:szCs w:val="20"/>
          <w:color w:val="auto"/>
        </w:rPr>
      </w:pPr>
    </w:p>
    <w:p>
      <w:pPr>
        <w:ind w:left="360" w:right="2820" w:hanging="156"/>
        <w:spacing w:after="0" w:line="291" w:lineRule="auto"/>
        <w:rPr>
          <w:sz w:val="20"/>
          <w:szCs w:val="20"/>
          <w:color w:val="auto"/>
        </w:rPr>
      </w:pPr>
      <w:r>
        <w:rPr>
          <w:rFonts w:ascii="Arial" w:cs="Arial" w:eastAsia="Arial" w:hAnsi="Arial"/>
          <w:sz w:val="15"/>
          <w:szCs w:val="15"/>
          <w:color w:val="auto"/>
        </w:rPr>
        <w:t>Fixed-maturity securities, held-to-maturity, at amortized cost (fair value of $5,193,772 at June 30, 2017 and $5,298,119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1065" cy="132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360" w:right="2740" w:hanging="156"/>
        <w:spacing w:after="0" w:line="291" w:lineRule="auto"/>
        <w:rPr>
          <w:sz w:val="20"/>
          <w:szCs w:val="20"/>
          <w:color w:val="auto"/>
        </w:rPr>
      </w:pPr>
      <w:r>
        <w:rPr>
          <w:rFonts w:ascii="Arial" w:cs="Arial" w:eastAsia="Arial" w:hAnsi="Arial"/>
          <w:sz w:val="15"/>
          <w:szCs w:val="15"/>
          <w:color w:val="auto"/>
        </w:rPr>
        <w:t>Fixed-maturity securities, available-for-sale, at fair value (amortized cost of $111,374,779 at June 30, 2017 and $80,596,628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1065" cy="132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360" w:right="3160" w:hanging="156"/>
        <w:spacing w:after="0" w:line="305" w:lineRule="auto"/>
        <w:rPr>
          <w:sz w:val="20"/>
          <w:szCs w:val="20"/>
          <w:color w:val="auto"/>
        </w:rPr>
      </w:pPr>
      <w:r>
        <w:rPr>
          <w:rFonts w:ascii="Arial" w:cs="Arial" w:eastAsia="Arial" w:hAnsi="Arial"/>
          <w:sz w:val="15"/>
          <w:szCs w:val="15"/>
          <w:color w:val="auto"/>
        </w:rPr>
        <w:t>Equity securities, available-for-sale, at fair value (cost of $11,311,097 at June 30, 2017 and $9,709,385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251065" cy="149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Total investments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Premiums receivable, net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Reinsurance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Deferred policy acquisition costs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32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Property and equipment, net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1065" cy="149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14922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assets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15" w:lineRule="exact"/>
        <w:rPr>
          <w:sz w:val="20"/>
          <w:szCs w:val="20"/>
          <w:color w:val="auto"/>
        </w:rPr>
      </w:pPr>
    </w:p>
    <w:p>
      <w:pPr>
        <w:jc w:val="both"/>
        <w:spacing w:after="0"/>
        <w:tabs>
          <w:tab w:leader="none" w:pos="400" w:val="left"/>
          <w:tab w:leader="none" w:pos="1360" w:val="left"/>
          <w:tab w:leader="none" w:pos="17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4,895,894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5,094,902</w:t>
      </w:r>
    </w:p>
    <w:p>
      <w:pPr>
        <w:spacing w:after="0" w:line="223" w:lineRule="exact"/>
        <w:rPr>
          <w:sz w:val="20"/>
          <w:szCs w:val="20"/>
          <w:color w:val="auto"/>
        </w:rPr>
      </w:pPr>
    </w:p>
    <w:p>
      <w:pPr>
        <w:jc w:val="both"/>
        <w:ind w:left="260"/>
        <w:spacing w:after="0"/>
        <w:tabs>
          <w:tab w:leader="none" w:pos="1680" w:val="left"/>
        </w:tabs>
        <w:rPr>
          <w:sz w:val="20"/>
          <w:szCs w:val="20"/>
          <w:color w:val="auto"/>
        </w:rPr>
      </w:pPr>
      <w:r>
        <w:rPr>
          <w:rFonts w:ascii="Arial" w:cs="Arial" w:eastAsia="Arial" w:hAnsi="Arial"/>
          <w:sz w:val="17"/>
          <w:szCs w:val="17"/>
          <w:color w:val="auto"/>
        </w:rPr>
        <w:t>112,423,511</w:t>
      </w:r>
      <w:r>
        <w:rPr>
          <w:sz w:val="20"/>
          <w:szCs w:val="20"/>
          <w:color w:val="auto"/>
        </w:rPr>
        <w:tab/>
      </w:r>
      <w:r>
        <w:rPr>
          <w:rFonts w:ascii="Arial" w:cs="Arial" w:eastAsia="Arial" w:hAnsi="Arial"/>
          <w:sz w:val="17"/>
          <w:szCs w:val="17"/>
          <w:color w:val="auto"/>
        </w:rPr>
        <w:t>80,428,828</w:t>
      </w:r>
    </w:p>
    <w:p>
      <w:pPr>
        <w:spacing w:after="0" w:line="223" w:lineRule="exact"/>
        <w:rPr>
          <w:sz w:val="20"/>
          <w:szCs w:val="20"/>
          <w:color w:val="auto"/>
        </w:rPr>
      </w:pPr>
    </w:p>
    <w:p>
      <w:pPr>
        <w:jc w:val="both"/>
        <w:ind w:left="340"/>
        <w:spacing w:after="0"/>
        <w:tabs>
          <w:tab w:leader="none" w:pos="1760" w:val="left"/>
        </w:tabs>
        <w:rPr>
          <w:sz w:val="20"/>
          <w:szCs w:val="20"/>
          <w:color w:val="auto"/>
        </w:rPr>
      </w:pPr>
      <w:r>
        <w:rPr>
          <w:rFonts w:ascii="Arial" w:cs="Arial" w:eastAsia="Arial" w:hAnsi="Arial"/>
          <w:sz w:val="17"/>
          <w:szCs w:val="17"/>
          <w:color w:val="auto"/>
        </w:rPr>
        <w:t>11,772,818</w:t>
      </w:r>
      <w:r>
        <w:rPr>
          <w:sz w:val="20"/>
          <w:szCs w:val="20"/>
          <w:color w:val="auto"/>
        </w:rPr>
        <w:tab/>
      </w:r>
      <w:r>
        <w:rPr>
          <w:rFonts w:ascii="Arial" w:cs="Arial" w:eastAsia="Arial" w:hAnsi="Arial"/>
          <w:sz w:val="17"/>
          <w:szCs w:val="17"/>
          <w:color w:val="auto"/>
        </w:rPr>
        <w:t>9,987,686</w:t>
      </w:r>
    </w:p>
    <w:p>
      <w:pPr>
        <w:spacing w:after="0" w:line="40" w:lineRule="exact"/>
        <w:rPr>
          <w:sz w:val="20"/>
          <w:szCs w:val="20"/>
          <w:color w:val="auto"/>
        </w:rPr>
      </w:pPr>
    </w:p>
    <w:p>
      <w:pPr>
        <w:jc w:val="both"/>
        <w:ind w:left="260"/>
        <w:spacing w:after="0"/>
        <w:tabs>
          <w:tab w:leader="none" w:pos="1680" w:val="left"/>
        </w:tabs>
        <w:rPr>
          <w:sz w:val="20"/>
          <w:szCs w:val="20"/>
          <w:color w:val="auto"/>
        </w:rPr>
      </w:pPr>
      <w:r>
        <w:rPr>
          <w:rFonts w:ascii="Arial" w:cs="Arial" w:eastAsia="Arial" w:hAnsi="Arial"/>
          <w:sz w:val="17"/>
          <w:szCs w:val="17"/>
          <w:color w:val="auto"/>
        </w:rPr>
        <w:t>129,092,223</w:t>
      </w:r>
      <w:r>
        <w:rPr>
          <w:sz w:val="20"/>
          <w:szCs w:val="20"/>
          <w:color w:val="auto"/>
        </w:rPr>
        <w:tab/>
      </w:r>
      <w:r>
        <w:rPr>
          <w:rFonts w:ascii="Arial" w:cs="Arial" w:eastAsia="Arial" w:hAnsi="Arial"/>
          <w:sz w:val="17"/>
          <w:szCs w:val="17"/>
          <w:color w:val="auto"/>
        </w:rPr>
        <w:t>95,511,416</w:t>
      </w:r>
    </w:p>
    <w:p>
      <w:pPr>
        <w:spacing w:after="0" w:line="20" w:lineRule="exact"/>
        <w:rPr>
          <w:sz w:val="20"/>
          <w:szCs w:val="20"/>
          <w:color w:val="auto"/>
        </w:rPr>
      </w:pPr>
    </w:p>
    <w:p>
      <w:pPr>
        <w:jc w:val="both"/>
        <w:ind w:left="340"/>
        <w:spacing w:after="0"/>
        <w:tabs>
          <w:tab w:leader="none" w:pos="1680" w:val="left"/>
        </w:tabs>
        <w:rPr>
          <w:sz w:val="20"/>
          <w:szCs w:val="20"/>
          <w:color w:val="auto"/>
        </w:rPr>
      </w:pPr>
      <w:r>
        <w:rPr>
          <w:rFonts w:ascii="Arial" w:cs="Arial" w:eastAsia="Arial" w:hAnsi="Arial"/>
          <w:sz w:val="17"/>
          <w:szCs w:val="17"/>
          <w:color w:val="auto"/>
        </w:rPr>
        <w:t>14,357,465</w:t>
      </w:r>
      <w:r>
        <w:rPr>
          <w:sz w:val="20"/>
          <w:szCs w:val="20"/>
          <w:color w:val="auto"/>
        </w:rPr>
        <w:tab/>
      </w:r>
      <w:r>
        <w:rPr>
          <w:rFonts w:ascii="Arial" w:cs="Arial" w:eastAsia="Arial" w:hAnsi="Arial"/>
          <w:sz w:val="17"/>
          <w:szCs w:val="17"/>
          <w:color w:val="auto"/>
        </w:rPr>
        <w:t>12,044,520</w:t>
      </w:r>
    </w:p>
    <w:p>
      <w:pPr>
        <w:spacing w:after="0" w:line="14" w:lineRule="exact"/>
        <w:rPr>
          <w:sz w:val="20"/>
          <w:szCs w:val="20"/>
          <w:color w:val="auto"/>
        </w:rPr>
      </w:pPr>
    </w:p>
    <w:p>
      <w:pPr>
        <w:jc w:val="both"/>
        <w:ind w:left="340"/>
        <w:spacing w:after="0"/>
        <w:tabs>
          <w:tab w:leader="none" w:pos="1680" w:val="left"/>
        </w:tabs>
        <w:rPr>
          <w:sz w:val="20"/>
          <w:szCs w:val="20"/>
          <w:color w:val="auto"/>
        </w:rPr>
      </w:pPr>
      <w:r>
        <w:rPr>
          <w:rFonts w:ascii="Arial" w:cs="Arial" w:eastAsia="Arial" w:hAnsi="Arial"/>
          <w:sz w:val="17"/>
          <w:szCs w:val="17"/>
          <w:color w:val="auto"/>
        </w:rPr>
        <w:t>13,126,077</w:t>
      </w:r>
      <w:r>
        <w:rPr>
          <w:sz w:val="20"/>
          <w:szCs w:val="20"/>
          <w:color w:val="auto"/>
        </w:rPr>
        <w:tab/>
      </w:r>
      <w:r>
        <w:rPr>
          <w:rFonts w:ascii="Arial" w:cs="Arial" w:eastAsia="Arial" w:hAnsi="Arial"/>
          <w:sz w:val="17"/>
          <w:szCs w:val="17"/>
          <w:color w:val="auto"/>
        </w:rPr>
        <w:t>11,649,398</w:t>
      </w:r>
    </w:p>
    <w:p>
      <w:pPr>
        <w:spacing w:after="0" w:line="14" w:lineRule="exact"/>
        <w:rPr>
          <w:sz w:val="20"/>
          <w:szCs w:val="20"/>
          <w:color w:val="auto"/>
        </w:rPr>
      </w:pPr>
    </w:p>
    <w:p>
      <w:pPr>
        <w:jc w:val="both"/>
        <w:ind w:left="340"/>
        <w:spacing w:after="0"/>
        <w:tabs>
          <w:tab w:leader="none" w:pos="1680" w:val="left"/>
        </w:tabs>
        <w:rPr>
          <w:sz w:val="20"/>
          <w:szCs w:val="20"/>
          <w:color w:val="auto"/>
        </w:rPr>
      </w:pPr>
      <w:r>
        <w:rPr>
          <w:rFonts w:ascii="Arial" w:cs="Arial" w:eastAsia="Arial" w:hAnsi="Arial"/>
          <w:sz w:val="17"/>
          <w:szCs w:val="17"/>
          <w:color w:val="auto"/>
        </w:rPr>
        <w:t>34,543,843</w:t>
      </w:r>
      <w:r>
        <w:rPr>
          <w:sz w:val="20"/>
          <w:szCs w:val="20"/>
          <w:color w:val="auto"/>
        </w:rPr>
        <w:tab/>
      </w:r>
      <w:r>
        <w:rPr>
          <w:rFonts w:ascii="Arial" w:cs="Arial" w:eastAsia="Arial" w:hAnsi="Arial"/>
          <w:sz w:val="17"/>
          <w:szCs w:val="17"/>
          <w:color w:val="auto"/>
        </w:rPr>
        <w:t>32,197,765</w:t>
      </w:r>
    </w:p>
    <w:p>
      <w:pPr>
        <w:spacing w:after="0" w:line="14" w:lineRule="exact"/>
        <w:rPr>
          <w:sz w:val="20"/>
          <w:szCs w:val="20"/>
          <w:color w:val="auto"/>
        </w:rPr>
      </w:pPr>
    </w:p>
    <w:p>
      <w:pPr>
        <w:jc w:val="both"/>
        <w:ind w:left="340"/>
        <w:spacing w:after="0"/>
        <w:tabs>
          <w:tab w:leader="none" w:pos="1680" w:val="left"/>
        </w:tabs>
        <w:rPr>
          <w:sz w:val="20"/>
          <w:szCs w:val="20"/>
          <w:color w:val="auto"/>
        </w:rPr>
      </w:pPr>
      <w:r>
        <w:rPr>
          <w:rFonts w:ascii="Arial" w:cs="Arial" w:eastAsia="Arial" w:hAnsi="Arial"/>
          <w:sz w:val="17"/>
          <w:szCs w:val="17"/>
          <w:color w:val="auto"/>
        </w:rPr>
        <w:t>13,284,665</w:t>
      </w:r>
      <w:r>
        <w:rPr>
          <w:sz w:val="20"/>
          <w:szCs w:val="20"/>
          <w:color w:val="auto"/>
        </w:rPr>
        <w:tab/>
      </w:r>
      <w:r>
        <w:rPr>
          <w:rFonts w:ascii="Arial" w:cs="Arial" w:eastAsia="Arial" w:hAnsi="Arial"/>
          <w:sz w:val="17"/>
          <w:szCs w:val="17"/>
          <w:color w:val="auto"/>
        </w:rPr>
        <w:t>12,239,781</w:t>
      </w:r>
    </w:p>
    <w:p>
      <w:pPr>
        <w:spacing w:after="0" w:line="14" w:lineRule="exact"/>
        <w:rPr>
          <w:sz w:val="20"/>
          <w:szCs w:val="20"/>
          <w:color w:val="auto"/>
        </w:rPr>
      </w:pPr>
    </w:p>
    <w:p>
      <w:pPr>
        <w:jc w:val="both"/>
        <w:ind w:left="420"/>
        <w:spacing w:after="0"/>
        <w:tabs>
          <w:tab w:leader="none" w:pos="1760" w:val="left"/>
        </w:tabs>
        <w:rPr>
          <w:sz w:val="20"/>
          <w:szCs w:val="20"/>
          <w:color w:val="auto"/>
        </w:rPr>
      </w:pPr>
      <w:r>
        <w:rPr>
          <w:rFonts w:ascii="Arial" w:cs="Arial" w:eastAsia="Arial" w:hAnsi="Arial"/>
          <w:sz w:val="17"/>
          <w:szCs w:val="17"/>
          <w:color w:val="auto"/>
        </w:rPr>
        <w:t>1,180,000</w:t>
      </w:r>
      <w:r>
        <w:rPr>
          <w:sz w:val="20"/>
          <w:szCs w:val="20"/>
          <w:color w:val="auto"/>
        </w:rPr>
        <w:tab/>
      </w:r>
      <w:r>
        <w:rPr>
          <w:rFonts w:ascii="Arial" w:cs="Arial" w:eastAsia="Arial" w:hAnsi="Arial"/>
          <w:sz w:val="17"/>
          <w:szCs w:val="17"/>
          <w:color w:val="auto"/>
        </w:rPr>
        <w:t>1,350,000</w:t>
      </w:r>
    </w:p>
    <w:p>
      <w:pPr>
        <w:spacing w:after="0" w:line="14" w:lineRule="exact"/>
        <w:rPr>
          <w:sz w:val="20"/>
          <w:szCs w:val="20"/>
          <w:color w:val="auto"/>
        </w:rPr>
      </w:pPr>
    </w:p>
    <w:p>
      <w:pPr>
        <w:jc w:val="both"/>
        <w:ind w:left="420"/>
        <w:spacing w:after="0"/>
        <w:tabs>
          <w:tab w:leader="none" w:pos="1780" w:val="left"/>
        </w:tabs>
        <w:rPr>
          <w:sz w:val="20"/>
          <w:szCs w:val="20"/>
          <w:color w:val="auto"/>
        </w:rPr>
      </w:pPr>
      <w:r>
        <w:rPr>
          <w:rFonts w:ascii="Arial" w:cs="Arial" w:eastAsia="Arial" w:hAnsi="Arial"/>
          <w:sz w:val="17"/>
          <w:szCs w:val="17"/>
          <w:color w:val="auto"/>
        </w:rPr>
        <w:t>3,838,351</w:t>
      </w:r>
      <w:r>
        <w:rPr>
          <w:sz w:val="20"/>
          <w:szCs w:val="20"/>
          <w:color w:val="auto"/>
        </w:rPr>
        <w:tab/>
      </w:r>
      <w:r>
        <w:rPr>
          <w:rFonts w:ascii="Arial" w:cs="Arial" w:eastAsia="Arial" w:hAnsi="Arial"/>
          <w:sz w:val="17"/>
          <w:szCs w:val="17"/>
          <w:color w:val="auto"/>
        </w:rPr>
        <w:t>3,011,373</w:t>
      </w:r>
    </w:p>
    <w:p>
      <w:pPr>
        <w:spacing w:after="0" w:line="14" w:lineRule="exact"/>
        <w:rPr>
          <w:sz w:val="20"/>
          <w:szCs w:val="20"/>
          <w:color w:val="auto"/>
        </w:rPr>
      </w:pPr>
    </w:p>
    <w:p>
      <w:pPr>
        <w:jc w:val="both"/>
        <w:ind w:left="420"/>
        <w:spacing w:after="0"/>
        <w:tabs>
          <w:tab w:leader="none" w:pos="1760" w:val="left"/>
        </w:tabs>
        <w:rPr>
          <w:sz w:val="20"/>
          <w:szCs w:val="20"/>
          <w:color w:val="auto"/>
        </w:rPr>
      </w:pPr>
      <w:r>
        <w:rPr>
          <w:rFonts w:ascii="Arial" w:cs="Arial" w:eastAsia="Arial" w:hAnsi="Arial"/>
          <w:sz w:val="17"/>
          <w:szCs w:val="17"/>
          <w:color w:val="auto"/>
        </w:rPr>
        <w:t>1,268,699</w:t>
      </w:r>
      <w:r>
        <w:rPr>
          <w:sz w:val="20"/>
          <w:szCs w:val="20"/>
          <w:color w:val="auto"/>
        </w:rPr>
        <w:tab/>
      </w:r>
      <w:r>
        <w:rPr>
          <w:rFonts w:ascii="Arial" w:cs="Arial" w:eastAsia="Arial" w:hAnsi="Arial"/>
          <w:sz w:val="17"/>
          <w:szCs w:val="17"/>
          <w:color w:val="auto"/>
        </w:rPr>
        <w:t>1,442,209</w:t>
      </w:r>
    </w:p>
    <w:p>
      <w:pPr>
        <w:spacing w:after="0" w:line="34" w:lineRule="exact"/>
        <w:rPr>
          <w:sz w:val="20"/>
          <w:szCs w:val="20"/>
          <w:color w:val="auto"/>
        </w:rPr>
      </w:pPr>
    </w:p>
    <w:p>
      <w:pPr>
        <w:spacing w:after="0"/>
        <w:tabs>
          <w:tab w:leader="none" w:pos="240" w:val="left"/>
          <w:tab w:leader="none" w:pos="1360" w:val="left"/>
          <w:tab w:leader="none" w:pos="1600" w:val="left"/>
        </w:tabs>
        <w:rPr>
          <w:sz w:val="20"/>
          <w:szCs w:val="20"/>
          <w:color w:val="auto"/>
        </w:rPr>
      </w:pPr>
      <w:r>
        <w:rPr>
          <w:rFonts w:ascii="Arial" w:cs="Arial" w:eastAsia="Arial" w:hAnsi="Arial"/>
          <w:sz w:val="17"/>
          <w:szCs w:val="17"/>
          <w:color w:val="auto"/>
        </w:rPr>
        <w:t>$</w:t>
        <w:tab/>
        <w:t>210,691,323</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169,446,462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13970</wp:posOffset>
            </wp:positionV>
            <wp:extent cx="1736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36090"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8100" w:space="720"/>
            <w:col w:w="2600"/>
          </w:cols>
          <w:pgMar w:left="240" w:top="546"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6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 reserves</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44,196,576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41,736,719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Unearned premiums</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59,034,845</w:t>
            </w:r>
          </w:p>
        </w:tc>
        <w:tc>
          <w:tcPr>
            <w:tcW w:w="26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54,994,375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Advance premiums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2,169,979</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1,421,560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Reinsurance balances payable</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2,803,939</w:t>
            </w:r>
          </w:p>
        </w:tc>
        <w:tc>
          <w:tcPr>
            <w:tcW w:w="26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2,146,017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ceding commission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7,228,966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6,851,841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Accounts payable, accrued expenses and other liabilities</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4,598,774</w:t>
            </w:r>
          </w:p>
        </w:tc>
        <w:tc>
          <w:tcPr>
            <w:tcW w:w="26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5,448,448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Deferred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339,840</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166,949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Total liabilities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95"/>
              </w:rPr>
              <w:t>120,372,919</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5"/>
              </w:rPr>
              <w:t>112,765,909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Commitments and Contingencies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Preferred stock, $.01 par value; authorized 2,500,000 shares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7"/>
                <w:szCs w:val="17"/>
                <w:color w:val="auto"/>
              </w:rPr>
              <w:t>Common stock, $.01 par value; authorized 20,000,000 shares; issued 11,600,288 shares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at June 30, 2017 and 8,896,335 at December 31, 2016; outstanding</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7"/>
                <w:szCs w:val="17"/>
                <w:color w:val="auto"/>
              </w:rPr>
              <w:t>10,622,491 shares at June 30, 2017 and 7,921,866 shares at December 31, 2016</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116,002</w:t>
            </w:r>
          </w:p>
        </w:tc>
        <w:tc>
          <w:tcPr>
            <w:tcW w:w="26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88,963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Capital in excess of par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68,218,302</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37,950,401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7"/>
                <w:szCs w:val="17"/>
                <w:color w:val="auto"/>
              </w:rPr>
              <w:t>Accumulated other comprehensive income</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996,899</w:t>
            </w:r>
          </w:p>
        </w:tc>
        <w:tc>
          <w:tcPr>
            <w:tcW w:w="26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72,931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Retained earnings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23,031,059</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20,563,720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92,362,262</w:t>
            </w:r>
          </w:p>
        </w:tc>
        <w:tc>
          <w:tcPr>
            <w:tcW w:w="260" w:type="dxa"/>
            <w:vAlign w:val="bottom"/>
          </w:tcPr>
          <w:p>
            <w:pPr>
              <w:spacing w:after="0"/>
              <w:rPr>
                <w:sz w:val="18"/>
                <w:szCs w:val="18"/>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58,676,015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Treasury stock, at cost, 977,797 shares at June 30, 2017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660" w:type="dxa"/>
            <w:vAlign w:val="bottom"/>
          </w:tcPr>
          <w:p>
            <w:pPr>
              <w:ind w:left="340"/>
              <w:spacing w:after="0"/>
              <w:rPr>
                <w:sz w:val="20"/>
                <w:szCs w:val="20"/>
                <w:color w:val="auto"/>
              </w:rPr>
            </w:pPr>
            <w:r>
              <w:rPr>
                <w:rFonts w:ascii="Arial" w:cs="Arial" w:eastAsia="Arial" w:hAnsi="Arial"/>
                <w:sz w:val="17"/>
                <w:szCs w:val="17"/>
                <w:color w:val="auto"/>
              </w:rPr>
              <w:t>and 974,469 shares at December 31, 2016</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(2,043,858)</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(1,995,462)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90,318,404</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56,680,553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95"/>
              </w:rPr>
              <w:t>210,691,323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95"/>
              </w:rPr>
              <w:t>169,446,462</w:t>
            </w:r>
          </w:p>
        </w:tc>
        <w:tc>
          <w:tcPr>
            <w:tcW w:w="0" w:type="dxa"/>
            <w:vAlign w:val="bottom"/>
          </w:tcPr>
          <w:p>
            <w:pPr>
              <w:spacing w:after="0"/>
              <w:rPr>
                <w:sz w:val="1"/>
                <w:szCs w:val="1"/>
                <w:color w:val="auto"/>
              </w:rPr>
            </w:pPr>
          </w:p>
        </w:tc>
      </w:tr>
      <w:tr>
        <w:trPr>
          <w:trHeight w:val="409"/>
        </w:trPr>
        <w:tc>
          <w:tcPr>
            <w:tcW w:w="8680" w:type="dxa"/>
            <w:vAlign w:val="bottom"/>
            <w:gridSpan w:val="2"/>
          </w:tcPr>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20" w:type="dxa"/>
            <w:vAlign w:val="bottom"/>
          </w:tcPr>
          <w:p>
            <w:pPr>
              <w:spacing w:after="0"/>
              <w:rPr>
                <w:sz w:val="24"/>
                <w:szCs w:val="24"/>
                <w:color w:val="auto"/>
              </w:rPr>
            </w:pPr>
          </w:p>
        </w:tc>
        <w:tc>
          <w:tcPr>
            <w:tcW w:w="8660" w:type="dxa"/>
            <w:vAlign w:val="bottom"/>
            <w:tcBorders>
              <w:bottom w:val="single" w:sz="8" w:color="auto"/>
            </w:tcBorders>
          </w:tcPr>
          <w:p>
            <w:pPr>
              <w:ind w:left="5660"/>
              <w:spacing w:after="0"/>
              <w:rPr>
                <w:sz w:val="20"/>
                <w:szCs w:val="20"/>
                <w:color w:val="auto"/>
              </w:rPr>
            </w:pPr>
            <w:r>
              <w:rPr>
                <w:rFonts w:ascii="Arial" w:cs="Arial" w:eastAsia="Arial" w:hAnsi="Arial"/>
                <w:sz w:val="13"/>
                <w:szCs w:val="13"/>
                <w:color w:val="auto"/>
              </w:rPr>
              <w:t>2</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6" w:right="239" w:bottom="1440" w:gutter="0" w:footer="0" w:header="0"/>
          <w:type w:val="continuous"/>
        </w:sectPr>
      </w:pPr>
    </w:p>
    <w:bookmarkStart w:id="4" w:name="page5"/>
    <w:bookmarkEnd w:id="4"/>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Income and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40" w:type="dxa"/>
            <w:vAlign w:val="bottom"/>
            <w:gridSpan w:val="3"/>
          </w:tcPr>
          <w:p>
            <w:pPr>
              <w:jc w:val="right"/>
              <w:ind w:right="415"/>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238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premiums earned</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16,953,727</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15,010,875</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33,323,475</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8"/>
              </w:rPr>
              <w:t>29,542,550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Ceding commission revenue</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3,305,938</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2,569,025</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6,490,390</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5,339,362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investment income</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1,026,004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764,070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1,883,804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1,577,127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Net realized gains on investments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130,423</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283,432</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75,917</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363,868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income</w:t>
            </w: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308,159</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284,508</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597,859</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533,855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21,724,251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18,911,910</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42,371,445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8"/>
              </w:rPr>
              <w:t>37,356,762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7,454,922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5,786,836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15,747,918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98"/>
              </w:rPr>
              <w:t>15,270,691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5,101,566</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4,526,208</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9,990,544</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8,796,274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4,199,616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3,596,134</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8,412,033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6,942,575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906,690</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432,696</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1,662,494</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761,935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326,174</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289,173</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644,872</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573,001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Pr>
          <w:p>
            <w:pPr>
              <w:ind w:left="300"/>
              <w:spacing w:after="0"/>
              <w:rPr>
                <w:sz w:val="20"/>
                <w:szCs w:val="20"/>
                <w:color w:val="auto"/>
              </w:rPr>
            </w:pPr>
            <w:r>
              <w:rPr>
                <w:rFonts w:ascii="Arial" w:cs="Arial" w:eastAsia="Arial" w:hAnsi="Arial"/>
                <w:sz w:val="17"/>
                <w:szCs w:val="17"/>
                <w:color w:val="auto"/>
              </w:rPr>
              <w:t>Total expenses</w:t>
            </w:r>
          </w:p>
        </w:tc>
        <w:tc>
          <w:tcPr>
            <w:tcW w:w="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17,988,968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14,631,047</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36,457,861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8"/>
              </w:rPr>
              <w:t>32,344,476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Income from operations before taxes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3,735,283</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4,280,863</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5,913,584</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5,012,286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Income tax expense</w:t>
            </w:r>
          </w:p>
        </w:tc>
        <w:tc>
          <w:tcPr>
            <w:tcW w:w="6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1,224,891</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1,438,602</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1,932,612</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1,628,993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2,510,392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2,842,261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3,980,972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3,383,293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b w:val="1"/>
                <w:bCs w:val="1"/>
                <w:color w:val="auto"/>
              </w:rPr>
              <w:t>Other comprehensive income, net of tax</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Gross change in unrealized gains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300"/>
              <w:spacing w:after="0"/>
              <w:rPr>
                <w:sz w:val="20"/>
                <w:szCs w:val="20"/>
                <w:color w:val="auto"/>
              </w:rPr>
            </w:pPr>
            <w:r>
              <w:rPr>
                <w:rFonts w:ascii="Arial" w:cs="Arial" w:eastAsia="Arial" w:hAnsi="Arial"/>
                <w:sz w:val="17"/>
                <w:szCs w:val="17"/>
                <w:color w:val="auto"/>
              </w:rPr>
              <w:t>on available-for-sale-securities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951,047</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873,850</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1,475,869</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2,357,914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Reclassification adjustment for gains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included in net income</w:t>
            </w:r>
          </w:p>
        </w:tc>
        <w:tc>
          <w:tcPr>
            <w:tcW w:w="6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(130,423)</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(283,432)</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(75,917)</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(363,868)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460"/>
              <w:spacing w:after="0"/>
              <w:rPr>
                <w:sz w:val="20"/>
                <w:szCs w:val="20"/>
                <w:color w:val="auto"/>
              </w:rPr>
            </w:pPr>
            <w:r>
              <w:rPr>
                <w:rFonts w:ascii="Arial" w:cs="Arial" w:eastAsia="Arial" w:hAnsi="Arial"/>
                <w:sz w:val="17"/>
                <w:szCs w:val="17"/>
                <w:color w:val="auto"/>
              </w:rPr>
              <w:t>Net change in unrealized gains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820,624</w:t>
            </w:r>
          </w:p>
        </w:tc>
        <w:tc>
          <w:tcPr>
            <w:tcW w:w="3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590,418</w:t>
            </w:r>
          </w:p>
        </w:tc>
        <w:tc>
          <w:tcPr>
            <w:tcW w:w="320" w:type="dxa"/>
            <w:vAlign w:val="bottom"/>
          </w:tcPr>
          <w:p>
            <w:pPr>
              <w:spacing w:after="0"/>
              <w:rPr>
                <w:sz w:val="18"/>
                <w:szCs w:val="18"/>
                <w:color w:val="auto"/>
              </w:rPr>
            </w:pP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1,399,952</w:t>
            </w:r>
          </w:p>
        </w:tc>
        <w:tc>
          <w:tcPr>
            <w:tcW w:w="320" w:type="dxa"/>
            <w:vAlign w:val="bottom"/>
          </w:tcPr>
          <w:p>
            <w:pPr>
              <w:spacing w:after="0"/>
              <w:rPr>
                <w:sz w:val="18"/>
                <w:szCs w:val="18"/>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1,994,046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 expense related to items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300" w:type="dxa"/>
            <w:vAlign w:val="bottom"/>
          </w:tcPr>
          <w:p>
            <w:pPr>
              <w:ind w:left="300"/>
              <w:spacing w:after="0"/>
              <w:rPr>
                <w:sz w:val="20"/>
                <w:szCs w:val="20"/>
                <w:color w:val="auto"/>
              </w:rPr>
            </w:pPr>
            <w:r>
              <w:rPr>
                <w:rFonts w:ascii="Arial" w:cs="Arial" w:eastAsia="Arial" w:hAnsi="Arial"/>
                <w:sz w:val="17"/>
                <w:szCs w:val="17"/>
                <w:color w:val="auto"/>
              </w:rPr>
              <w:t>of other comprehensive income</w:t>
            </w:r>
          </w:p>
        </w:tc>
        <w:tc>
          <w:tcPr>
            <w:tcW w:w="6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(279,012)</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(200,742)</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(475,984)</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(677,976)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Other comprehensive income, net of tax</w:t>
            </w:r>
          </w:p>
        </w:tc>
        <w:tc>
          <w:tcPr>
            <w:tcW w:w="6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541,612</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389,676</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923,968</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1,316,070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Comprehensive income</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3,052,004</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3,231,937</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4,904,940</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4,699,363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per common share:</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Basic</w:t>
            </w:r>
          </w:p>
        </w:tc>
        <w:tc>
          <w:tcPr>
            <w:tcW w:w="9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0.24</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0.36</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96"/>
              <w:spacing w:after="0"/>
              <w:rPr>
                <w:sz w:val="20"/>
                <w:szCs w:val="20"/>
                <w:color w:val="auto"/>
              </w:rPr>
            </w:pPr>
            <w:r>
              <w:rPr>
                <w:rFonts w:ascii="Arial" w:cs="Arial" w:eastAsia="Arial" w:hAnsi="Arial"/>
                <w:sz w:val="17"/>
                <w:szCs w:val="17"/>
                <w:color w:val="auto"/>
              </w:rPr>
              <w:t>0.39</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5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9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0.23</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0.36</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0.39</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0.44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Weighted average common shares outstanding</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7"/>
                <w:szCs w:val="17"/>
                <w:color w:val="auto"/>
              </w:rPr>
              <w:t>Basic</w:t>
            </w:r>
          </w:p>
        </w:tc>
        <w:tc>
          <w:tcPr>
            <w:tcW w:w="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10,622,496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7,794,347</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10,145,772</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7,558,366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Diluted</w:t>
            </w: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10,822,577</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7,853,284</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10,337,213</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7,607,231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Dividends declared and paid per common share</w:t>
            </w: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0.0800</w:t>
            </w:r>
          </w:p>
        </w:tc>
        <w:tc>
          <w:tcPr>
            <w:tcW w:w="3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0.0625</w:t>
            </w:r>
          </w:p>
        </w:tc>
        <w:tc>
          <w:tcPr>
            <w:tcW w:w="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0.1425</w:t>
            </w: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0.1250</w:t>
            </w:r>
          </w:p>
        </w:tc>
        <w:tc>
          <w:tcPr>
            <w:tcW w:w="0" w:type="dxa"/>
            <w:vAlign w:val="bottom"/>
          </w:tcPr>
          <w:p>
            <w:pPr>
              <w:spacing w:after="0"/>
              <w:rPr>
                <w:sz w:val="1"/>
                <w:szCs w:val="1"/>
                <w:color w:val="auto"/>
              </w:rPr>
            </w:pPr>
          </w:p>
        </w:tc>
      </w:tr>
      <w:tr>
        <w:trPr>
          <w:trHeight w:val="409"/>
        </w:trPr>
        <w:tc>
          <w:tcPr>
            <w:tcW w:w="5320" w:type="dxa"/>
            <w:vAlign w:val="bottom"/>
            <w:gridSpan w:val="2"/>
          </w:tcPr>
          <w:p>
            <w:pPr>
              <w:spacing w:after="0"/>
              <w:rPr>
                <w:sz w:val="20"/>
                <w:szCs w:val="20"/>
                <w:color w:val="auto"/>
              </w:rPr>
            </w:pPr>
            <w:r>
              <w:rPr>
                <w:rFonts w:ascii="Arial" w:cs="Arial" w:eastAsia="Arial" w:hAnsi="Arial"/>
                <w:sz w:val="17"/>
                <w:szCs w:val="17"/>
                <w:i w:val="1"/>
                <w:iCs w:val="1"/>
                <w:color w:val="auto"/>
                <w:w w:val="95"/>
              </w:rPr>
              <w:t>See accompanying notes to condensed consolidated financial statements.</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color w:val="auto"/>
              </w:rPr>
              <w:t>3</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8" w:right="239" w:bottom="1440" w:gutter="0" w:footer="0" w:header="0"/>
        </w:sectPr>
      </w:pPr>
    </w:p>
    <w:bookmarkStart w:id="5" w:name="page6"/>
    <w:bookmarkEnd w:id="5"/>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25106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ind w:right="168"/>
              <w:spacing w:after="0" w:line="157"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840" w:type="dxa"/>
            <w:vAlign w:val="bottom"/>
          </w:tcPr>
          <w:p>
            <w:pPr>
              <w:jc w:val="right"/>
              <w:ind w:right="308"/>
              <w:spacing w:after="0" w:line="157" w:lineRule="exact"/>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in Excess</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Comprehensive</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180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Treasury Stock</w:t>
            </w:r>
          </w:p>
        </w:tc>
        <w:tc>
          <w:tcPr>
            <w:tcW w:w="900" w:type="dxa"/>
            <w:vAlign w:val="bottom"/>
          </w:tcPr>
          <w:p>
            <w:pPr>
              <w:spacing w:after="0"/>
              <w:rPr>
                <w:sz w:val="17"/>
                <w:szCs w:val="17"/>
                <w:color w:val="auto"/>
              </w:rPr>
            </w:pPr>
          </w:p>
        </w:tc>
      </w:tr>
      <w:tr>
        <w:trPr>
          <w:trHeight w:val="163"/>
        </w:trPr>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b w:val="1"/>
                <w:bCs w:val="1"/>
                <w:color w:val="auto"/>
                <w:w w:val="98"/>
              </w:rPr>
              <w:t>Shares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b w:val="1"/>
                <w:bCs w:val="1"/>
                <w:color w:val="auto"/>
                <w:w w:val="94"/>
              </w:rPr>
              <w:t>Amount</w:t>
            </w:r>
          </w:p>
        </w:tc>
        <w:tc>
          <w:tcPr>
            <w:tcW w:w="9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b w:val="1"/>
                <w:bCs w:val="1"/>
                <w:color w:val="auto"/>
              </w:rPr>
              <w:t>of Par</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b w:val="1"/>
                <w:bCs w:val="1"/>
                <w:color w:val="auto"/>
                <w:w w:val="97"/>
              </w:rPr>
              <w:t>Income</w:t>
            </w:r>
          </w:p>
        </w:tc>
        <w:tc>
          <w:tcPr>
            <w:tcW w:w="82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b w:val="1"/>
                <w:bCs w:val="1"/>
                <w:color w:val="auto"/>
              </w:rPr>
              <w:t>Earnings</w:t>
            </w:r>
          </w:p>
        </w:tc>
        <w:tc>
          <w:tcPr>
            <w:tcW w:w="90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b w:val="1"/>
                <w:bCs w:val="1"/>
                <w:color w:val="auto"/>
              </w:rPr>
              <w:t>Shares</w:t>
            </w:r>
          </w:p>
        </w:tc>
        <w:tc>
          <w:tcPr>
            <w:tcW w:w="90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b w:val="1"/>
                <w:bCs w:val="1"/>
                <w:color w:val="auto"/>
              </w:rPr>
              <w:t>Total</w:t>
            </w:r>
          </w:p>
        </w:tc>
      </w:tr>
      <w:tr>
        <w:trPr>
          <w:trHeight w:val="157"/>
        </w:trPr>
        <w:tc>
          <w:tcPr>
            <w:tcW w:w="20" w:type="dxa"/>
            <w:vAlign w:val="bottom"/>
          </w:tcPr>
          <w:p>
            <w:pPr>
              <w:spacing w:after="0"/>
              <w:rPr>
                <w:sz w:val="13"/>
                <w:szCs w:val="13"/>
                <w:color w:val="auto"/>
              </w:rPr>
            </w:pPr>
          </w:p>
        </w:tc>
        <w:tc>
          <w:tcPr>
            <w:tcW w:w="30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Balance, January 1, 2017</w:t>
            </w:r>
          </w:p>
        </w:tc>
        <w:tc>
          <w:tcPr>
            <w:tcW w:w="1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8,896,335</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88,963</w:t>
            </w:r>
          </w:p>
        </w:tc>
        <w:tc>
          <w:tcPr>
            <w:tcW w:w="9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$37,950,401</w:t>
            </w:r>
          </w:p>
        </w:tc>
        <w:tc>
          <w:tcPr>
            <w:tcW w:w="20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72,931</w:t>
            </w:r>
          </w:p>
        </w:tc>
        <w:tc>
          <w:tcPr>
            <w:tcW w:w="8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w w:val="89"/>
              </w:rPr>
              <w:t>$20,563,720</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974,469</w:t>
            </w:r>
          </w:p>
        </w:tc>
        <w:tc>
          <w:tcPr>
            <w:tcW w:w="9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 (1,995,462)</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$56,680,553</w:t>
            </w:r>
          </w:p>
        </w:tc>
      </w:tr>
      <w:tr>
        <w:trPr>
          <w:trHeight w:val="157"/>
        </w:trPr>
        <w:tc>
          <w:tcPr>
            <w:tcW w:w="20" w:type="dxa"/>
            <w:vAlign w:val="bottom"/>
          </w:tcPr>
          <w:p>
            <w:pPr>
              <w:spacing w:after="0"/>
              <w:rPr>
                <w:sz w:val="13"/>
                <w:szCs w:val="13"/>
                <w:color w:val="auto"/>
              </w:rPr>
            </w:pPr>
          </w:p>
        </w:tc>
        <w:tc>
          <w:tcPr>
            <w:tcW w:w="3000" w:type="dxa"/>
            <w:vAlign w:val="bottom"/>
            <w:gridSpan w:val="2"/>
          </w:tcPr>
          <w:p>
            <w:pPr>
              <w:spacing w:after="0" w:line="157" w:lineRule="exact"/>
              <w:rPr>
                <w:sz w:val="20"/>
                <w:szCs w:val="20"/>
                <w:color w:val="auto"/>
              </w:rPr>
            </w:pPr>
            <w:r>
              <w:rPr>
                <w:rFonts w:ascii="Arial" w:cs="Arial" w:eastAsia="Arial" w:hAnsi="Arial"/>
                <w:sz w:val="14"/>
                <w:szCs w:val="14"/>
                <w:color w:val="auto"/>
              </w:rPr>
              <w:t>Proceeds from public offering, net of</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300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offering costs of $2,173,000</w:t>
            </w:r>
          </w:p>
        </w:tc>
        <w:tc>
          <w:tcPr>
            <w:tcW w:w="1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2,692,500</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26,925</w:t>
            </w:r>
          </w:p>
        </w:tc>
        <w:tc>
          <w:tcPr>
            <w:tcW w:w="9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30,109,774</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30,136,699</w:t>
            </w:r>
          </w:p>
        </w:tc>
      </w:tr>
      <w:tr>
        <w:trPr>
          <w:trHeight w:val="157"/>
        </w:trPr>
        <w:tc>
          <w:tcPr>
            <w:tcW w:w="20" w:type="dxa"/>
            <w:vAlign w:val="bottom"/>
          </w:tcPr>
          <w:p>
            <w:pPr>
              <w:spacing w:after="0"/>
              <w:rPr>
                <w:sz w:val="13"/>
                <w:szCs w:val="13"/>
                <w:color w:val="auto"/>
              </w:rPr>
            </w:pPr>
          </w:p>
        </w:tc>
        <w:tc>
          <w:tcPr>
            <w:tcW w:w="3000" w:type="dxa"/>
            <w:vAlign w:val="bottom"/>
            <w:gridSpan w:val="2"/>
          </w:tcPr>
          <w:p>
            <w:pPr>
              <w:spacing w:after="0" w:line="157" w:lineRule="exact"/>
              <w:rPr>
                <w:sz w:val="20"/>
                <w:szCs w:val="20"/>
                <w:color w:val="auto"/>
              </w:rPr>
            </w:pPr>
            <w:r>
              <w:rPr>
                <w:rFonts w:ascii="Arial" w:cs="Arial" w:eastAsia="Arial" w:hAnsi="Arial"/>
                <w:sz w:val="14"/>
                <w:szCs w:val="14"/>
                <w:color w:val="auto"/>
              </w:rPr>
              <w:t>Stock-based compensation</w:t>
            </w:r>
          </w:p>
        </w:tc>
        <w:tc>
          <w:tcPr>
            <w:tcW w:w="1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2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127,768</w:t>
            </w:r>
          </w:p>
        </w:tc>
        <w:tc>
          <w:tcPr>
            <w:tcW w:w="200" w:type="dxa"/>
            <w:vAlign w:val="bottom"/>
          </w:tcPr>
          <w:p>
            <w:pPr>
              <w:spacing w:after="0"/>
              <w:rPr>
                <w:sz w:val="13"/>
                <w:szCs w:val="13"/>
                <w:color w:val="auto"/>
              </w:rPr>
            </w:pPr>
          </w:p>
        </w:tc>
        <w:tc>
          <w:tcPr>
            <w:tcW w:w="84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127,768</w:t>
            </w:r>
          </w:p>
        </w:tc>
      </w:tr>
      <w:tr>
        <w:trPr>
          <w:trHeight w:val="157"/>
        </w:trPr>
        <w:tc>
          <w:tcPr>
            <w:tcW w:w="20" w:type="dxa"/>
            <w:vAlign w:val="bottom"/>
          </w:tcPr>
          <w:p>
            <w:pPr>
              <w:spacing w:after="0"/>
              <w:rPr>
                <w:sz w:val="13"/>
                <w:szCs w:val="13"/>
                <w:color w:val="auto"/>
              </w:rPr>
            </w:pPr>
          </w:p>
        </w:tc>
        <w:tc>
          <w:tcPr>
            <w:tcW w:w="30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Vesting of restricted stock awards</w:t>
            </w:r>
          </w:p>
        </w:tc>
        <w:tc>
          <w:tcPr>
            <w:tcW w:w="1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5,621</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56</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(56)</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r>
      <w:tr>
        <w:trPr>
          <w:trHeight w:val="157"/>
        </w:trPr>
        <w:tc>
          <w:tcPr>
            <w:tcW w:w="20" w:type="dxa"/>
            <w:vAlign w:val="bottom"/>
          </w:tcPr>
          <w:p>
            <w:pPr>
              <w:spacing w:after="0"/>
              <w:rPr>
                <w:sz w:val="13"/>
                <w:szCs w:val="13"/>
                <w:color w:val="auto"/>
              </w:rPr>
            </w:pPr>
          </w:p>
        </w:tc>
        <w:tc>
          <w:tcPr>
            <w:tcW w:w="3000" w:type="dxa"/>
            <w:vAlign w:val="bottom"/>
            <w:gridSpan w:val="2"/>
          </w:tcPr>
          <w:p>
            <w:pPr>
              <w:spacing w:after="0" w:line="157" w:lineRule="exact"/>
              <w:rPr>
                <w:sz w:val="20"/>
                <w:szCs w:val="20"/>
                <w:color w:val="auto"/>
              </w:rPr>
            </w:pPr>
            <w:r>
              <w:rPr>
                <w:rFonts w:ascii="Arial" w:cs="Arial" w:eastAsia="Arial" w:hAnsi="Arial"/>
                <w:sz w:val="14"/>
                <w:szCs w:val="14"/>
                <w:color w:val="auto"/>
              </w:rPr>
              <w:t>Shares deducted from restricted stock</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3000" w:type="dxa"/>
            <w:vAlign w:val="bottom"/>
            <w:gridSpan w:val="2"/>
            <w:shd w:val="clear" w:color="auto" w:fill="CCEEFF"/>
          </w:tcPr>
          <w:p>
            <w:pPr>
              <w:ind w:left="140"/>
              <w:spacing w:after="0" w:line="147" w:lineRule="exact"/>
              <w:rPr>
                <w:sz w:val="20"/>
                <w:szCs w:val="20"/>
                <w:color w:val="auto"/>
              </w:rPr>
            </w:pPr>
            <w:r>
              <w:rPr>
                <w:rFonts w:ascii="Arial" w:cs="Arial" w:eastAsia="Arial" w:hAnsi="Arial"/>
                <w:sz w:val="14"/>
                <w:szCs w:val="14"/>
                <w:color w:val="auto"/>
              </w:rPr>
              <w:t>awards for payment of withholding</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taxes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(8,882)</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(8,888)</w:t>
            </w:r>
          </w:p>
        </w:tc>
      </w:tr>
      <w:tr>
        <w:trPr>
          <w:trHeight w:val="157"/>
        </w:trPr>
        <w:tc>
          <w:tcPr>
            <w:tcW w:w="20" w:type="dxa"/>
            <w:vAlign w:val="bottom"/>
          </w:tcPr>
          <w:p>
            <w:pPr>
              <w:spacing w:after="0"/>
              <w:rPr>
                <w:sz w:val="13"/>
                <w:szCs w:val="13"/>
                <w:color w:val="auto"/>
              </w:rPr>
            </w:pPr>
          </w:p>
        </w:tc>
        <w:tc>
          <w:tcPr>
            <w:tcW w:w="3000" w:type="dxa"/>
            <w:vAlign w:val="bottom"/>
            <w:gridSpan w:val="2"/>
          </w:tcPr>
          <w:p>
            <w:pPr>
              <w:spacing w:after="0" w:line="157" w:lineRule="exact"/>
              <w:rPr>
                <w:sz w:val="20"/>
                <w:szCs w:val="20"/>
                <w:color w:val="auto"/>
              </w:rPr>
            </w:pPr>
            <w:r>
              <w:rPr>
                <w:rFonts w:ascii="Arial" w:cs="Arial" w:eastAsia="Arial" w:hAnsi="Arial"/>
                <w:sz w:val="14"/>
                <w:szCs w:val="14"/>
                <w:color w:val="auto"/>
              </w:rPr>
              <w:t>Exercise of stock options</w:t>
            </w:r>
          </w:p>
        </w:tc>
        <w:tc>
          <w:tcPr>
            <w:tcW w:w="1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2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6,416</w:t>
            </w:r>
          </w:p>
        </w:tc>
        <w:tc>
          <w:tcPr>
            <w:tcW w:w="160" w:type="dxa"/>
            <w:vAlign w:val="bottom"/>
          </w:tcPr>
          <w:p>
            <w:pPr>
              <w:spacing w:after="0"/>
              <w:rPr>
                <w:sz w:val="13"/>
                <w:szCs w:val="13"/>
                <w:color w:val="auto"/>
              </w:rPr>
            </w:pPr>
          </w:p>
        </w:tc>
        <w:tc>
          <w:tcPr>
            <w:tcW w:w="720" w:type="dxa"/>
            <w:vAlign w:val="bottom"/>
          </w:tcPr>
          <w:p>
            <w:pPr>
              <w:jc w:val="right"/>
              <w:ind w:right="8"/>
              <w:spacing w:after="0" w:line="157" w:lineRule="exact"/>
              <w:rPr>
                <w:sz w:val="20"/>
                <w:szCs w:val="20"/>
                <w:color w:val="auto"/>
              </w:rPr>
            </w:pPr>
            <w:r>
              <w:rPr>
                <w:rFonts w:ascii="Arial" w:cs="Arial" w:eastAsia="Arial" w:hAnsi="Arial"/>
                <w:sz w:val="14"/>
                <w:szCs w:val="14"/>
                <w:color w:val="auto"/>
              </w:rPr>
              <w:t>64</w:t>
            </w:r>
          </w:p>
        </w:tc>
        <w:tc>
          <w:tcPr>
            <w:tcW w:w="9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39,297</w:t>
            </w:r>
          </w:p>
        </w:tc>
        <w:tc>
          <w:tcPr>
            <w:tcW w:w="200" w:type="dxa"/>
            <w:vAlign w:val="bottom"/>
          </w:tcPr>
          <w:p>
            <w:pPr>
              <w:spacing w:after="0"/>
              <w:rPr>
                <w:sz w:val="13"/>
                <w:szCs w:val="13"/>
                <w:color w:val="auto"/>
              </w:rPr>
            </w:pPr>
          </w:p>
        </w:tc>
        <w:tc>
          <w:tcPr>
            <w:tcW w:w="84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39,361</w:t>
            </w:r>
          </w:p>
        </w:tc>
      </w:tr>
      <w:tr>
        <w:trPr>
          <w:trHeight w:val="157"/>
        </w:trPr>
        <w:tc>
          <w:tcPr>
            <w:tcW w:w="20" w:type="dxa"/>
            <w:vAlign w:val="bottom"/>
          </w:tcPr>
          <w:p>
            <w:pPr>
              <w:spacing w:after="0"/>
              <w:rPr>
                <w:sz w:val="13"/>
                <w:szCs w:val="13"/>
                <w:color w:val="auto"/>
              </w:rPr>
            </w:pPr>
          </w:p>
        </w:tc>
        <w:tc>
          <w:tcPr>
            <w:tcW w:w="30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Acquisition of treasury stock</w:t>
            </w:r>
          </w:p>
        </w:tc>
        <w:tc>
          <w:tcPr>
            <w:tcW w:w="1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3,328</w:t>
            </w:r>
          </w:p>
        </w:tc>
        <w:tc>
          <w:tcPr>
            <w:tcW w:w="9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(48,396)</w:t>
            </w:r>
          </w:p>
        </w:tc>
        <w:tc>
          <w:tcPr>
            <w:tcW w:w="9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(48,396)</w:t>
            </w:r>
          </w:p>
        </w:tc>
      </w:tr>
      <w:tr>
        <w:trPr>
          <w:trHeight w:val="157"/>
        </w:trPr>
        <w:tc>
          <w:tcPr>
            <w:tcW w:w="20" w:type="dxa"/>
            <w:vAlign w:val="bottom"/>
          </w:tcPr>
          <w:p>
            <w:pPr>
              <w:spacing w:after="0"/>
              <w:rPr>
                <w:sz w:val="13"/>
                <w:szCs w:val="13"/>
                <w:color w:val="auto"/>
              </w:rPr>
            </w:pPr>
          </w:p>
        </w:tc>
        <w:tc>
          <w:tcPr>
            <w:tcW w:w="3000" w:type="dxa"/>
            <w:vAlign w:val="bottom"/>
            <w:gridSpan w:val="2"/>
          </w:tcPr>
          <w:p>
            <w:pPr>
              <w:spacing w:after="0" w:line="157" w:lineRule="exact"/>
              <w:rPr>
                <w:sz w:val="20"/>
                <w:szCs w:val="20"/>
                <w:color w:val="auto"/>
              </w:rPr>
            </w:pPr>
            <w:r>
              <w:rPr>
                <w:rFonts w:ascii="Arial" w:cs="Arial" w:eastAsia="Arial" w:hAnsi="Arial"/>
                <w:sz w:val="14"/>
                <w:szCs w:val="14"/>
                <w:color w:val="auto"/>
              </w:rPr>
              <w:t>Dividends</w:t>
            </w:r>
          </w:p>
        </w:tc>
        <w:tc>
          <w:tcPr>
            <w:tcW w:w="1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2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4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(1,513,633)</w:t>
            </w:r>
          </w:p>
        </w:tc>
        <w:tc>
          <w:tcPr>
            <w:tcW w:w="90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(1,513,633)</w:t>
            </w:r>
          </w:p>
        </w:tc>
      </w:tr>
      <w:tr>
        <w:trPr>
          <w:trHeight w:val="157"/>
        </w:trPr>
        <w:tc>
          <w:tcPr>
            <w:tcW w:w="20" w:type="dxa"/>
            <w:vAlign w:val="bottom"/>
          </w:tcPr>
          <w:p>
            <w:pPr>
              <w:spacing w:after="0"/>
              <w:rPr>
                <w:sz w:val="13"/>
                <w:szCs w:val="13"/>
                <w:color w:val="auto"/>
              </w:rPr>
            </w:pPr>
          </w:p>
        </w:tc>
        <w:tc>
          <w:tcPr>
            <w:tcW w:w="30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3,980,972</w:t>
            </w:r>
          </w:p>
        </w:tc>
        <w:tc>
          <w:tcPr>
            <w:tcW w:w="90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3,980,972</w:t>
            </w:r>
          </w:p>
        </w:tc>
      </w:tr>
      <w:tr>
        <w:trPr>
          <w:trHeight w:val="148"/>
        </w:trPr>
        <w:tc>
          <w:tcPr>
            <w:tcW w:w="20" w:type="dxa"/>
            <w:vAlign w:val="bottom"/>
          </w:tcPr>
          <w:p>
            <w:pPr>
              <w:spacing w:after="0"/>
              <w:rPr>
                <w:sz w:val="12"/>
                <w:szCs w:val="12"/>
                <w:color w:val="auto"/>
              </w:rPr>
            </w:pPr>
          </w:p>
        </w:tc>
        <w:tc>
          <w:tcPr>
            <w:tcW w:w="3000" w:type="dxa"/>
            <w:vAlign w:val="bottom"/>
            <w:gridSpan w:val="2"/>
          </w:tcPr>
          <w:p>
            <w:pPr>
              <w:spacing w:after="0" w:line="147" w:lineRule="exact"/>
              <w:rPr>
                <w:sz w:val="20"/>
                <w:szCs w:val="20"/>
                <w:color w:val="auto"/>
              </w:rPr>
            </w:pPr>
            <w:r>
              <w:rPr>
                <w:rFonts w:ascii="Arial" w:cs="Arial" w:eastAsia="Arial" w:hAnsi="Arial"/>
                <w:sz w:val="14"/>
                <w:szCs w:val="14"/>
                <w:color w:val="auto"/>
              </w:rPr>
              <w:t>Change in unrealized gains on</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6"/>
        </w:trPr>
        <w:tc>
          <w:tcPr>
            <w:tcW w:w="3020" w:type="dxa"/>
            <w:vAlign w:val="bottom"/>
            <w:gridSpan w:val="3"/>
          </w:tcPr>
          <w:p>
            <w:pPr>
              <w:spacing w:after="0"/>
              <w:rPr>
                <w:sz w:val="20"/>
                <w:szCs w:val="20"/>
                <w:color w:val="auto"/>
              </w:rPr>
            </w:pPr>
            <w:r>
              <w:rPr>
                <w:rFonts w:ascii="Arial" w:cs="Arial" w:eastAsia="Arial" w:hAnsi="Arial"/>
                <w:sz w:val="14"/>
                <w:szCs w:val="14"/>
                <w:color w:val="auto"/>
              </w:rPr>
              <w:t>available-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0"/>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for-sale securities, net of tax</w:t>
            </w:r>
          </w:p>
        </w:tc>
        <w:tc>
          <w:tcPr>
            <w:tcW w:w="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923,968</w:t>
            </w: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923,968</w:t>
            </w:r>
          </w:p>
        </w:tc>
      </w:tr>
      <w:tr>
        <w:trPr>
          <w:trHeight w:val="157"/>
        </w:trPr>
        <w:tc>
          <w:tcPr>
            <w:tcW w:w="20" w:type="dxa"/>
            <w:vAlign w:val="bottom"/>
          </w:tcPr>
          <w:p>
            <w:pPr>
              <w:spacing w:after="0"/>
              <w:rPr>
                <w:sz w:val="13"/>
                <w:szCs w:val="13"/>
                <w:color w:val="auto"/>
              </w:rPr>
            </w:pPr>
          </w:p>
        </w:tc>
        <w:tc>
          <w:tcPr>
            <w:tcW w:w="2280" w:type="dxa"/>
            <w:vAlign w:val="bottom"/>
            <w:tcBorders>
              <w:top w:val="single" w:sz="8" w:color="CCEEFF"/>
            </w:tcBorders>
          </w:tcPr>
          <w:p>
            <w:pPr>
              <w:spacing w:after="0" w:line="157" w:lineRule="exact"/>
              <w:rPr>
                <w:sz w:val="20"/>
                <w:szCs w:val="20"/>
                <w:color w:val="auto"/>
              </w:rPr>
            </w:pPr>
            <w:r>
              <w:rPr>
                <w:rFonts w:ascii="Arial" w:cs="Arial" w:eastAsia="Arial" w:hAnsi="Arial"/>
                <w:sz w:val="14"/>
                <w:szCs w:val="14"/>
                <w:color w:val="auto"/>
              </w:rPr>
              <w:t>Balance, June 30, 2017</w:t>
            </w:r>
          </w:p>
        </w:tc>
        <w:tc>
          <w:tcPr>
            <w:tcW w:w="7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508"/>
              <w:spacing w:after="0" w:line="157"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11,600,288</w:t>
            </w:r>
          </w:p>
        </w:tc>
        <w:tc>
          <w:tcPr>
            <w:tcW w:w="1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116,002</w:t>
            </w:r>
          </w:p>
        </w:tc>
        <w:tc>
          <w:tcPr>
            <w:tcW w:w="920" w:type="dxa"/>
            <w:vAlign w:val="bottom"/>
            <w:tcBorders>
              <w:top w:val="single" w:sz="8" w:color="auto"/>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$68,218,302</w:t>
            </w:r>
          </w:p>
        </w:tc>
        <w:tc>
          <w:tcPr>
            <w:tcW w:w="200" w:type="dxa"/>
            <w:vAlign w:val="bottom"/>
            <w:tcBorders>
              <w:top w:val="single" w:sz="8" w:color="auto"/>
              <w:bottom w:val="single" w:sz="8" w:color="auto"/>
            </w:tcBorders>
          </w:tcPr>
          <w:p>
            <w:pPr>
              <w:ind w:left="80"/>
              <w:spacing w:after="0" w:line="157"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996,899</w:t>
            </w:r>
          </w:p>
        </w:tc>
        <w:tc>
          <w:tcPr>
            <w:tcW w:w="820" w:type="dxa"/>
            <w:vAlign w:val="bottom"/>
            <w:tcBorders>
              <w:top w:val="single" w:sz="8" w:color="auto"/>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w w:val="89"/>
              </w:rPr>
              <w:t>$23,031,059</w:t>
            </w:r>
          </w:p>
        </w:tc>
        <w:tc>
          <w:tcPr>
            <w:tcW w:w="900" w:type="dxa"/>
            <w:vAlign w:val="bottom"/>
            <w:tcBorders>
              <w:top w:val="single" w:sz="8" w:color="auto"/>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977,797</w:t>
            </w:r>
          </w:p>
        </w:tc>
        <w:tc>
          <w:tcPr>
            <w:tcW w:w="9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 (2,043,858)</w:t>
            </w:r>
          </w:p>
        </w:tc>
        <w:tc>
          <w:tcPr>
            <w:tcW w:w="900" w:type="dxa"/>
            <w:vAlign w:val="bottom"/>
            <w:tcBorders>
              <w:top w:val="single" w:sz="8" w:color="auto"/>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$90,318,404</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6" w:name="page7"/>
    <w:bookmarkEnd w:id="6"/>
    <w:p>
      <w:pPr>
        <w:ind w:left="724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i w:val="1"/>
                <w:iCs w:val="1"/>
                <w:color w:val="auto"/>
              </w:rPr>
              <w:t>Six months ended June 30,</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2017</w:t>
            </w: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2016</w:t>
            </w:r>
          </w:p>
        </w:tc>
        <w:tc>
          <w:tcPr>
            <w:tcW w:w="0" w:type="dxa"/>
            <w:vAlign w:val="bottom"/>
          </w:tcPr>
          <w:p>
            <w:pPr>
              <w:spacing w:after="0"/>
              <w:rPr>
                <w:sz w:val="1"/>
                <w:szCs w:val="1"/>
                <w:color w:val="auto"/>
              </w:rPr>
            </w:pPr>
          </w:p>
        </w:tc>
      </w:tr>
      <w:tr>
        <w:trPr>
          <w:trHeight w:val="416"/>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3,980,972</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3,383,293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Adjustments to reconcile net income to net cash flows provided by operating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realized gains on sale of investments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(75,917)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(363,868)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644,872</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573,001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bond premium,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258,269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167,488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Stock-based compensation</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127,768</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66,326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income tax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(303,093)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(Increase) decrease in operating assets: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Premiums receivable,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(1,476,679)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(628,529)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Reinsurance receivables, net</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(2,346,078)</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(4,084,209)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policy acquisition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(1,044,884)</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(712,750)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Other assets</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173,510</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(196,719)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operating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Loss and loss adjustment expense reserves</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2,459,857</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4,458,724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Unearned premiums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4,040,470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2,570,009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Advance premiums</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748,419</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589,746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Reinsurance balances payable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657,922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2,216,854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Deferred ceding commission revenue</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377,125</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227,921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Accounts payable, accrued expenses and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(849,674)</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(329,177)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Net cash flows provided by operating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7,372,859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7,812,551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Purchase - fixed-maturity securities available-for-sale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9"/>
              </w:rPr>
              <w:t>(36,818,402)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(23,339,058)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Purchase - equity securities available-for-sale</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(2,275,929)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(5,585,777)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Redemption - fixed-maturity securities held-to-maturity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200,000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Sale or maturity - fixed-maturity securities available-for-sale</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5,732,151</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14,314,798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Sale - equity securities available-for-sale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798,973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4,212,336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Acquisition of fixed assets</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(1,301,850)</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(326,575)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250,448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Net cash flows used in investing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9"/>
              </w:rPr>
              <w:t>(33,665,057)</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(10,473,828)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proceeds from issuance of common stock</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30,136,699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4,813,574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Proceeds from exercise of stock options</w:t>
            </w:r>
          </w:p>
        </w:tc>
        <w:tc>
          <w:tcPr>
            <w:tcW w:w="320" w:type="dxa"/>
            <w:vAlign w:val="bottom"/>
          </w:tcPr>
          <w:p>
            <w:pPr>
              <w:spacing w:after="0"/>
              <w:rPr>
                <w:sz w:val="18"/>
                <w:szCs w:val="18"/>
                <w:color w:val="auto"/>
              </w:rPr>
            </w:pP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39,361</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Purchase of treasury stock</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(48,396)</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Withholding taxes paid on vested retricted stock awards</w:t>
            </w:r>
          </w:p>
        </w:tc>
        <w:tc>
          <w:tcPr>
            <w:tcW w:w="32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(8,888)</w:t>
            </w:r>
          </w:p>
        </w:tc>
        <w:tc>
          <w:tcPr>
            <w:tcW w:w="28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Dividends paid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(1,513,633)</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(952,128)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Net cash flows provided by financing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28,605,143</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3,748,179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Increase in cash and cash equivalents</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5"/>
              <w:spacing w:after="0"/>
              <w:rPr>
                <w:sz w:val="20"/>
                <w:szCs w:val="20"/>
                <w:color w:val="auto"/>
              </w:rPr>
            </w:pPr>
            <w:r>
              <w:rPr>
                <w:rFonts w:ascii="Arial" w:cs="Arial" w:eastAsia="Arial" w:hAnsi="Arial"/>
                <w:sz w:val="17"/>
                <w:szCs w:val="17"/>
                <w:color w:val="auto"/>
              </w:rPr>
              <w:t>2,312,945</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1,086,902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12,044,520</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13,551,372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and cash equivalents, end of period</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14,357,465</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14,638,274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Cash paid for income taxes</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1,762,000</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1,747,466</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7" w:name="page8"/>
    <w:bookmarkEnd w:id="7"/>
    <w:p>
      <w:pPr>
        <w:ind w:left="362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158"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Nature of Business and Basis of Presentation</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States of New York, New Jersey, Connecticut, Pennsylvania, Rhode Island and Texas. KICO is currently offering its property and casualty insurance products in New York, New Jersey and Pennsylvania; although New Jersey is now a growing expansion market for the Company, KICO currently writes substantially all of its business in New York.</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accompanying unaudited condensed consolidated financial statements included in this report have been prepared in accordance with accounting principles generally accepted in the United States (“GAAP”) for interim financial information and the instructions to Securities and Exchange Commission (“SEC”) Form 10-Q and Article 8-03 of SEC Regulation S-X. The principles for condensed interim financial information do not require the inclusion of all the information and footnotes required by generally accepted accounting principles for complete financial statements. Therefore, these condensed consolidated financial statements should be read in conjunction with the consolidated financial statements as of and for the year ended December 31, 2016 and notes thereto included in the Company’s Annual Report on Form 10-K filed with the SEC on March 16, 2017.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six months ended June 30, 2017 may not be indicative of the results that may be expected for the year ending December 31, 2017.</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and assumptions, which include the reserves for losses and loss adjustment expenses, are subject to considerable estimation error due to the inherent uncertainty in projecting ultimate claim amounts that will be reported and settled over a period of several years. In addition, estimates and assumptions associated with receivables under reinsurance contracts related to contingent ceding commission revenue require considerable judgment by management. On an on-going basis, management reevaluates its assumptions and the methods of calculating its estimates. Actual results may differ significantly from the estimates and assumptions used in preparing the consolidated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consolidated financial statements consist of Kingstone and its wholly owned subsidiaries: KICO and its wholly owned subsidiaries, CMIC Properties, Inc. (“Properties”) and 15 Joys Lane, LLC (“15 Joys Lane”), which together own the land and building from which KICO operates. All significant inter-company account balances and transactions have been eliminated in consolidation.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Changes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May 2015, the Financial Accounting Standards Board (“FASB”) issued Accounting Standards Update (“ASU”) 2015-09, Financial Services – Insurance (Topic 944): Disclosures About Short-Duration Contracts. The updated accounting guidance requires expanded disclosures for insurance entities that issue short-duration contracts. The expanded disclosures are designed to provide additional insight into an insurance entity’s ability to underwrite and anticipate costs associated with insurance claims. The disclosures include information about incurred and paid claims development by accident year, on a net basis after reinsurance, for the number of years claims incurred that typically remain outstanding, not to exceed ten years. Each period presented in the disclosure about claims development that precedes the current reporting period is considered required supplementary information. The expanded disclosures also include information about significant changes in methodologies and assumptions, a reconciliation of incurred and paid claims development to the carrying amount of the liability for unpaid claims and claim adjustment expenses, the total amount of incurred but not reported liabilities plus expected development, claims frequency information including the methodology used to determine claim frequency and any changes to that methodology, and claim duration. The guidance became effective for annual periods beginning after December 15, 2015, and interim periods beginning after December 15, 2016, and has been applied retrospectively. The new guidance affected disclosures only and had no impact on the Company’s results of operations or financial position.</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Effective January 1, 2017, the Company has adopted the provisions of ASU 2016-09 – Compensation - Stock Compensation (Topic 718): Improvements to Employee Share-Based Payment Accounting, which requires recognition of all income tax effects from share-based payments arising on or after January 1, 2017 (the Company’s adoption date) in income tax expense. As a result, the Company realized windfall tax benefits in the interim period of adoption of approximately $5,000, which was recognized as a discrete period income tax benefit as required by this ASU. This benefit resulted in lowering the Company’s effective tax rate for the interim period by 0.1%.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Pronouncements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May 2014, FASB issued ASU 2014-09 – Revenue from Contracts with Customers (Topic 606). The standard excludes from its scope the accounting for insurance contracts, financial instruments, and certain other agreements that are governed under other GAAP guidance. The core principle of the new guidance is that an entity should recognize revenue to reflect the transfer of goods and services to customers in an amount equal to the consideration the entity receives or expects to receive. ASU 2014-09, as amended by ASU 2015-14, ASU 2016-08, ASU 2016-10 and ASU 2016-20, is effective for annual reporting periods beginning after December 15, 2017, including interim periods within that reporting period. Early adoption is permitted for annual reporting periods beginning after December 15, 2016. The Company will apply the guidance using a modified retrospective approach. The Company does not expect these amendments to have a material effect on its consolidated financial statements.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January 2016, FASB issued ASU 2016-01 – Financial Instruments – Overall (Subtopic 825-10): Recognition and Measurement of Financial Assets and Financial Liabilities. The updated accounting guidance requires changes to the reporting model for financial instruments. The primary change for the Company is expected to be the requirement for equity investments (except those accounted for under the equity method of accounting or those that result in consolidation of the investee) to be measured at fair value with changes in fair value recognized in net income. The updated guidance is effective for fiscal years beginning after December 15, 2017, including interim periods within those fiscal years. The Company is currently evaluating the effect the updated guidance will have on its consolidated financial statements.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9" w:name="page10"/>
    <w:bookmarkEnd w:id="9"/>
    <w:p>
      <w:pPr>
        <w:jc w:val="both"/>
        <w:spacing w:after="0" w:line="297" w:lineRule="auto"/>
        <w:rPr>
          <w:sz w:val="20"/>
          <w:szCs w:val="20"/>
          <w:color w:val="auto"/>
        </w:rPr>
      </w:pPr>
      <w:r>
        <w:rPr>
          <w:rFonts w:ascii="Arial" w:cs="Arial" w:eastAsia="Arial" w:hAnsi="Arial"/>
          <w:sz w:val="15"/>
          <w:szCs w:val="15"/>
          <w:color w:val="auto"/>
        </w:rPr>
        <w:t>In February 2016, FASB issued ASU 2016-02 – Leases (Topic 842). Under this ASU, lessees will recognize a right-of-use-asset and corresponding liability on the balance sheet for all leases, except for leases covering a period of fewer than 12 months. The liability is to be measured as the present value of the future minimum lease payments taking into account renewal options if applicable plus initial incremental direct costs such as commissions. The minimum payments are discounted using the rate implicit in the lease or, if not known, the lessee’s incremental borrowing rate. The lessee’s income statement treatment for leases will vary depending on the nature of what is being leased. A financing type lease is present when, among other matters, the asset is being leased for a substantial portion of its economic life or has an end-of-term title transfer or a bargain purchase option as in today’s practice. The payment of the liability set up for such leases will be apportioned between interest and principal; the right-of use asset will be generally amortized on a straight-line basis. If the lease does not qualify as a financing type lease, it will be accounted for on the income statement as rent on a straight-line basis. The guidance will be effective for the Company for interim and annual reporting periods beginning after December 15, 2018. The Company will apply the guidance using a modified retrospective approach. Early application is permitted. The Company is evaluating whether the adoption of ASU 2016-02 will have a significant impact on its consolidated results of operations, financial position or cash flows.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June 2016, FASB issued ASU 2016-13 - Financial Instruments - Credit Losses (Topic 326): Measurement of Credit Losses on Financial Instruments.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on January 1, 2020. The Company is currently evaluating the effect the updated guidance will have on its consolidated financial statements.</w:t>
      </w:r>
    </w:p>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In August 2016, FASB issued ASU 2016-15 - Statement of Cash Flows (Topic 230): Classification of Certain Cash Receipts and Cash Payments. The revised ASU provides accounting guidance for eight specific cash flow issues. FASB issued the standard to clarify areas where GAAP has been either unclear or lacking in specific guidance. ASU 2016-15 will be effective for the Company for interim and annual reporting periods beginning after December 15, 2018. Early adoption is permitted, including adoption in an interim period. The Company is currently evaluating the effect the updated guidance will have on its consolidated statement of cash flows.</w:t>
      </w:r>
    </w:p>
    <w:p>
      <w:pPr>
        <w:spacing w:after="0" w:line="8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Note 3 - Investments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Available-for-Sale Securities</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The amortized cost and fair value of investments in available-for-sale fixed-maturity securities and equity securities as of June 30, 2017 and December 31, 2016 are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June 30, 2017</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44"/>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Cost or</w:t>
            </w:r>
          </w:p>
        </w:tc>
        <w:tc>
          <w:tcPr>
            <w:tcW w:w="300" w:type="dxa"/>
            <w:vAlign w:val="bottom"/>
          </w:tcPr>
          <w:p>
            <w:pPr>
              <w:spacing w:after="0"/>
              <w:rPr>
                <w:sz w:val="15"/>
                <w:szCs w:val="15"/>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w w:val="95"/>
              </w:rPr>
              <w:t>Gross Unrealized Losses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44"/>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ind w:right="43"/>
              <w:spacing w:after="0"/>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7"/>
                <w:szCs w:val="17"/>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7"/>
                <w:szCs w:val="17"/>
                <w:color w:val="auto"/>
              </w:rPr>
            </w:pPr>
          </w:p>
        </w:tc>
        <w:tc>
          <w:tcPr>
            <w:tcW w:w="106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auto"/>
                <w:w w:val="96"/>
              </w:rPr>
              <w:t>Less than 12</w:t>
            </w:r>
          </w:p>
        </w:tc>
        <w:tc>
          <w:tcPr>
            <w:tcW w:w="110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More than 12</w:t>
            </w:r>
          </w:p>
        </w:tc>
        <w:tc>
          <w:tcPr>
            <w:tcW w:w="220" w:type="dxa"/>
            <w:vAlign w:val="bottom"/>
          </w:tcPr>
          <w:p>
            <w:pPr>
              <w:spacing w:after="0"/>
              <w:rPr>
                <w:sz w:val="17"/>
                <w:szCs w:val="17"/>
                <w:color w:val="auto"/>
              </w:rPr>
            </w:pPr>
          </w:p>
        </w:tc>
        <w:tc>
          <w:tcPr>
            <w:tcW w:w="920" w:type="dxa"/>
            <w:vAlign w:val="bottom"/>
          </w:tcPr>
          <w:p>
            <w:pPr>
              <w:jc w:val="right"/>
              <w:ind w:right="363"/>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7"/>
                <w:szCs w:val="17"/>
                <w:color w:val="auto"/>
              </w:rPr>
            </w:pPr>
          </w:p>
        </w:tc>
        <w:tc>
          <w:tcPr>
            <w:tcW w:w="92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7"/>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84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5"/>
                <w:szCs w:val="15"/>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283"/>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5"/>
                <w:szCs w:val="15"/>
                <w:color w:val="auto"/>
              </w:rPr>
            </w:pPr>
          </w:p>
        </w:tc>
        <w:tc>
          <w:tcPr>
            <w:tcW w:w="860" w:type="dxa"/>
            <w:vAlign w:val="bottom"/>
          </w:tcPr>
          <w:p>
            <w:pPr>
              <w:jc w:val="right"/>
              <w:ind w:right="242"/>
              <w:spacing w:after="0"/>
              <w:rPr>
                <w:sz w:val="20"/>
                <w:szCs w:val="20"/>
                <w:color w:val="auto"/>
              </w:rPr>
            </w:pPr>
            <w:r>
              <w:rPr>
                <w:rFonts w:ascii="Arial" w:cs="Arial" w:eastAsia="Arial" w:hAnsi="Arial"/>
                <w:sz w:val="14"/>
                <w:szCs w:val="14"/>
                <w:b w:val="1"/>
                <w:bCs w:val="1"/>
                <w:color w:val="auto"/>
              </w:rPr>
              <w:t>Months</w:t>
            </w:r>
          </w:p>
        </w:tc>
        <w:tc>
          <w:tcPr>
            <w:tcW w:w="220" w:type="dxa"/>
            <w:vAlign w:val="bottom"/>
          </w:tcPr>
          <w:p>
            <w:pPr>
              <w:spacing w:after="0"/>
              <w:rPr>
                <w:sz w:val="15"/>
                <w:szCs w:val="15"/>
                <w:color w:val="auto"/>
              </w:rPr>
            </w:pPr>
          </w:p>
        </w:tc>
        <w:tc>
          <w:tcPr>
            <w:tcW w:w="920" w:type="dxa"/>
            <w:vAlign w:val="bottom"/>
          </w:tcPr>
          <w:p>
            <w:pPr>
              <w:jc w:val="right"/>
              <w:ind w:right="323"/>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920" w:type="dxa"/>
            <w:vAlign w:val="bottom"/>
          </w:tcPr>
          <w:p>
            <w:pPr>
              <w:jc w:val="center"/>
              <w:ind w:right="144"/>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Fixed-Maturity Securities: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Political subdivisions of States,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Territories and Possessions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12,080,402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269,275</w:t>
            </w:r>
          </w:p>
        </w:tc>
        <w:tc>
          <w:tcPr>
            <w:tcW w:w="26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(40,955)</w:t>
            </w:r>
          </w:p>
        </w:tc>
        <w:tc>
          <w:tcPr>
            <w:tcW w:w="2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(23,057)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w w:val="99"/>
              </w:rPr>
              <w:t>12,285,665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205,263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Corporate and other bonds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Industrial and miscellaneous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77,041,418</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1,202,532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(371,550)</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(5,946)</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99"/>
              </w:rPr>
              <w:t>77,866,454</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825,036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Residential mortgage and other</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Arial" w:cs="Arial" w:eastAsia="Arial" w:hAnsi="Arial"/>
                <w:sz w:val="16"/>
                <w:szCs w:val="16"/>
                <w:color w:val="auto"/>
              </w:rPr>
              <w:t>asset backed securities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22,252,959</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233,063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(190,684)</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(23,946)</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9"/>
              </w:rPr>
              <w:t>22,271,392</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18,433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fixed-maturity securities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111,374,779</w:t>
            </w: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1,704,870</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(603,189)</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(52,949)</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w w:val="89"/>
              </w:rPr>
              <w:t>112,423,511</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1,048,732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Securities: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Preferred stocks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6,512,399</w:t>
            </w:r>
          </w:p>
        </w:tc>
        <w:tc>
          <w:tcPr>
            <w:tcW w:w="300" w:type="dxa"/>
            <w:vAlign w:val="bottom"/>
          </w:tcPr>
          <w:p>
            <w:pPr>
              <w:spacing w:after="0"/>
              <w:rPr>
                <w:sz w:val="17"/>
                <w:szCs w:val="17"/>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59,812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(77,538)</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(88,073)</w:t>
            </w:r>
          </w:p>
        </w:tc>
        <w:tc>
          <w:tcPr>
            <w:tcW w:w="220" w:type="dxa"/>
            <w:vAlign w:val="bottom"/>
          </w:tcPr>
          <w:p>
            <w:pPr>
              <w:spacing w:after="0"/>
              <w:rPr>
                <w:sz w:val="17"/>
                <w:szCs w:val="17"/>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6,406,600</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(105,799)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4,798,698</w:t>
            </w: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656,319</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(10,131)</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(78,668)</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5,366,218</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567,520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Total equity securities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11,311,097</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716,131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(87,669)</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(166,741)</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9"/>
              </w:rPr>
              <w:t>11,772,818</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461,721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122,685,876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2,421,001</w:t>
            </w:r>
          </w:p>
        </w:tc>
        <w:tc>
          <w:tcPr>
            <w:tcW w:w="2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(690,858)</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89"/>
              </w:rPr>
              <w:t>124,196,329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1,510,453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color w:val="auto"/>
              </w:rPr>
              <w:t>9</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6"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44"/>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Cost or</w:t>
            </w:r>
          </w:p>
        </w:tc>
        <w:tc>
          <w:tcPr>
            <w:tcW w:w="200" w:type="dxa"/>
            <w:vAlign w:val="bottom"/>
          </w:tcPr>
          <w:p>
            <w:pPr>
              <w:spacing w:after="0"/>
              <w:rPr>
                <w:sz w:val="15"/>
                <w:szCs w:val="15"/>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w w:val="95"/>
              </w:rPr>
              <w:t>Gross Unrealized Losses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44"/>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7"/>
                <w:szCs w:val="17"/>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7"/>
                <w:szCs w:val="17"/>
                <w:color w:val="auto"/>
              </w:rPr>
            </w:pPr>
          </w:p>
        </w:tc>
        <w:tc>
          <w:tcPr>
            <w:tcW w:w="106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auto"/>
                <w:w w:val="96"/>
              </w:rPr>
              <w:t>Less than 12</w:t>
            </w:r>
          </w:p>
        </w:tc>
        <w:tc>
          <w:tcPr>
            <w:tcW w:w="110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More than 12</w:t>
            </w:r>
          </w:p>
        </w:tc>
        <w:tc>
          <w:tcPr>
            <w:tcW w:w="260" w:type="dxa"/>
            <w:vAlign w:val="bottom"/>
          </w:tcPr>
          <w:p>
            <w:pPr>
              <w:spacing w:after="0"/>
              <w:rPr>
                <w:sz w:val="17"/>
                <w:szCs w:val="17"/>
                <w:color w:val="auto"/>
              </w:rPr>
            </w:pPr>
          </w:p>
        </w:tc>
        <w:tc>
          <w:tcPr>
            <w:tcW w:w="880" w:type="dxa"/>
            <w:vAlign w:val="bottom"/>
          </w:tcPr>
          <w:p>
            <w:pPr>
              <w:jc w:val="right"/>
              <w:ind w:right="363"/>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7"/>
                <w:szCs w:val="17"/>
                <w:color w:val="auto"/>
              </w:rPr>
            </w:pPr>
          </w:p>
        </w:tc>
        <w:tc>
          <w:tcPr>
            <w:tcW w:w="92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Gains/</w:t>
            </w:r>
          </w:p>
        </w:tc>
        <w:tc>
          <w:tcPr>
            <w:tcW w:w="0" w:type="dxa"/>
            <w:vAlign w:val="bottom"/>
          </w:tcPr>
          <w:p>
            <w:pPr>
              <w:spacing w:after="0"/>
              <w:rPr>
                <w:sz w:val="1"/>
                <w:szCs w:val="1"/>
                <w:color w:val="auto"/>
              </w:rPr>
            </w:pPr>
          </w:p>
        </w:tc>
      </w:tr>
      <w:tr>
        <w:trPr>
          <w:trHeight w:val="177"/>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5"/>
                <w:szCs w:val="15"/>
                <w:color w:val="auto"/>
              </w:rPr>
            </w:pPr>
          </w:p>
        </w:tc>
        <w:tc>
          <w:tcPr>
            <w:tcW w:w="940" w:type="dxa"/>
            <w:vAlign w:val="bottom"/>
          </w:tcPr>
          <w:p>
            <w:pPr>
              <w:jc w:val="center"/>
              <w:ind w:right="143"/>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283"/>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5"/>
                <w:szCs w:val="15"/>
                <w:color w:val="auto"/>
              </w:rPr>
            </w:pPr>
          </w:p>
        </w:tc>
        <w:tc>
          <w:tcPr>
            <w:tcW w:w="860" w:type="dxa"/>
            <w:vAlign w:val="bottom"/>
          </w:tcPr>
          <w:p>
            <w:pPr>
              <w:jc w:val="right"/>
              <w:ind w:right="242"/>
              <w:spacing w:after="0"/>
              <w:rPr>
                <w:sz w:val="20"/>
                <w:szCs w:val="20"/>
                <w:color w:val="auto"/>
              </w:rPr>
            </w:pPr>
            <w:r>
              <w:rPr>
                <w:rFonts w:ascii="Arial" w:cs="Arial" w:eastAsia="Arial" w:hAnsi="Arial"/>
                <w:sz w:val="14"/>
                <w:szCs w:val="14"/>
                <w:b w:val="1"/>
                <w:bCs w:val="1"/>
                <w:color w:val="auto"/>
              </w:rPr>
              <w:t>Months</w:t>
            </w:r>
          </w:p>
        </w:tc>
        <w:tc>
          <w:tcPr>
            <w:tcW w:w="260" w:type="dxa"/>
            <w:vAlign w:val="bottom"/>
          </w:tcPr>
          <w:p>
            <w:pPr>
              <w:spacing w:after="0"/>
              <w:rPr>
                <w:sz w:val="15"/>
                <w:szCs w:val="15"/>
                <w:color w:val="auto"/>
              </w:rPr>
            </w:pPr>
          </w:p>
        </w:tc>
        <w:tc>
          <w:tcPr>
            <w:tcW w:w="880" w:type="dxa"/>
            <w:vAlign w:val="bottom"/>
          </w:tcPr>
          <w:p>
            <w:pPr>
              <w:jc w:val="right"/>
              <w:ind w:right="323"/>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920" w:type="dxa"/>
            <w:vAlign w:val="bottom"/>
          </w:tcPr>
          <w:p>
            <w:pPr>
              <w:jc w:val="center"/>
              <w:ind w:right="144"/>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Fixed-Maturity Securities: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Territories and Possessions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8,053,449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199,028</w:t>
            </w:r>
          </w:p>
        </w:tc>
        <w:tc>
          <w:tcPr>
            <w:tcW w:w="26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(46,589)</w:t>
            </w:r>
          </w:p>
        </w:tc>
        <w:tc>
          <w:tcPr>
            <w:tcW w:w="2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8,205,888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152,439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Corporate and other bonds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Industrial and miscellaneous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99"/>
              </w:rPr>
              <w:t>53,728,395</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600,519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(638,113)</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(5,612)</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94"/>
              </w:rPr>
              <w:t>53,685,189</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Residential mortgage backed</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Arial" w:cs="Arial" w:eastAsia="Arial" w:hAnsi="Arial"/>
                <w:sz w:val="16"/>
                <w:szCs w:val="16"/>
                <w:color w:val="auto"/>
              </w:rPr>
              <w:t>securities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99"/>
              </w:rPr>
              <w:t>18,814,784</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70,682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(309,273)</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(38,442)</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4"/>
              </w:rPr>
              <w:t>18,537,751</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(277,033)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fixed-maturity securities</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99"/>
              </w:rPr>
              <w:t>80,596,628</w:t>
            </w: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870,229</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(993,975)</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(44,054)</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w w:val="94"/>
              </w:rPr>
              <w:t>80,428,828</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(167,800)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Securities: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Preferred stocks</w:t>
            </w:r>
          </w:p>
        </w:tc>
        <w:tc>
          <w:tcPr>
            <w:tcW w:w="220" w:type="dxa"/>
            <w:vAlign w:val="bottom"/>
          </w:tcPr>
          <w:p>
            <w:pPr>
              <w:spacing w:after="0"/>
              <w:rPr>
                <w:sz w:val="17"/>
                <w:szCs w:val="17"/>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5,986,588</w:t>
            </w:r>
          </w:p>
        </w:tc>
        <w:tc>
          <w:tcPr>
            <w:tcW w:w="200" w:type="dxa"/>
            <w:vAlign w:val="bottom"/>
          </w:tcPr>
          <w:p>
            <w:pPr>
              <w:spacing w:after="0"/>
              <w:rPr>
                <w:sz w:val="17"/>
                <w:szCs w:val="17"/>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10,317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(241,333)</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(70,571)</w:t>
            </w:r>
          </w:p>
        </w:tc>
        <w:tc>
          <w:tcPr>
            <w:tcW w:w="26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5,685,001</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(301,587)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stocks</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3,722,797</w:t>
            </w: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691,324</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(13,968)</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(97,468)</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4,302,685</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579,888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Total equity securities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9,709,385</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701,641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(255,301)</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(168,039)</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9,987,686</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278,301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99"/>
              </w:rPr>
              <w:t>90,306,013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1,571,870</w:t>
            </w:r>
          </w:p>
        </w:tc>
        <w:tc>
          <w:tcPr>
            <w:tcW w:w="2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5"/>
              </w:rPr>
              <w:t>(1,249,276)</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4"/>
              </w:rPr>
              <w:t>90,416,514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110,501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340"/>
        <w:spacing w:after="0" w:line="281" w:lineRule="auto"/>
        <w:rPr>
          <w:sz w:val="20"/>
          <w:szCs w:val="20"/>
          <w:color w:val="auto"/>
        </w:rPr>
      </w:pPr>
      <w:r>
        <w:rPr>
          <w:rFonts w:ascii="Arial" w:cs="Arial" w:eastAsia="Arial" w:hAnsi="Arial"/>
          <w:sz w:val="17"/>
          <w:szCs w:val="17"/>
          <w:color w:val="auto"/>
        </w:rPr>
        <w:t>A summary of the amortized cost and fair value of the Company’s investments in available-for-sale fixed-maturity securities by contractual maturity as of June 30, 2017 and December 31, 2016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857"/>
              <w:spacing w:after="0"/>
              <w:rPr>
                <w:sz w:val="20"/>
                <w:szCs w:val="20"/>
                <w:color w:val="auto"/>
              </w:rPr>
            </w:pPr>
            <w:r>
              <w:rPr>
                <w:rFonts w:ascii="Arial" w:cs="Arial" w:eastAsia="Arial" w:hAnsi="Arial"/>
                <w:sz w:val="14"/>
                <w:szCs w:val="14"/>
                <w:b w:val="1"/>
                <w:bCs w:val="1"/>
                <w:color w:val="auto"/>
              </w:rPr>
              <w:t>June 30, 2017</w:t>
            </w: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12"/>
        </w:trPr>
        <w:tc>
          <w:tcPr>
            <w:tcW w:w="59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Remaining Time to Maturity</w:t>
            </w:r>
          </w:p>
        </w:tc>
        <w:tc>
          <w:tcPr>
            <w:tcW w:w="30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6"/>
                <w:szCs w:val="16"/>
                <w:color w:val="auto"/>
              </w:rPr>
            </w:pPr>
          </w:p>
        </w:tc>
        <w:tc>
          <w:tcPr>
            <w:tcW w:w="108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6"/>
                <w:szCs w:val="16"/>
                <w:color w:val="auto"/>
              </w:rPr>
            </w:pPr>
          </w:p>
        </w:tc>
        <w:tc>
          <w:tcPr>
            <w:tcW w:w="1080" w:type="dxa"/>
            <w:vAlign w:val="bottom"/>
          </w:tcPr>
          <w:p>
            <w:pPr>
              <w:jc w:val="right"/>
              <w:ind w:right="459"/>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6"/>
                <w:szCs w:val="16"/>
                <w:color w:val="auto"/>
              </w:rPr>
            </w:pPr>
          </w:p>
        </w:tc>
        <w:tc>
          <w:tcPr>
            <w:tcW w:w="106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Less than one year</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2,377,970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2,391,524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1,752,501</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7"/>
              <w:spacing w:after="0"/>
              <w:rPr>
                <w:sz w:val="20"/>
                <w:szCs w:val="20"/>
                <w:color w:val="auto"/>
              </w:rPr>
            </w:pPr>
            <w:r>
              <w:rPr>
                <w:rFonts w:ascii="Arial" w:cs="Arial" w:eastAsia="Arial" w:hAnsi="Arial"/>
                <w:sz w:val="17"/>
                <w:szCs w:val="17"/>
                <w:color w:val="auto"/>
              </w:rPr>
              <w:t>1,765,795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One to five years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31,548,682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32,100,717</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29,541,568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29,913,308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Five to ten years</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50,427,456</w:t>
            </w:r>
          </w:p>
        </w:tc>
        <w:tc>
          <w:tcPr>
            <w:tcW w:w="28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50,883,126</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7"/>
                <w:szCs w:val="17"/>
                <w:color w:val="auto"/>
              </w:rPr>
              <w:t>30,487,775</w:t>
            </w:r>
          </w:p>
        </w:tc>
        <w:tc>
          <w:tcPr>
            <w:tcW w:w="30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7"/>
                <w:szCs w:val="17"/>
                <w:color w:val="auto"/>
              </w:rPr>
              <w:t>30,211,974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More than 10 years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4,767,712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4,776,752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Residential mortgage and other asset backed securities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22,252,959</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22,271,392</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18,814,784</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18,537,751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w w:val="97"/>
              </w:rPr>
              <w:t>111,374,779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99"/>
              </w:rPr>
              <w:t>112,423,511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80,596,628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80,428,828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Held-to-Maturity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The amortized cost and fair value of investments in held-to-maturity fixed-maturity securities as of June 30, 2017 and December 31, 2016 are summarized as follows: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w w:val="92"/>
              </w:rPr>
              <w:t>June 30, 2017</w:t>
            </w:r>
          </w:p>
        </w:tc>
        <w:tc>
          <w:tcPr>
            <w:tcW w:w="10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372"/>
        </w:trPr>
        <w:tc>
          <w:tcPr>
            <w:tcW w:w="45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Cost or</w:t>
            </w: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Gross</w:t>
            </w:r>
          </w:p>
        </w:tc>
        <w:tc>
          <w:tcPr>
            <w:tcW w:w="216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w w:val="89"/>
              </w:rPr>
              <w:t>Gross Unrealized Losses</w:t>
            </w:r>
          </w:p>
        </w:tc>
        <w:tc>
          <w:tcPr>
            <w:tcW w:w="1060" w:type="dxa"/>
            <w:vAlign w:val="bottom"/>
          </w:tcPr>
          <w:p>
            <w:pPr>
              <w:spacing w:after="0"/>
              <w:rPr>
                <w:sz w:val="24"/>
                <w:szCs w:val="24"/>
                <w:color w:val="auto"/>
              </w:rPr>
            </w:pP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Net</w:t>
            </w:r>
          </w:p>
        </w:tc>
      </w:tr>
      <w:tr>
        <w:trPr>
          <w:trHeight w:val="196"/>
        </w:trPr>
        <w:tc>
          <w:tcPr>
            <w:tcW w:w="45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Amortized</w:t>
            </w: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Unrealized</w:t>
            </w: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Less than 12</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More than 12</w:t>
            </w:r>
          </w:p>
        </w:tc>
        <w:tc>
          <w:tcPr>
            <w:tcW w:w="1060" w:type="dxa"/>
            <w:vAlign w:val="bottom"/>
          </w:tcPr>
          <w:p>
            <w:pPr>
              <w:jc w:val="center"/>
              <w:ind w:left="8"/>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3"/>
              </w:rPr>
              <w:t>Unrealized</w:t>
            </w:r>
          </w:p>
        </w:tc>
      </w:tr>
      <w:tr>
        <w:trPr>
          <w:trHeight w:val="177"/>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Category</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2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Gains</w:t>
            </w: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Months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Months</w:t>
            </w:r>
          </w:p>
        </w:tc>
        <w:tc>
          <w:tcPr>
            <w:tcW w:w="10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2"/>
              </w:rPr>
              <w:t>Gains</w:t>
            </w:r>
          </w:p>
        </w:tc>
      </w:tr>
      <w:tr>
        <w:trPr>
          <w:trHeight w:val="209"/>
        </w:trPr>
        <w:tc>
          <w:tcPr>
            <w:tcW w:w="4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606,446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147,593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754,039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147,593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7"/>
                <w:szCs w:val="17"/>
                <w:color w:val="auto"/>
              </w:rPr>
              <w:t>1,149,077</w:t>
            </w:r>
          </w:p>
        </w:tc>
        <w:tc>
          <w:tcPr>
            <w:tcW w:w="2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55,703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(2,500)</w:t>
            </w:r>
          </w:p>
        </w:tc>
        <w:tc>
          <w:tcPr>
            <w:tcW w:w="24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w w:val="97"/>
              </w:rPr>
              <w:t>1,202,280</w:t>
            </w:r>
          </w:p>
        </w:tc>
        <w:tc>
          <w:tcPr>
            <w:tcW w:w="2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53,203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3,140,371</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117,338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(5,025)</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(15,231)</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97"/>
              </w:rPr>
              <w:t>3,237,453</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97,082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4,895,894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320,634</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97"/>
              </w:rPr>
              <w:t>5,193,772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297,878</w:t>
            </w: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December 31, 2016</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920" w:type="dxa"/>
            <w:vAlign w:val="bottom"/>
          </w:tcPr>
          <w:p>
            <w:pPr>
              <w:jc w:val="center"/>
              <w:ind w:right="159"/>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w w:val="95"/>
              </w:rPr>
              <w:t>Gross Unrealized Losses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7"/>
                <w:szCs w:val="17"/>
                <w:color w:val="auto"/>
              </w:rPr>
            </w:pPr>
          </w:p>
        </w:tc>
        <w:tc>
          <w:tcPr>
            <w:tcW w:w="92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7"/>
                <w:szCs w:val="17"/>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w w:val="96"/>
              </w:rPr>
              <w:t>Less than 12</w:t>
            </w:r>
          </w:p>
        </w:tc>
        <w:tc>
          <w:tcPr>
            <w:tcW w:w="110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More than 12</w:t>
            </w:r>
          </w:p>
        </w:tc>
        <w:tc>
          <w:tcPr>
            <w:tcW w:w="280" w:type="dxa"/>
            <w:vAlign w:val="bottom"/>
          </w:tcPr>
          <w:p>
            <w:pPr>
              <w:spacing w:after="0"/>
              <w:rPr>
                <w:sz w:val="17"/>
                <w:szCs w:val="17"/>
                <w:color w:val="auto"/>
              </w:rPr>
            </w:pPr>
          </w:p>
        </w:tc>
        <w:tc>
          <w:tcPr>
            <w:tcW w:w="860" w:type="dxa"/>
            <w:vAlign w:val="bottom"/>
          </w:tcPr>
          <w:p>
            <w:pPr>
              <w:jc w:val="right"/>
              <w:ind w:right="35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7"/>
                <w:szCs w:val="17"/>
                <w:color w:val="auto"/>
              </w:rPr>
            </w:pPr>
          </w:p>
        </w:tc>
        <w:tc>
          <w:tcPr>
            <w:tcW w:w="92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7"/>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94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5"/>
                <w:szCs w:val="15"/>
                <w:color w:val="auto"/>
              </w:rPr>
            </w:pPr>
          </w:p>
        </w:tc>
        <w:tc>
          <w:tcPr>
            <w:tcW w:w="92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279"/>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5"/>
                <w:szCs w:val="15"/>
                <w:color w:val="auto"/>
              </w:rPr>
            </w:pPr>
          </w:p>
        </w:tc>
        <w:tc>
          <w:tcPr>
            <w:tcW w:w="860" w:type="dxa"/>
            <w:vAlign w:val="bottom"/>
          </w:tcPr>
          <w:p>
            <w:pPr>
              <w:jc w:val="right"/>
              <w:ind w:right="236"/>
              <w:spacing w:after="0"/>
              <w:rPr>
                <w:sz w:val="20"/>
                <w:szCs w:val="20"/>
                <w:color w:val="auto"/>
              </w:rPr>
            </w:pPr>
            <w:r>
              <w:rPr>
                <w:rFonts w:ascii="Arial" w:cs="Arial" w:eastAsia="Arial" w:hAnsi="Arial"/>
                <w:sz w:val="14"/>
                <w:szCs w:val="14"/>
                <w:b w:val="1"/>
                <w:bCs w:val="1"/>
                <w:color w:val="auto"/>
              </w:rPr>
              <w:t>Months</w:t>
            </w:r>
          </w:p>
        </w:tc>
        <w:tc>
          <w:tcPr>
            <w:tcW w:w="280" w:type="dxa"/>
            <w:vAlign w:val="bottom"/>
          </w:tcPr>
          <w:p>
            <w:pPr>
              <w:spacing w:after="0"/>
              <w:rPr>
                <w:sz w:val="15"/>
                <w:szCs w:val="15"/>
                <w:color w:val="auto"/>
              </w:rPr>
            </w:pPr>
          </w:p>
        </w:tc>
        <w:tc>
          <w:tcPr>
            <w:tcW w:w="860" w:type="dxa"/>
            <w:vAlign w:val="bottom"/>
          </w:tcPr>
          <w:p>
            <w:pPr>
              <w:jc w:val="right"/>
              <w:ind w:right="318"/>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5"/>
                <w:szCs w:val="15"/>
                <w:color w:val="auto"/>
              </w:rPr>
            </w:pPr>
          </w:p>
        </w:tc>
        <w:tc>
          <w:tcPr>
            <w:tcW w:w="9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606,427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147,612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754,039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147,612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7"/>
                <w:szCs w:val="17"/>
                <w:color w:val="auto"/>
              </w:rPr>
              <w:t>1,349,916</w:t>
            </w:r>
          </w:p>
        </w:tc>
        <w:tc>
          <w:tcPr>
            <w:tcW w:w="2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37,321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w w:val="97"/>
              </w:rPr>
              <w:t>1,387,237</w:t>
            </w:r>
          </w:p>
        </w:tc>
        <w:tc>
          <w:tcPr>
            <w:tcW w:w="2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7"/>
                <w:szCs w:val="17"/>
                <w:color w:val="auto"/>
              </w:rPr>
              <w:t>37,321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3,138,559</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72,784</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(7,619)</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(46,881)</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97"/>
              </w:rPr>
              <w:t>3,156,843</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18,284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5,094,902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257,717</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(46,881)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w w:val="97"/>
              </w:rPr>
              <w:t>5,298,119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203,217</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Held-to-maturity U.S. Treasury securities are held in trust pursuant to the New York State Department of Financial Services’ minimum funds requirement.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3" w:name="page14"/>
    <w:bookmarkEnd w:id="13"/>
    <w:p>
      <w:pPr>
        <w:spacing w:after="0" w:line="281" w:lineRule="auto"/>
        <w:rPr>
          <w:sz w:val="20"/>
          <w:szCs w:val="20"/>
          <w:color w:val="auto"/>
        </w:rPr>
      </w:pPr>
      <w:r>
        <w:rPr>
          <w:rFonts w:ascii="Arial" w:cs="Arial" w:eastAsia="Arial" w:hAnsi="Arial"/>
          <w:sz w:val="17"/>
          <w:szCs w:val="17"/>
          <w:color w:val="auto"/>
        </w:rPr>
        <w:t>A summary of the amortized cost and fair value of the Company’s investments in held-to-maturity securities by contractual maturity as of June 30, 2017 and December 31, 2016 is shown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857"/>
              <w:spacing w:after="0"/>
              <w:rPr>
                <w:sz w:val="20"/>
                <w:szCs w:val="20"/>
                <w:color w:val="auto"/>
              </w:rPr>
            </w:pPr>
            <w:r>
              <w:rPr>
                <w:rFonts w:ascii="Arial" w:cs="Arial" w:eastAsia="Arial" w:hAnsi="Arial"/>
                <w:sz w:val="14"/>
                <w:szCs w:val="14"/>
                <w:b w:val="1"/>
                <w:bCs w:val="1"/>
                <w:color w:val="auto"/>
              </w:rPr>
              <w:t>June 30, 2017</w:t>
            </w: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96"/>
        </w:trPr>
        <w:tc>
          <w:tcPr>
            <w:tcW w:w="59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Remaining Time to Maturity</w:t>
            </w:r>
          </w:p>
        </w:tc>
        <w:tc>
          <w:tcPr>
            <w:tcW w:w="300" w:type="dxa"/>
            <w:vAlign w:val="bottom"/>
          </w:tcPr>
          <w:p>
            <w:pPr>
              <w:spacing w:after="0"/>
              <w:rPr>
                <w:sz w:val="17"/>
                <w:szCs w:val="17"/>
                <w:color w:val="auto"/>
              </w:rPr>
            </w:pPr>
          </w:p>
        </w:tc>
        <w:tc>
          <w:tcPr>
            <w:tcW w:w="1080" w:type="dxa"/>
            <w:vAlign w:val="bottom"/>
          </w:tcPr>
          <w:p>
            <w:pPr>
              <w:jc w:val="right"/>
              <w:ind w:right="28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280"/>
              <w:spacing w:after="0"/>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59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08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5"/>
                <w:szCs w:val="15"/>
                <w:color w:val="auto"/>
              </w:rPr>
            </w:pPr>
          </w:p>
        </w:tc>
        <w:tc>
          <w:tcPr>
            <w:tcW w:w="1080" w:type="dxa"/>
            <w:vAlign w:val="bottom"/>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5"/>
                <w:szCs w:val="15"/>
                <w:color w:val="auto"/>
              </w:rPr>
            </w:pPr>
          </w:p>
        </w:tc>
        <w:tc>
          <w:tcPr>
            <w:tcW w:w="106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Less than one year</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One to five years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1,300,771</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1,327,098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650,000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642,455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Five to ten years</w:t>
            </w:r>
          </w:p>
        </w:tc>
        <w:tc>
          <w:tcPr>
            <w:tcW w:w="3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2,988,677</w:t>
            </w:r>
          </w:p>
        </w:tc>
        <w:tc>
          <w:tcPr>
            <w:tcW w:w="28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3,112,635</w:t>
            </w:r>
          </w:p>
        </w:tc>
        <w:tc>
          <w:tcPr>
            <w:tcW w:w="300" w:type="dxa"/>
            <w:vAlign w:val="bottom"/>
          </w:tcPr>
          <w:p>
            <w:pPr>
              <w:spacing w:after="0"/>
              <w:rPr>
                <w:sz w:val="18"/>
                <w:szCs w:val="18"/>
                <w:color w:val="auto"/>
              </w:rPr>
            </w:pPr>
          </w:p>
        </w:tc>
        <w:tc>
          <w:tcPr>
            <w:tcW w:w="1080" w:type="dxa"/>
            <w:vAlign w:val="bottom"/>
          </w:tcPr>
          <w:p>
            <w:pPr>
              <w:jc w:val="right"/>
              <w:ind w:right="60"/>
              <w:spacing w:after="0"/>
              <w:rPr>
                <w:sz w:val="20"/>
                <w:szCs w:val="20"/>
                <w:color w:val="auto"/>
              </w:rPr>
            </w:pPr>
            <w:r>
              <w:rPr>
                <w:rFonts w:ascii="Arial" w:cs="Arial" w:eastAsia="Arial" w:hAnsi="Arial"/>
                <w:sz w:val="17"/>
                <w:szCs w:val="17"/>
                <w:color w:val="auto"/>
              </w:rPr>
              <w:t>3,838,475</w:t>
            </w:r>
          </w:p>
        </w:tc>
        <w:tc>
          <w:tcPr>
            <w:tcW w:w="30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7"/>
                <w:szCs w:val="17"/>
                <w:color w:val="auto"/>
              </w:rPr>
              <w:t>3,901,625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More than 10 years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606,446</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754,039</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606,427</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754,039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4,895,894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5,193,772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5,094,902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5,298,119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 Income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Major categories of the Company’s net investment income are summarized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gridSpan w:val="3"/>
          </w:tcPr>
          <w:p>
            <w:pPr>
              <w:jc w:val="right"/>
              <w:ind w:right="657"/>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Income:</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Fixed-maturity securities</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935,543</w:t>
            </w:r>
          </w:p>
        </w:tc>
        <w:tc>
          <w:tcPr>
            <w:tcW w:w="4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685,776</w:t>
            </w:r>
          </w:p>
        </w:tc>
        <w:tc>
          <w:tcPr>
            <w:tcW w:w="4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1,680,996</w:t>
            </w:r>
          </w:p>
        </w:tc>
        <w:tc>
          <w:tcPr>
            <w:tcW w:w="5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7"/>
              </w:rPr>
              <w:t>1,350,252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Equity securities</w:t>
            </w:r>
          </w:p>
        </w:tc>
        <w:tc>
          <w:tcPr>
            <w:tcW w:w="3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7"/>
                <w:szCs w:val="17"/>
                <w:color w:val="auto"/>
              </w:rPr>
              <w:t>128,501</w:t>
            </w:r>
          </w:p>
        </w:tc>
        <w:tc>
          <w:tcPr>
            <w:tcW w:w="400" w:type="dxa"/>
            <w:vAlign w:val="bottom"/>
          </w:tcPr>
          <w:p>
            <w:pPr>
              <w:spacing w:after="0"/>
              <w:rPr>
                <w:sz w:val="18"/>
                <w:szCs w:val="18"/>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104,652</w:t>
            </w:r>
          </w:p>
        </w:tc>
        <w:tc>
          <w:tcPr>
            <w:tcW w:w="4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7"/>
                <w:szCs w:val="17"/>
                <w:color w:val="auto"/>
              </w:rPr>
              <w:t>264,986</w:t>
            </w:r>
          </w:p>
        </w:tc>
        <w:tc>
          <w:tcPr>
            <w:tcW w:w="54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rPr>
              <w:t>280,603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2,505</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2,732</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8,674</w:t>
            </w: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9,178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w:t>
            </w:r>
          </w:p>
        </w:tc>
        <w:tc>
          <w:tcPr>
            <w:tcW w:w="38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7"/>
                <w:szCs w:val="17"/>
                <w:color w:val="auto"/>
              </w:rPr>
              <w:t>1,066,549</w:t>
            </w:r>
          </w:p>
        </w:tc>
        <w:tc>
          <w:tcPr>
            <w:tcW w:w="400" w:type="dxa"/>
            <w:vAlign w:val="bottom"/>
          </w:tcPr>
          <w:p>
            <w:pPr>
              <w:spacing w:after="0"/>
              <w:rPr>
                <w:sz w:val="18"/>
                <w:szCs w:val="18"/>
                <w:color w:val="auto"/>
              </w:rPr>
            </w:pPr>
          </w:p>
        </w:tc>
        <w:tc>
          <w:tcPr>
            <w:tcW w:w="960" w:type="dxa"/>
            <w:vAlign w:val="bottom"/>
          </w:tcPr>
          <w:p>
            <w:pPr>
              <w:jc w:val="right"/>
              <w:ind w:right="37"/>
              <w:spacing w:after="0"/>
              <w:rPr>
                <w:sz w:val="20"/>
                <w:szCs w:val="20"/>
                <w:color w:val="auto"/>
              </w:rPr>
            </w:pPr>
            <w:r>
              <w:rPr>
                <w:rFonts w:ascii="Arial" w:cs="Arial" w:eastAsia="Arial" w:hAnsi="Arial"/>
                <w:sz w:val="17"/>
                <w:szCs w:val="17"/>
                <w:color w:val="auto"/>
              </w:rPr>
              <w:t>793,160</w:t>
            </w:r>
          </w:p>
        </w:tc>
        <w:tc>
          <w:tcPr>
            <w:tcW w:w="4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7"/>
                <w:szCs w:val="17"/>
                <w:color w:val="auto"/>
              </w:rPr>
              <w:t>1,954,656</w:t>
            </w:r>
          </w:p>
        </w:tc>
        <w:tc>
          <w:tcPr>
            <w:tcW w:w="540" w:type="dxa"/>
            <w:vAlign w:val="bottom"/>
          </w:tcPr>
          <w:p>
            <w:pPr>
              <w:spacing w:after="0"/>
              <w:rPr>
                <w:sz w:val="18"/>
                <w:szCs w:val="18"/>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color w:val="auto"/>
                <w:w w:val="87"/>
              </w:rPr>
              <w:t>1,640,033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Investment expenses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40,545</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29,090</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70,852</w:t>
            </w: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62,906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1,026,004</w:t>
            </w:r>
          </w:p>
        </w:tc>
        <w:tc>
          <w:tcPr>
            <w:tcW w:w="4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764,070</w:t>
            </w:r>
          </w:p>
        </w:tc>
        <w:tc>
          <w:tcPr>
            <w:tcW w:w="4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1,883,804</w:t>
            </w:r>
          </w:p>
        </w:tc>
        <w:tc>
          <w:tcPr>
            <w:tcW w:w="5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7"/>
              </w:rPr>
              <w:t>1,577,127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Proceeds from the redemption of fixed-maturity securities held-to-maturity were $200,000 and $-0- for the six months ended June 30, 2017 and 2016, respectively.</w:t>
      </w:r>
    </w:p>
    <w:p>
      <w:pPr>
        <w:spacing w:after="0" w:line="246"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color w:val="auto"/>
        </w:rPr>
        <w:t>Proceeds from the sale and maturity of fixed-maturity securities available-for-sale were $5,732,151 and $14,314,798 for the six months ended June 30,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sale of equity securities available-for-sale were $798,973 and $4,212,336 for the six months ended June 30, 2017 and 2016, respectively.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Company’s net realized gains (losses) on investments are summarized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40" w:type="dxa"/>
            <w:vAlign w:val="bottom"/>
          </w:tcPr>
          <w:p>
            <w:pPr>
              <w:spacing w:after="0"/>
              <w:rPr>
                <w:sz w:val="15"/>
                <w:szCs w:val="15"/>
                <w:color w:val="auto"/>
              </w:rPr>
            </w:pPr>
          </w:p>
        </w:tc>
        <w:tc>
          <w:tcPr>
            <w:tcW w:w="2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920" w:type="dxa"/>
            <w:vAlign w:val="bottom"/>
          </w:tcPr>
          <w:p>
            <w:pPr>
              <w:jc w:val="center"/>
              <w:ind w:left="768"/>
              <w:spacing w:after="0"/>
              <w:rPr>
                <w:sz w:val="20"/>
                <w:szCs w:val="20"/>
                <w:color w:val="auto"/>
              </w:rPr>
            </w:pPr>
            <w:r>
              <w:rPr>
                <w:rFonts w:ascii="Arial" w:cs="Arial" w:eastAsia="Arial" w:hAnsi="Arial"/>
                <w:sz w:val="14"/>
                <w:szCs w:val="14"/>
                <w:b w:val="1"/>
                <w:bCs w:val="1"/>
                <w:color w:val="auto"/>
                <w:w w:val="89"/>
              </w:rPr>
              <w:t>Six months ended</w:t>
            </w:r>
          </w:p>
        </w:tc>
        <w:tc>
          <w:tcPr>
            <w:tcW w:w="820" w:type="dxa"/>
            <w:vAlign w:val="bottom"/>
          </w:tcPr>
          <w:p>
            <w:pPr>
              <w:spacing w:after="0"/>
              <w:rPr>
                <w:sz w:val="15"/>
                <w:szCs w:val="15"/>
                <w:color w:val="auto"/>
              </w:rPr>
            </w:pPr>
          </w:p>
        </w:tc>
      </w:tr>
      <w:tr>
        <w:trPr>
          <w:trHeight w:val="177"/>
        </w:trPr>
        <w:tc>
          <w:tcPr>
            <w:tcW w:w="59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888"/>
              <w:spacing w:after="0"/>
              <w:rPr>
                <w:sz w:val="20"/>
                <w:szCs w:val="20"/>
                <w:color w:val="auto"/>
              </w:rPr>
            </w:pPr>
            <w:r>
              <w:rPr>
                <w:rFonts w:ascii="Arial" w:cs="Arial" w:eastAsia="Arial" w:hAnsi="Arial"/>
                <w:sz w:val="14"/>
                <w:szCs w:val="14"/>
                <w:b w:val="1"/>
                <w:bCs w:val="1"/>
                <w:color w:val="auto"/>
                <w:w w:val="92"/>
              </w:rPr>
              <w:t>June 30,</w:t>
            </w:r>
          </w:p>
        </w:tc>
        <w:tc>
          <w:tcPr>
            <w:tcW w:w="1920" w:type="dxa"/>
            <w:vAlign w:val="bottom"/>
            <w:tcBorders>
              <w:bottom w:val="single" w:sz="8" w:color="auto"/>
            </w:tcBorders>
          </w:tcPr>
          <w:p>
            <w:pPr>
              <w:jc w:val="center"/>
              <w:ind w:left="768"/>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5"/>
                <w:szCs w:val="15"/>
                <w:color w:val="auto"/>
              </w:rPr>
            </w:pPr>
          </w:p>
        </w:tc>
      </w:tr>
      <w:tr>
        <w:trPr>
          <w:trHeight w:val="189"/>
        </w:trPr>
        <w:tc>
          <w:tcPr>
            <w:tcW w:w="69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7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920" w:type="dxa"/>
            <w:vAlign w:val="bottom"/>
          </w:tcPr>
          <w:p>
            <w:pPr>
              <w:jc w:val="right"/>
              <w:ind w:right="1008"/>
              <w:spacing w:after="0"/>
              <w:rPr>
                <w:sz w:val="20"/>
                <w:szCs w:val="20"/>
                <w:color w:val="auto"/>
              </w:rPr>
            </w:pPr>
            <w:r>
              <w:rPr>
                <w:rFonts w:ascii="Arial" w:cs="Arial" w:eastAsia="Arial" w:hAnsi="Arial"/>
                <w:sz w:val="14"/>
                <w:szCs w:val="14"/>
                <w:b w:val="1"/>
                <w:bCs w:val="1"/>
                <w:color w:val="auto"/>
              </w:rPr>
              <w:t>2017</w:t>
            </w:r>
          </w:p>
        </w:tc>
        <w:tc>
          <w:tcPr>
            <w:tcW w:w="820" w:type="dxa"/>
            <w:vAlign w:val="bottom"/>
          </w:tcPr>
          <w:p>
            <w:pPr>
              <w:jc w:val="right"/>
              <w:ind w:right="468"/>
              <w:spacing w:after="0"/>
              <w:rPr>
                <w:sz w:val="20"/>
                <w:szCs w:val="20"/>
                <w:color w:val="auto"/>
              </w:rPr>
            </w:pPr>
            <w:r>
              <w:rPr>
                <w:rFonts w:ascii="Arial" w:cs="Arial" w:eastAsia="Arial" w:hAnsi="Arial"/>
                <w:sz w:val="14"/>
                <w:szCs w:val="14"/>
                <w:b w:val="1"/>
                <w:bCs w:val="1"/>
                <w:color w:val="auto"/>
                <w:w w:val="83"/>
              </w:rPr>
              <w:t>2016</w:t>
            </w:r>
          </w:p>
        </w:tc>
      </w:tr>
      <w:tr>
        <w:trPr>
          <w:trHeight w:val="209"/>
        </w:trPr>
        <w:tc>
          <w:tcPr>
            <w:tcW w:w="59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550" w:right="239" w:bottom="1440" w:gutter="0" w:footer="0" w:header="0"/>
        </w:sectPr>
      </w:pPr>
    </w:p>
    <w:p>
      <w:pPr>
        <w:spacing w:after="0"/>
        <w:rPr>
          <w:sz w:val="20"/>
          <w:szCs w:val="20"/>
          <w:color w:val="auto"/>
        </w:rPr>
      </w:pPr>
      <w:r>
        <w:rPr>
          <w:rFonts w:ascii="Arial" w:cs="Arial" w:eastAsia="Arial" w:hAnsi="Arial"/>
          <w:sz w:val="15"/>
          <w:szCs w:val="15"/>
          <w:b w:val="1"/>
          <w:bCs w:val="1"/>
          <w:color w:val="auto"/>
        </w:rPr>
        <w:t>Fixed-maturity securities: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Gross realized gains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Gross realized losses (1)</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securities: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Gross realized gains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48,595</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205,476</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61,718</w:t>
            </w:r>
          </w:p>
        </w:tc>
        <w:tc>
          <w:tcPr>
            <w:tcW w:w="3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311,893</w:t>
            </w:r>
          </w:p>
        </w:tc>
      </w:tr>
      <w:tr>
        <w:trPr>
          <w:trHeight w:val="244"/>
        </w:trPr>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(74,437)</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(65,428)</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(110,557)</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(170,971)</w:t>
            </w:r>
          </w:p>
        </w:tc>
      </w:tr>
      <w:tr>
        <w:trPr>
          <w:trHeight w:val="215"/>
        </w:trPr>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(25,842)</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140,048</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(48,839)</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140,922</w:t>
            </w:r>
          </w:p>
        </w:tc>
      </w:tr>
      <w:tr>
        <w:trPr>
          <w:trHeight w:val="626"/>
        </w:trPr>
        <w:tc>
          <w:tcPr>
            <w:tcW w:w="460" w:type="dxa"/>
            <w:vAlign w:val="bottom"/>
          </w:tcPr>
          <w:p>
            <w:pPr>
              <w:spacing w:after="0"/>
              <w:rPr>
                <w:sz w:val="24"/>
                <w:szCs w:val="24"/>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156,265</w:t>
            </w:r>
          </w:p>
        </w:tc>
        <w:tc>
          <w:tcPr>
            <w:tcW w:w="420" w:type="dxa"/>
            <w:vAlign w:val="bottom"/>
          </w:tcPr>
          <w:p>
            <w:pPr>
              <w:spacing w:after="0"/>
              <w:rPr>
                <w:sz w:val="24"/>
                <w:szCs w:val="24"/>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232,929</w:t>
            </w:r>
          </w:p>
        </w:tc>
        <w:tc>
          <w:tcPr>
            <w:tcW w:w="400" w:type="dxa"/>
            <w:vAlign w:val="bottom"/>
          </w:tcPr>
          <w:p>
            <w:pPr>
              <w:spacing w:after="0"/>
              <w:rPr>
                <w:sz w:val="24"/>
                <w:szCs w:val="24"/>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156,265</w:t>
            </w:r>
          </w:p>
        </w:tc>
        <w:tc>
          <w:tcPr>
            <w:tcW w:w="380" w:type="dxa"/>
            <w:vAlign w:val="bottom"/>
          </w:tcPr>
          <w:p>
            <w:pPr>
              <w:spacing w:after="0"/>
              <w:rPr>
                <w:sz w:val="24"/>
                <w:szCs w:val="24"/>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315,617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-845185</wp:posOffset>
            </wp:positionV>
            <wp:extent cx="7251065" cy="132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-546100</wp:posOffset>
            </wp:positionV>
            <wp:extent cx="7251065" cy="149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14922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-263525</wp:posOffset>
            </wp:positionV>
            <wp:extent cx="7251065" cy="132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20" w:space="720"/>
            <w:col w:w="5480"/>
          </w:cols>
          <w:pgMar w:left="240" w:top="550" w:right="2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Gross realized losses</w:t>
            </w: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(19,634)</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(31,509)</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156,265</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213,295</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124,756</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292,857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Other-than-temporary impairment losses:</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Fixed-maturity securities</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(69,911)</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(69,911)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realized gains</w:t>
            </w:r>
          </w:p>
        </w:tc>
        <w:tc>
          <w:tcPr>
            <w:tcW w:w="4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130,423</w:t>
            </w:r>
          </w:p>
        </w:tc>
        <w:tc>
          <w:tcPr>
            <w:tcW w:w="4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283,432</w:t>
            </w:r>
          </w:p>
        </w:tc>
        <w:tc>
          <w:tcPr>
            <w:tcW w:w="4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75,917</w:t>
            </w:r>
          </w:p>
        </w:tc>
        <w:tc>
          <w:tcPr>
            <w:tcW w:w="4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363,868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700" w:firstLine="319"/>
        <w:spacing w:after="0" w:line="513" w:lineRule="auto"/>
        <w:tabs>
          <w:tab w:leader="none" w:pos="628"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Gross realized losses for the six months ended June 30, 2017 include $747 of loss from the redemption of fixed-maturity securities held-to-maturity. </w:t>
      </w:r>
      <w:r>
        <w:rPr>
          <w:rFonts w:ascii="Arial" w:cs="Arial" w:eastAsia="Arial" w:hAnsi="Arial"/>
          <w:sz w:val="17"/>
          <w:szCs w:val="17"/>
          <w:u w:val="single" w:color="auto"/>
          <w:color w:val="auto"/>
        </w:rPr>
        <w:t>Impairment Review</w:t>
      </w:r>
    </w:p>
    <w:p>
      <w:pPr>
        <w:spacing w:after="0" w:line="1"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Impairment of investment securities results in a charge to operations when a market decline below cost is deemed to be other-than-temporary. The Company regularly reviews its fixed-maturity securities and equity securities portfolios to evaluate the necessity of recording impairment losses for other-than-temporary declines in the fair value of investments. In evaluating potential impairment, GAAP specifies (i) if the Company does not have the intent to sell a debt security prior to recovery and</w:t>
      </w:r>
    </w:p>
    <w:p>
      <w:pPr>
        <w:jc w:val="both"/>
        <w:ind w:firstLine="5"/>
        <w:spacing w:after="0" w:line="259" w:lineRule="auto"/>
        <w:tabs>
          <w:tab w:leader="none" w:pos="252" w:val="left"/>
        </w:tabs>
        <w:numPr>
          <w:ilvl w:val="0"/>
          <w:numId w:val="4"/>
        </w:numPr>
        <w:rPr>
          <w:rFonts w:ascii="Arial" w:cs="Arial" w:eastAsia="Arial" w:hAnsi="Arial"/>
          <w:sz w:val="17"/>
          <w:szCs w:val="17"/>
          <w:color w:val="auto"/>
        </w:rPr>
      </w:pPr>
      <w:r>
        <w:rPr>
          <w:rFonts w:ascii="Arial" w:cs="Arial" w:eastAsia="Arial" w:hAnsi="Arial"/>
          <w:sz w:val="17"/>
          <w:szCs w:val="17"/>
          <w:color w:val="auto"/>
        </w:rPr>
        <w:t>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other comprehensive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other comprehensive income for the noncredit portion of a previous OTTI is amortized prospectively over the remaining life of the security on the basis of timing of future estimated cash flows of the security.</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OTTI losses are recorded in the condensed consolidated statements of income and comprehensive income as net realized losses on investments and result in a permanent reduction of the cost basis of the underlying investment. The determination of OTTI is a subjective process and different judgments and assumptions could affect the timing of loss realization. At June 30, 2017 and December 31, 2016, there were 75 and 85 securities, respectively, that accounted for the gross unrealized loss. As of June 30, 2017, the Company’s held-to-maturity debt securities included an investment in one bond issued by the Commonwealth of Puerto Rico (“PR”). In July 2016, PR defaulted on its interest payment to bondholders. Due to the credit deterioration of PR, the Company recorded a credit loss component of OTTI on this investment as of June 30, 2016. As of December 31, 2016, the full amount of the write-down was recognized as a credit component of OTTI in the amount of $69,911. The Company determined that none of the other unrealized losses were deemed to be OTTI for its portfolio of fixed-maturity investments and equity securities for the six months ended June 30, 2017 and 2016.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The Company held securities with unrealized losses representing declines that were considered temporary at June 30, 2017 and December 31, 2016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4"/>
                <w:szCs w:val="14"/>
                <w:b w:val="1"/>
                <w:bCs w:val="1"/>
                <w:color w:val="auto"/>
              </w:rPr>
              <w:t>June 30, 2017</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3"/>
              <w:spacing w:after="0"/>
              <w:rPr>
                <w:sz w:val="20"/>
                <w:szCs w:val="20"/>
                <w:color w:val="auto"/>
              </w:rPr>
            </w:pPr>
            <w:r>
              <w:rPr>
                <w:rFonts w:ascii="Arial" w:cs="Arial" w:eastAsia="Arial" w:hAnsi="Arial"/>
                <w:sz w:val="14"/>
                <w:szCs w:val="14"/>
                <w:b w:val="1"/>
                <w:bCs w:val="1"/>
                <w:color w:val="auto"/>
                <w:w w:val="90"/>
              </w:rPr>
              <w:t>Less than 12 months</w:t>
            </w: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
              <w:spacing w:after="0"/>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jc w:val="center"/>
              <w:ind w:right="3"/>
              <w:spacing w:after="0"/>
              <w:rPr>
                <w:sz w:val="20"/>
                <w:szCs w:val="20"/>
                <w:color w:val="auto"/>
              </w:rPr>
            </w:pPr>
            <w:r>
              <w:rPr>
                <w:rFonts w:ascii="Arial" w:cs="Arial" w:eastAsia="Arial" w:hAnsi="Arial"/>
                <w:sz w:val="14"/>
                <w:szCs w:val="14"/>
                <w:b w:val="1"/>
                <w:bCs w:val="1"/>
                <w:color w:val="auto"/>
                <w:w w:val="90"/>
              </w:rPr>
              <w:t>No. of</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jc w:val="center"/>
              <w:ind w:right="63"/>
              <w:spacing w:after="0"/>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4"/>
                <w:szCs w:val="14"/>
                <w:color w:val="auto"/>
              </w:rPr>
            </w:pPr>
          </w:p>
        </w:tc>
        <w:tc>
          <w:tcPr>
            <w:tcW w:w="90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Category</w:t>
            </w:r>
          </w:p>
        </w:tc>
        <w:tc>
          <w:tcPr>
            <w:tcW w:w="260" w:type="dxa"/>
            <w:vAlign w:val="bottom"/>
          </w:tcPr>
          <w:p>
            <w:pPr>
              <w:spacing w:after="0"/>
              <w:rPr>
                <w:sz w:val="14"/>
                <w:szCs w:val="14"/>
                <w:color w:val="auto"/>
              </w:rPr>
            </w:pPr>
          </w:p>
        </w:tc>
        <w:tc>
          <w:tcPr>
            <w:tcW w:w="800" w:type="dxa"/>
            <w:vAlign w:val="bottom"/>
          </w:tcPr>
          <w:p>
            <w:pPr>
              <w:jc w:val="right"/>
              <w:ind w:right="283"/>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4"/>
                <w:szCs w:val="14"/>
                <w:color w:val="auto"/>
              </w:rPr>
            </w:pPr>
          </w:p>
        </w:tc>
        <w:tc>
          <w:tcPr>
            <w:tcW w:w="1100" w:type="dxa"/>
            <w:vAlign w:val="bottom"/>
          </w:tcPr>
          <w:p>
            <w:pPr>
              <w:jc w:val="center"/>
              <w:ind w:right="303"/>
              <w:spacing w:after="0"/>
              <w:rPr>
                <w:sz w:val="20"/>
                <w:szCs w:val="20"/>
                <w:color w:val="auto"/>
              </w:rPr>
            </w:pPr>
            <w:r>
              <w:rPr>
                <w:rFonts w:ascii="Arial" w:cs="Arial" w:eastAsia="Arial" w:hAnsi="Arial"/>
                <w:sz w:val="14"/>
                <w:szCs w:val="14"/>
                <w:b w:val="1"/>
                <w:bCs w:val="1"/>
                <w:color w:val="auto"/>
                <w:w w:val="95"/>
              </w:rPr>
              <w:t>Unrealized</w:t>
            </w:r>
          </w:p>
        </w:tc>
        <w:tc>
          <w:tcPr>
            <w:tcW w:w="880" w:type="dxa"/>
            <w:vAlign w:val="bottom"/>
          </w:tcPr>
          <w:p>
            <w:pPr>
              <w:jc w:val="center"/>
              <w:ind w:right="3"/>
              <w:spacing w:after="0"/>
              <w:rPr>
                <w:sz w:val="20"/>
                <w:szCs w:val="20"/>
                <w:color w:val="auto"/>
              </w:rPr>
            </w:pPr>
            <w:r>
              <w:rPr>
                <w:rFonts w:ascii="Arial" w:cs="Arial" w:eastAsia="Arial" w:hAnsi="Arial"/>
                <w:sz w:val="14"/>
                <w:szCs w:val="14"/>
                <w:b w:val="1"/>
                <w:bCs w:val="1"/>
                <w:color w:val="auto"/>
                <w:w w:val="88"/>
              </w:rPr>
              <w:t>Positions</w:t>
            </w:r>
          </w:p>
        </w:tc>
        <w:tc>
          <w:tcPr>
            <w:tcW w:w="380" w:type="dxa"/>
            <w:vAlign w:val="bottom"/>
          </w:tcPr>
          <w:p>
            <w:pPr>
              <w:spacing w:after="0"/>
              <w:rPr>
                <w:sz w:val="14"/>
                <w:szCs w:val="14"/>
                <w:color w:val="auto"/>
              </w:rPr>
            </w:pPr>
          </w:p>
        </w:tc>
        <w:tc>
          <w:tcPr>
            <w:tcW w:w="780" w:type="dxa"/>
            <w:vAlign w:val="bottom"/>
          </w:tcPr>
          <w:p>
            <w:pPr>
              <w:jc w:val="right"/>
              <w:ind w:right="283"/>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080" w:type="dxa"/>
            <w:vAlign w:val="bottom"/>
          </w:tcPr>
          <w:p>
            <w:pPr>
              <w:jc w:val="center"/>
              <w:ind w:right="283"/>
              <w:spacing w:after="0"/>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63"/>
              <w:spacing w:after="0"/>
              <w:rPr>
                <w:sz w:val="20"/>
                <w:szCs w:val="20"/>
                <w:color w:val="auto"/>
              </w:rPr>
            </w:pPr>
            <w:r>
              <w:rPr>
                <w:rFonts w:ascii="Arial" w:cs="Arial" w:eastAsia="Arial" w:hAnsi="Arial"/>
                <w:sz w:val="14"/>
                <w:szCs w:val="14"/>
                <w:b w:val="1"/>
                <w:bCs w:val="1"/>
                <w:color w:val="auto"/>
                <w:w w:val="88"/>
              </w:rPr>
              <w:t>Positions</w:t>
            </w:r>
          </w:p>
        </w:tc>
        <w:tc>
          <w:tcPr>
            <w:tcW w:w="240" w:type="dxa"/>
            <w:vAlign w:val="bottom"/>
          </w:tcPr>
          <w:p>
            <w:pPr>
              <w:spacing w:after="0"/>
              <w:rPr>
                <w:sz w:val="14"/>
                <w:szCs w:val="14"/>
                <w:color w:val="auto"/>
              </w:rPr>
            </w:pPr>
          </w:p>
        </w:tc>
        <w:tc>
          <w:tcPr>
            <w:tcW w:w="900" w:type="dxa"/>
            <w:vAlign w:val="bottom"/>
          </w:tcPr>
          <w:p>
            <w:pPr>
              <w:jc w:val="center"/>
              <w:ind w:right="164"/>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920" w:type="dxa"/>
            <w:vAlign w:val="bottom"/>
          </w:tcPr>
          <w:p>
            <w:pPr>
              <w:jc w:val="right"/>
              <w:ind w:right="163"/>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7"/>
        </w:trPr>
        <w:tc>
          <w:tcPr>
            <w:tcW w:w="23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243"/>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5"/>
                <w:szCs w:val="15"/>
                <w:color w:val="auto"/>
              </w:rPr>
            </w:pPr>
          </w:p>
        </w:tc>
        <w:tc>
          <w:tcPr>
            <w:tcW w:w="1100" w:type="dxa"/>
            <w:vAlign w:val="bottom"/>
          </w:tcPr>
          <w:p>
            <w:pPr>
              <w:jc w:val="center"/>
              <w:ind w:right="303"/>
              <w:spacing w:after="0"/>
              <w:rPr>
                <w:sz w:val="20"/>
                <w:szCs w:val="20"/>
                <w:color w:val="auto"/>
              </w:rPr>
            </w:pPr>
            <w:r>
              <w:rPr>
                <w:rFonts w:ascii="Arial" w:cs="Arial" w:eastAsia="Arial" w:hAnsi="Arial"/>
                <w:sz w:val="14"/>
                <w:szCs w:val="14"/>
                <w:b w:val="1"/>
                <w:bCs w:val="1"/>
                <w:color w:val="auto"/>
                <w:w w:val="82"/>
              </w:rPr>
              <w:t>Losses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38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1080" w:type="dxa"/>
            <w:vAlign w:val="bottom"/>
          </w:tcPr>
          <w:p>
            <w:pPr>
              <w:jc w:val="center"/>
              <w:ind w:right="283"/>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Pr>
          <w:p>
            <w:pPr>
              <w:jc w:val="center"/>
              <w:ind w:right="63"/>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Pr>
          <w:p>
            <w:pPr>
              <w:spacing w:after="0"/>
              <w:rPr>
                <w:sz w:val="15"/>
                <w:szCs w:val="15"/>
                <w:color w:val="auto"/>
              </w:rPr>
            </w:pPr>
          </w:p>
        </w:tc>
        <w:tc>
          <w:tcPr>
            <w:tcW w:w="900" w:type="dxa"/>
            <w:vAlign w:val="bottom"/>
          </w:tcPr>
          <w:p>
            <w:pPr>
              <w:jc w:val="center"/>
              <w:ind w:right="164"/>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b w:val="1"/>
                <w:bCs w:val="1"/>
                <w:color w:val="auto"/>
              </w:rPr>
              <w:t>Fixed-Maturity Securities:</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Political subdivisions of</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6"/>
                <w:szCs w:val="16"/>
                <w:color w:val="auto"/>
              </w:rPr>
              <w:t>States, Territories and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Possessions</w:t>
            </w: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4,767,571</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(40,9554)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307,632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(23,057)</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5,075,203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(64,012)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bonds industrial and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miscellaneous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16,347,328</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(371,550)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240,000</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(5,946)</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97"/>
              </w:rPr>
              <w:t>16,587,328</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(377,496)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Residential mortgage and other</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asset backed securities</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15,639,089</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(190,684)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168,088</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(23,946)</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w w:val="97"/>
              </w:rPr>
              <w:t>15,807,177</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(214,630)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Total fixed-maturity</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securities</w:t>
            </w:r>
          </w:p>
        </w:tc>
        <w:tc>
          <w:tcPr>
            <w:tcW w:w="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36,753,988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(603,189)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3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715,720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(52,949)</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97"/>
              </w:rPr>
              <w:t>37,469,708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(656,138)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Securities: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Preferred stocks</w:t>
            </w:r>
          </w:p>
        </w:tc>
        <w:tc>
          <w:tcPr>
            <w:tcW w:w="2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3,033,150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3"/>
              <w:spacing w:after="0"/>
              <w:rPr>
                <w:sz w:val="20"/>
                <w:szCs w:val="20"/>
                <w:color w:val="auto"/>
              </w:rPr>
            </w:pPr>
            <w:r>
              <w:rPr>
                <w:rFonts w:ascii="Arial" w:cs="Arial" w:eastAsia="Arial" w:hAnsi="Arial"/>
                <w:sz w:val="16"/>
                <w:szCs w:val="16"/>
                <w:color w:val="auto"/>
              </w:rPr>
              <w:t>(77,538)</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38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1,158,400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3"/>
              <w:spacing w:after="0"/>
              <w:rPr>
                <w:sz w:val="20"/>
                <w:szCs w:val="20"/>
                <w:color w:val="auto"/>
              </w:rPr>
            </w:pPr>
            <w:r>
              <w:rPr>
                <w:rFonts w:ascii="Arial" w:cs="Arial" w:eastAsia="Arial" w:hAnsi="Arial"/>
                <w:sz w:val="16"/>
                <w:szCs w:val="16"/>
                <w:color w:val="auto"/>
              </w:rPr>
              <w:t>(88,073)</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4,191,550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(165,611)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stocks</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725,031</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(10,131)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279,750</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(78,668)</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1,004,781</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(88,799)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equity securities</w:t>
            </w:r>
          </w:p>
        </w:tc>
        <w:tc>
          <w:tcPr>
            <w:tcW w:w="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3,758,181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(87,669)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1,438,150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(166,741)</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5,196,331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(254,410)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40,512,169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(690,858)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3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2,153,870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(219,690)</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97"/>
              </w:rPr>
              <w:t>42,666,039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(910,548)</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color w:val="auto"/>
                <w:w w:val="82"/>
              </w:rPr>
              <w:t>14</w:t>
            </w: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0"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4"/>
                <w:szCs w:val="14"/>
                <w:b w:val="1"/>
                <w:bCs w:val="1"/>
                <w:color w:val="auto"/>
              </w:rPr>
              <w:t>December 31, 2016</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3"/>
              <w:spacing w:after="0"/>
              <w:rPr>
                <w:sz w:val="20"/>
                <w:szCs w:val="20"/>
                <w:color w:val="auto"/>
              </w:rPr>
            </w:pPr>
            <w:r>
              <w:rPr>
                <w:rFonts w:ascii="Arial" w:cs="Arial" w:eastAsia="Arial" w:hAnsi="Arial"/>
                <w:sz w:val="14"/>
                <w:szCs w:val="14"/>
                <w:b w:val="1"/>
                <w:bCs w:val="1"/>
                <w:color w:val="auto"/>
                <w:w w:val="90"/>
              </w:rPr>
              <w:t>Less than 12 months</w:t>
            </w: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
              <w:spacing w:after="0"/>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jc w:val="center"/>
              <w:ind w:right="3"/>
              <w:spacing w:after="0"/>
              <w:rPr>
                <w:sz w:val="20"/>
                <w:szCs w:val="20"/>
                <w:color w:val="auto"/>
              </w:rPr>
            </w:pPr>
            <w:r>
              <w:rPr>
                <w:rFonts w:ascii="Arial" w:cs="Arial" w:eastAsia="Arial" w:hAnsi="Arial"/>
                <w:sz w:val="14"/>
                <w:szCs w:val="14"/>
                <w:b w:val="1"/>
                <w:bCs w:val="1"/>
                <w:color w:val="auto"/>
                <w:w w:val="90"/>
              </w:rPr>
              <w:t>No. of</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jc w:val="center"/>
              <w:ind w:right="63"/>
              <w:spacing w:after="0"/>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7"/>
                <w:szCs w:val="17"/>
                <w:color w:val="auto"/>
              </w:rPr>
            </w:pPr>
          </w:p>
        </w:tc>
        <w:tc>
          <w:tcPr>
            <w:tcW w:w="90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Category</w:t>
            </w:r>
          </w:p>
        </w:tc>
        <w:tc>
          <w:tcPr>
            <w:tcW w:w="260" w:type="dxa"/>
            <w:vAlign w:val="bottom"/>
          </w:tcPr>
          <w:p>
            <w:pPr>
              <w:spacing w:after="0"/>
              <w:rPr>
                <w:sz w:val="15"/>
                <w:szCs w:val="15"/>
                <w:color w:val="auto"/>
              </w:rPr>
            </w:pPr>
          </w:p>
        </w:tc>
        <w:tc>
          <w:tcPr>
            <w:tcW w:w="800" w:type="dxa"/>
            <w:vAlign w:val="bottom"/>
          </w:tcPr>
          <w:p>
            <w:pPr>
              <w:jc w:val="right"/>
              <w:ind w:right="283"/>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5"/>
                <w:szCs w:val="15"/>
                <w:color w:val="auto"/>
              </w:rPr>
            </w:pPr>
          </w:p>
        </w:tc>
        <w:tc>
          <w:tcPr>
            <w:tcW w:w="1100" w:type="dxa"/>
            <w:vAlign w:val="bottom"/>
          </w:tcPr>
          <w:p>
            <w:pPr>
              <w:jc w:val="center"/>
              <w:ind w:right="303"/>
              <w:spacing w:after="0"/>
              <w:rPr>
                <w:sz w:val="20"/>
                <w:szCs w:val="20"/>
                <w:color w:val="auto"/>
              </w:rPr>
            </w:pPr>
            <w:r>
              <w:rPr>
                <w:rFonts w:ascii="Arial" w:cs="Arial" w:eastAsia="Arial" w:hAnsi="Arial"/>
                <w:sz w:val="14"/>
                <w:szCs w:val="14"/>
                <w:b w:val="1"/>
                <w:bCs w:val="1"/>
                <w:color w:val="auto"/>
                <w:w w:val="95"/>
              </w:rPr>
              <w:t>Unrealized</w:t>
            </w:r>
          </w:p>
        </w:tc>
        <w:tc>
          <w:tcPr>
            <w:tcW w:w="880" w:type="dxa"/>
            <w:vAlign w:val="bottom"/>
          </w:tcPr>
          <w:p>
            <w:pPr>
              <w:jc w:val="center"/>
              <w:ind w:right="3"/>
              <w:spacing w:after="0"/>
              <w:rPr>
                <w:sz w:val="20"/>
                <w:szCs w:val="20"/>
                <w:color w:val="auto"/>
              </w:rPr>
            </w:pPr>
            <w:r>
              <w:rPr>
                <w:rFonts w:ascii="Arial" w:cs="Arial" w:eastAsia="Arial" w:hAnsi="Arial"/>
                <w:sz w:val="14"/>
                <w:szCs w:val="14"/>
                <w:b w:val="1"/>
                <w:bCs w:val="1"/>
                <w:color w:val="auto"/>
                <w:w w:val="88"/>
              </w:rPr>
              <w:t>Positions</w:t>
            </w:r>
          </w:p>
        </w:tc>
        <w:tc>
          <w:tcPr>
            <w:tcW w:w="380" w:type="dxa"/>
            <w:vAlign w:val="bottom"/>
          </w:tcPr>
          <w:p>
            <w:pPr>
              <w:spacing w:after="0"/>
              <w:rPr>
                <w:sz w:val="15"/>
                <w:szCs w:val="15"/>
                <w:color w:val="auto"/>
              </w:rPr>
            </w:pPr>
          </w:p>
        </w:tc>
        <w:tc>
          <w:tcPr>
            <w:tcW w:w="780" w:type="dxa"/>
            <w:vAlign w:val="bottom"/>
          </w:tcPr>
          <w:p>
            <w:pPr>
              <w:jc w:val="right"/>
              <w:ind w:right="283"/>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080" w:type="dxa"/>
            <w:vAlign w:val="bottom"/>
          </w:tcPr>
          <w:p>
            <w:pPr>
              <w:jc w:val="center"/>
              <w:ind w:right="283"/>
              <w:spacing w:after="0"/>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63"/>
              <w:spacing w:after="0"/>
              <w:rPr>
                <w:sz w:val="20"/>
                <w:szCs w:val="20"/>
                <w:color w:val="auto"/>
              </w:rPr>
            </w:pPr>
            <w:r>
              <w:rPr>
                <w:rFonts w:ascii="Arial" w:cs="Arial" w:eastAsia="Arial" w:hAnsi="Arial"/>
                <w:sz w:val="14"/>
                <w:szCs w:val="14"/>
                <w:b w:val="1"/>
                <w:bCs w:val="1"/>
                <w:color w:val="auto"/>
                <w:w w:val="88"/>
              </w:rPr>
              <w:t>Positions</w:t>
            </w:r>
          </w:p>
        </w:tc>
        <w:tc>
          <w:tcPr>
            <w:tcW w:w="240" w:type="dxa"/>
            <w:vAlign w:val="bottom"/>
          </w:tcPr>
          <w:p>
            <w:pPr>
              <w:spacing w:after="0"/>
              <w:rPr>
                <w:sz w:val="15"/>
                <w:szCs w:val="15"/>
                <w:color w:val="auto"/>
              </w:rPr>
            </w:pPr>
          </w:p>
        </w:tc>
        <w:tc>
          <w:tcPr>
            <w:tcW w:w="900" w:type="dxa"/>
            <w:vAlign w:val="bottom"/>
          </w:tcPr>
          <w:p>
            <w:pPr>
              <w:jc w:val="center"/>
              <w:ind w:right="164"/>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7"/>
        </w:trPr>
        <w:tc>
          <w:tcPr>
            <w:tcW w:w="23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243"/>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5"/>
                <w:szCs w:val="15"/>
                <w:color w:val="auto"/>
              </w:rPr>
            </w:pPr>
          </w:p>
        </w:tc>
        <w:tc>
          <w:tcPr>
            <w:tcW w:w="1100" w:type="dxa"/>
            <w:vAlign w:val="bottom"/>
          </w:tcPr>
          <w:p>
            <w:pPr>
              <w:jc w:val="center"/>
              <w:ind w:right="303"/>
              <w:spacing w:after="0"/>
              <w:rPr>
                <w:sz w:val="20"/>
                <w:szCs w:val="20"/>
                <w:color w:val="auto"/>
              </w:rPr>
            </w:pPr>
            <w:r>
              <w:rPr>
                <w:rFonts w:ascii="Arial" w:cs="Arial" w:eastAsia="Arial" w:hAnsi="Arial"/>
                <w:sz w:val="14"/>
                <w:szCs w:val="14"/>
                <w:b w:val="1"/>
                <w:bCs w:val="1"/>
                <w:color w:val="auto"/>
                <w:w w:val="82"/>
              </w:rPr>
              <w:t>Losses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38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1080" w:type="dxa"/>
            <w:vAlign w:val="bottom"/>
          </w:tcPr>
          <w:p>
            <w:pPr>
              <w:jc w:val="center"/>
              <w:ind w:right="283"/>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Pr>
          <w:p>
            <w:pPr>
              <w:jc w:val="center"/>
              <w:ind w:right="63"/>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Pr>
          <w:p>
            <w:pPr>
              <w:spacing w:after="0"/>
              <w:rPr>
                <w:sz w:val="15"/>
                <w:szCs w:val="15"/>
                <w:color w:val="auto"/>
              </w:rPr>
            </w:pPr>
          </w:p>
        </w:tc>
        <w:tc>
          <w:tcPr>
            <w:tcW w:w="900" w:type="dxa"/>
            <w:vAlign w:val="bottom"/>
          </w:tcPr>
          <w:p>
            <w:pPr>
              <w:jc w:val="center"/>
              <w:ind w:right="164"/>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b w:val="1"/>
                <w:bCs w:val="1"/>
                <w:color w:val="auto"/>
              </w:rPr>
              <w:t>Fixed-Maturity Securities:</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Political subdivisions of</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rPr>
                <w:sz w:val="20"/>
                <w:szCs w:val="20"/>
                <w:color w:val="auto"/>
              </w:rPr>
            </w:pPr>
            <w:r>
              <w:rPr>
                <w:rFonts w:ascii="Arial" w:cs="Arial" w:eastAsia="Arial" w:hAnsi="Arial"/>
                <w:sz w:val="16"/>
                <w:szCs w:val="16"/>
                <w:color w:val="auto"/>
              </w:rPr>
              <w:t>States, Territories and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Possessions</w:t>
            </w: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1,067,574</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(46,589)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1,067,574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(46,589)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bonds industrial and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miscellaneous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19,859,293</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(638,113)</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239,970</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(5,612)</w:t>
            </w: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97"/>
              </w:rPr>
              <w:t>20,099,263</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(643,725)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Residential mortgage</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backed securities</w:t>
            </w: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15,918,090</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(309,273)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675,316</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(38,442)</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w w:val="97"/>
              </w:rPr>
              <w:t>16,593,406</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(347,715)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Total fixed-maturity</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securities</w:t>
            </w:r>
          </w:p>
        </w:tc>
        <w:tc>
          <w:tcPr>
            <w:tcW w:w="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36,844,957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(993,975)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3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915,286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(44,054)</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97"/>
              </w:rPr>
              <w:t>37,760,243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(1,038,029)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Securities: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6"/>
                <w:szCs w:val="16"/>
                <w:color w:val="auto"/>
              </w:rPr>
              <w:t>Preferred stocks</w:t>
            </w:r>
          </w:p>
        </w:tc>
        <w:tc>
          <w:tcPr>
            <w:tcW w:w="2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3,759,850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3"/>
              <w:spacing w:after="0"/>
              <w:rPr>
                <w:sz w:val="20"/>
                <w:szCs w:val="20"/>
                <w:color w:val="auto"/>
              </w:rPr>
            </w:pPr>
            <w:r>
              <w:rPr>
                <w:rFonts w:ascii="Arial" w:cs="Arial" w:eastAsia="Arial" w:hAnsi="Arial"/>
                <w:sz w:val="16"/>
                <w:szCs w:val="16"/>
                <w:color w:val="auto"/>
              </w:rPr>
              <w:t>(241,333)</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38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660,750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3"/>
              <w:spacing w:after="0"/>
              <w:rPr>
                <w:sz w:val="20"/>
                <w:szCs w:val="20"/>
                <w:color w:val="auto"/>
              </w:rPr>
            </w:pPr>
            <w:r>
              <w:rPr>
                <w:rFonts w:ascii="Arial" w:cs="Arial" w:eastAsia="Arial" w:hAnsi="Arial"/>
                <w:sz w:val="16"/>
                <w:szCs w:val="16"/>
                <w:color w:val="auto"/>
              </w:rPr>
              <w:t>(70,571)</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4,420,600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(311,904)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stocks</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288,075</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(13,968)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424,550</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(97,468)</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712,625</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(111,436)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equity securities</w:t>
            </w:r>
          </w:p>
        </w:tc>
        <w:tc>
          <w:tcPr>
            <w:tcW w:w="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4,047,925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(255,301)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1,085,300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(168,039)</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5,133,225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(423,340)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40,892,882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(1,249,276)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2,000,586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(212,093)</w:t>
            </w:r>
          </w:p>
        </w:tc>
        <w:tc>
          <w:tcPr>
            <w:tcW w:w="9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97"/>
              </w:rPr>
              <w:t>42,893,468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(1,461,369)</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color w:val="auto"/>
                <w:w w:val="82"/>
              </w:rPr>
              <w:t>15</w:t>
            </w: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1"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Note 4 - Fair Value Measurements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—Inputs to the valuation methodology are quoted prices (unadjusted) for identical assets or liabilities traded in active markets. Included are those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traded on an active exchange (such as the NASDAQ Global Select Market), U.S. Treasury securities and obligations of U.S. government agencies, together with corporate debt securities that are generally investment grade.</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—Inputs to the valuation methodology include quoted prices for similar assets or liabilities in active markets,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to the valuation methodology are unobservable for the asset or liability and are significant to the fair value measurement. Material assumptions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the ability to observe prices and inputs may be reduced for many instruments. This condition could cause a security to be reclassified between levels.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The Company’s investments are allocated among pricing input levels at June 30, 2017 and December 31, 2016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4"/>
                <w:szCs w:val="14"/>
                <w:b w:val="1"/>
                <w:bCs w:val="1"/>
                <w:color w:val="auto"/>
              </w:rPr>
              <w:t>June 30, 2017</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Fixed-maturity securities available-for-sale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States, Territories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Possessions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12,285,665</w:t>
            </w:r>
          </w:p>
        </w:tc>
        <w:tc>
          <w:tcPr>
            <w:tcW w:w="1060" w:type="dxa"/>
            <w:vAlign w:val="bottom"/>
            <w:shd w:val="clear" w:color="auto" w:fill="CCEEFF"/>
          </w:tcPr>
          <w:p>
            <w:pPr>
              <w:jc w:val="right"/>
              <w:ind w:right="739"/>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12,285,665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bonds industrial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73,039,798</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4,826,656</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77,866,454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Residential mortgage and other asset backed securities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22,271,392</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22,271,392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fixed maturities</w:t>
            </w:r>
          </w:p>
        </w:tc>
        <w:tc>
          <w:tcPr>
            <w:tcW w:w="3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73,039,798</w:t>
            </w:r>
          </w:p>
        </w:tc>
        <w:tc>
          <w:tcPr>
            <w:tcW w:w="34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39,383,713</w:t>
            </w:r>
          </w:p>
        </w:tc>
        <w:tc>
          <w:tcPr>
            <w:tcW w:w="1060" w:type="dxa"/>
            <w:vAlign w:val="bottom"/>
          </w:tcPr>
          <w:p>
            <w:pPr>
              <w:spacing w:after="0"/>
              <w:rPr>
                <w:sz w:val="18"/>
                <w:szCs w:val="18"/>
                <w:color w:val="auto"/>
              </w:rPr>
            </w:pP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7"/>
                <w:szCs w:val="17"/>
                <w:color w:val="auto"/>
                <w:w w:val="95"/>
              </w:rPr>
              <w:t>112,423,511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11,772,818</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11,772,818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investments</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84,812,616</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39,383,713</w:t>
            </w:r>
          </w:p>
        </w:tc>
        <w:tc>
          <w:tcPr>
            <w:tcW w:w="1060" w:type="dxa"/>
            <w:vAlign w:val="bottom"/>
            <w:tcBorders>
              <w:bottom w:val="single" w:sz="8" w:color="auto"/>
            </w:tcBorders>
          </w:tcPr>
          <w:p>
            <w:pPr>
              <w:jc w:val="right"/>
              <w:ind w:right="739"/>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95"/>
              </w:rPr>
              <w:t>124,196,329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rPr>
              <w:t>December 31, 2016</w:t>
            </w: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Level 2</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Fixed-maturity securities available-for-sale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States, Territories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Possessions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8,205,888</w:t>
            </w:r>
          </w:p>
        </w:tc>
        <w:tc>
          <w:tcPr>
            <w:tcW w:w="1060" w:type="dxa"/>
            <w:vAlign w:val="bottom"/>
            <w:shd w:val="clear" w:color="auto" w:fill="CCEEFF"/>
          </w:tcPr>
          <w:p>
            <w:pPr>
              <w:jc w:val="right"/>
              <w:ind w:right="739"/>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8,205,888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bonds industrial and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48,356,317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5,328,872</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53,685,189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Residential mortgage backed securities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18,537,751</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18,537,751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fixed maturities</w:t>
            </w:r>
          </w:p>
        </w:tc>
        <w:tc>
          <w:tcPr>
            <w:tcW w:w="3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48,356,317</w:t>
            </w:r>
          </w:p>
        </w:tc>
        <w:tc>
          <w:tcPr>
            <w:tcW w:w="340" w:type="dxa"/>
            <w:vAlign w:val="bottom"/>
          </w:tcPr>
          <w:p>
            <w:pPr>
              <w:spacing w:after="0"/>
              <w:rPr>
                <w:sz w:val="18"/>
                <w:szCs w:val="18"/>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32,072,511</w:t>
            </w:r>
          </w:p>
        </w:tc>
        <w:tc>
          <w:tcPr>
            <w:tcW w:w="1060" w:type="dxa"/>
            <w:vAlign w:val="bottom"/>
          </w:tcPr>
          <w:p>
            <w:pPr>
              <w:spacing w:after="0"/>
              <w:rPr>
                <w:sz w:val="18"/>
                <w:szCs w:val="18"/>
                <w:color w:val="auto"/>
              </w:rPr>
            </w:pP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7"/>
                <w:szCs w:val="17"/>
                <w:color w:val="auto"/>
              </w:rPr>
              <w:t>80,428,828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9,987,686</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9,987,686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investments</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58,344,003</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32,072,511</w:t>
            </w:r>
          </w:p>
        </w:tc>
        <w:tc>
          <w:tcPr>
            <w:tcW w:w="1060" w:type="dxa"/>
            <w:vAlign w:val="bottom"/>
            <w:tcBorders>
              <w:bottom w:val="single" w:sz="8" w:color="auto"/>
            </w:tcBorders>
          </w:tcPr>
          <w:p>
            <w:pPr>
              <w:jc w:val="right"/>
              <w:ind w:right="739"/>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90,416,514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Fair Value of Financial Instruments and Real Estate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the following methods and assumptions in estimating its fair value disclosures for financial instruments and real estate: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Equity securities and fixed income securities: </w:t>
      </w:r>
      <w:r>
        <w:rPr>
          <w:rFonts w:ascii="Arial" w:cs="Arial" w:eastAsia="Arial" w:hAnsi="Arial"/>
          <w:sz w:val="17"/>
          <w:szCs w:val="17"/>
          <w:color w:val="auto"/>
        </w:rPr>
        <w:t>Fair value is based on quoted market prices from a recognized pricing service.</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46"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i w:val="1"/>
          <w:iCs w:val="1"/>
          <w:color w:val="auto"/>
        </w:rPr>
        <w:t xml:space="preserve">Premiums receivable and reinsurance receivables: </w:t>
      </w:r>
      <w:r>
        <w:rPr>
          <w:rFonts w:ascii="Arial" w:cs="Arial" w:eastAsia="Arial" w:hAnsi="Arial"/>
          <w:sz w:val="17"/>
          <w:szCs w:val="17"/>
          <w:color w:val="auto"/>
        </w:rPr>
        <w:t>The carrying values reported in the accompanying condensed consolidated balance sheets for these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instruments approximate their fair values due to the short-term nature of the assets.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9" w:name="page20"/>
    <w:bookmarkEnd w:id="19"/>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Real estate: </w:t>
      </w:r>
      <w:r>
        <w:rPr>
          <w:rFonts w:ascii="Arial" w:cs="Arial" w:eastAsia="Arial" w:hAnsi="Arial"/>
          <w:sz w:val="17"/>
          <w:szCs w:val="17"/>
          <w:color w:val="auto"/>
        </w:rPr>
        <w:t>The fair value of the land and building included in property and equipment, which is used in the Company’s operations, approximates the carrying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fair value was based on an appraisal prepared using the sales comparison approach and income approach, and accordingly the real estate is a Level 3 asset under the fair value hierarchy.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Reinsurance balances payable: </w:t>
      </w:r>
      <w:r>
        <w:rPr>
          <w:rFonts w:ascii="Arial" w:cs="Arial" w:eastAsia="Arial" w:hAnsi="Arial"/>
          <w:sz w:val="15"/>
          <w:szCs w:val="15"/>
          <w:color w:val="auto"/>
        </w:rPr>
        <w:t>The carrying value reported in the condensed consolidated balance sheets for these financial instruments approximates fair value.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the Company’s financial instruments and real estate as of June 30, 2017 and December 31, 2016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896"/>
              <w:spacing w:after="0"/>
              <w:rPr>
                <w:sz w:val="20"/>
                <w:szCs w:val="20"/>
                <w:color w:val="auto"/>
              </w:rPr>
            </w:pPr>
            <w:r>
              <w:rPr>
                <w:rFonts w:ascii="Arial" w:cs="Arial" w:eastAsia="Arial" w:hAnsi="Arial"/>
                <w:sz w:val="14"/>
                <w:szCs w:val="14"/>
                <w:b w:val="1"/>
                <w:bCs w:val="1"/>
                <w:color w:val="auto"/>
              </w:rPr>
              <w:t>June 30, 2017</w:t>
            </w:r>
          </w:p>
        </w:tc>
        <w:tc>
          <w:tcPr>
            <w:tcW w:w="2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40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Fair Value</w:t>
            </w:r>
          </w:p>
        </w:tc>
        <w:tc>
          <w:tcPr>
            <w:tcW w:w="138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Fixed-maturity securities held-to-maturity</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4,895,894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5,193,772</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6"/>
              <w:spacing w:after="0"/>
              <w:rPr>
                <w:sz w:val="20"/>
                <w:szCs w:val="20"/>
                <w:color w:val="auto"/>
              </w:rPr>
            </w:pPr>
            <w:r>
              <w:rPr>
                <w:rFonts w:ascii="Arial" w:cs="Arial" w:eastAsia="Arial" w:hAnsi="Arial"/>
                <w:sz w:val="17"/>
                <w:szCs w:val="17"/>
                <w:color w:val="auto"/>
              </w:rPr>
              <w:t>5,094,902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5,298,119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14,357,465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14,357,465</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12,044,520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12,044,520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Premiums receivable</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13,126,077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13,126,077</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6"/>
              <w:spacing w:after="0"/>
              <w:rPr>
                <w:sz w:val="20"/>
                <w:szCs w:val="20"/>
                <w:color w:val="auto"/>
              </w:rPr>
            </w:pPr>
            <w:r>
              <w:rPr>
                <w:rFonts w:ascii="Arial" w:cs="Arial" w:eastAsia="Arial" w:hAnsi="Arial"/>
                <w:sz w:val="17"/>
                <w:szCs w:val="17"/>
                <w:color w:val="auto"/>
              </w:rPr>
              <w:t>11,649,398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11,649,398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Reinsurance receivables</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34,543,843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34,543,843</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32,197,765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32,197,765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Real estate, net of accumulated depreciation</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1,828,350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1,925,000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6"/>
              <w:spacing w:after="0"/>
              <w:rPr>
                <w:sz w:val="20"/>
                <w:szCs w:val="20"/>
                <w:color w:val="auto"/>
              </w:rPr>
            </w:pPr>
            <w:r>
              <w:rPr>
                <w:rFonts w:ascii="Arial" w:cs="Arial" w:eastAsia="Arial" w:hAnsi="Arial"/>
                <w:sz w:val="17"/>
                <w:szCs w:val="17"/>
                <w:color w:val="auto"/>
              </w:rPr>
              <w:t>1,659,405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1,925,000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Reinsurance balances payable</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2,803,939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2,803,939</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2,146,017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2,146,017</w:t>
            </w:r>
          </w:p>
        </w:tc>
        <w:tc>
          <w:tcPr>
            <w:tcW w:w="0" w:type="dxa"/>
            <w:vAlign w:val="bottom"/>
          </w:tcPr>
          <w:p>
            <w:pPr>
              <w:spacing w:after="0"/>
              <w:rPr>
                <w:sz w:val="1"/>
                <w:szCs w:val="1"/>
                <w:color w:val="auto"/>
              </w:rPr>
            </w:pPr>
          </w:p>
        </w:tc>
      </w:tr>
      <w:tr>
        <w:trPr>
          <w:trHeight w:val="626"/>
        </w:trPr>
        <w:tc>
          <w:tcPr>
            <w:tcW w:w="5940" w:type="dxa"/>
            <w:vAlign w:val="bottom"/>
            <w:gridSpan w:val="3"/>
          </w:tcPr>
          <w:p>
            <w:pPr>
              <w:spacing w:after="0"/>
              <w:rPr>
                <w:sz w:val="20"/>
                <w:szCs w:val="20"/>
                <w:color w:val="auto"/>
              </w:rPr>
            </w:pPr>
            <w:r>
              <w:rPr>
                <w:rFonts w:ascii="Arial" w:cs="Arial" w:eastAsia="Arial" w:hAnsi="Arial"/>
                <w:sz w:val="17"/>
                <w:szCs w:val="17"/>
                <w:b w:val="1"/>
                <w:bCs w:val="1"/>
                <w:color w:val="auto"/>
              </w:rPr>
              <w:t>Note 6 – Property and Casualty Insurance Activity</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8"/>
              </w:rPr>
              <w:t>Premiums Earned</w:t>
            </w:r>
          </w:p>
        </w:tc>
        <w:tc>
          <w:tcPr>
            <w:tcW w:w="4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940" w:type="dxa"/>
            <w:vAlign w:val="bottom"/>
            <w:gridSpan w:val="3"/>
          </w:tcPr>
          <w:p>
            <w:pPr>
              <w:spacing w:after="0"/>
              <w:rPr>
                <w:sz w:val="20"/>
                <w:szCs w:val="20"/>
                <w:color w:val="auto"/>
              </w:rPr>
            </w:pPr>
            <w:r>
              <w:rPr>
                <w:rFonts w:ascii="Arial" w:cs="Arial" w:eastAsia="Arial" w:hAnsi="Arial"/>
                <w:sz w:val="17"/>
                <w:szCs w:val="17"/>
                <w:color w:val="auto"/>
              </w:rPr>
              <w:t>Premiums written, ceded and earned are as follows: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Direct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Assumed</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Ceded</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b w:val="1"/>
                <w:bCs w:val="1"/>
                <w:color w:val="auto"/>
              </w:rPr>
              <w:t>Six months ended June 30, 2017</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Premiums written</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56,583,867</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6,293</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9"/>
              </w:rPr>
              <w:t>(20,128,555)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36,461,605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Change in unearned premiums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(4,048,796)</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8,327</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902,339</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(3,138,130)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Premiums earned</w:t>
            </w:r>
          </w:p>
        </w:tc>
        <w:tc>
          <w:tcPr>
            <w:tcW w:w="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52,535,071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14,620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99"/>
              </w:rPr>
              <w:t>(19,226,216)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33,323,475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Six months ended June 30, 2016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Premiums written</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49,204,416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15,998</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6"/>
              <w:spacing w:after="0"/>
              <w:rPr>
                <w:sz w:val="20"/>
                <w:szCs w:val="20"/>
                <w:color w:val="auto"/>
              </w:rPr>
            </w:pPr>
            <w:r>
              <w:rPr>
                <w:rFonts w:ascii="Arial" w:cs="Arial" w:eastAsia="Arial" w:hAnsi="Arial"/>
                <w:sz w:val="17"/>
                <w:szCs w:val="17"/>
                <w:color w:val="auto"/>
                <w:w w:val="99"/>
              </w:rPr>
              <w:t>(17,605,857)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31,614,557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Change in unearned premiums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(2,573,545)</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3,537</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498,001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(2,072,007)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Premiums earned</w:t>
            </w:r>
          </w:p>
        </w:tc>
        <w:tc>
          <w:tcPr>
            <w:tcW w:w="3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46,630,871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19,535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99"/>
              </w:rPr>
              <w:t>(17,107,856)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29,542,550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June 30, 2017</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Premiums written</w:t>
            </w: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30,458,400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1,865</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9"/>
              </w:rPr>
              <w:t>(10,732,965)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19,727,300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Change in unearned premiums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(3,717,893)</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5,346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938,974</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(2,773,573)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Premiums earned</w:t>
            </w:r>
          </w:p>
        </w:tc>
        <w:tc>
          <w:tcPr>
            <w:tcW w:w="3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26,740,507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7,211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(9,793,991)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16,953,727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Three months ended June 30, 2016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Premiums written</w:t>
            </w:r>
          </w:p>
        </w:tc>
        <w:tc>
          <w:tcPr>
            <w:tcW w:w="3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26,161,091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76"/>
              <w:spacing w:after="0"/>
              <w:rPr>
                <w:sz w:val="20"/>
                <w:szCs w:val="20"/>
                <w:color w:val="auto"/>
              </w:rPr>
            </w:pPr>
            <w:r>
              <w:rPr>
                <w:rFonts w:ascii="Arial" w:cs="Arial" w:eastAsia="Arial" w:hAnsi="Arial"/>
                <w:sz w:val="17"/>
                <w:szCs w:val="17"/>
                <w:color w:val="auto"/>
              </w:rPr>
              <w:t>10,920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6"/>
              <w:spacing w:after="0"/>
              <w:rPr>
                <w:sz w:val="20"/>
                <w:szCs w:val="20"/>
                <w:color w:val="auto"/>
              </w:rPr>
            </w:pPr>
            <w:r>
              <w:rPr>
                <w:rFonts w:ascii="Arial" w:cs="Arial" w:eastAsia="Arial" w:hAnsi="Arial"/>
                <w:sz w:val="17"/>
                <w:szCs w:val="17"/>
                <w:color w:val="auto"/>
              </w:rPr>
              <w:t>(9,219,329)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6"/>
              <w:spacing w:after="0"/>
              <w:rPr>
                <w:sz w:val="20"/>
                <w:szCs w:val="20"/>
                <w:color w:val="auto"/>
              </w:rPr>
            </w:pPr>
            <w:r>
              <w:rPr>
                <w:rFonts w:ascii="Arial" w:cs="Arial" w:eastAsia="Arial" w:hAnsi="Arial"/>
                <w:sz w:val="17"/>
                <w:szCs w:val="17"/>
                <w:color w:val="auto"/>
              </w:rPr>
              <w:t>16,952,682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Change in unearned premiums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(2,447,117)</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(34)</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505,344</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(1,941,807)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Premiums earned</w:t>
            </w:r>
          </w:p>
        </w:tc>
        <w:tc>
          <w:tcPr>
            <w:tcW w:w="3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23,713,974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10,886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(8,713,985)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15,010,875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Premium receipts in advance of the policy effective date are recorded as advance premiums. The balance of advance premiums as of June 30, 2017 and December 31, 2016 was approximately $2,170,000 and $1,422,000, respectively.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Loss and Loss Adjustment Expense Reserves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Balance at beginning of period</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8"/>
              <w:spacing w:after="0"/>
              <w:rPr>
                <w:sz w:val="20"/>
                <w:szCs w:val="20"/>
                <w:color w:val="auto"/>
              </w:rPr>
            </w:pPr>
            <w:r>
              <w:rPr>
                <w:rFonts w:ascii="Arial" w:cs="Arial" w:eastAsia="Arial" w:hAnsi="Arial"/>
                <w:sz w:val="17"/>
                <w:szCs w:val="17"/>
                <w:color w:val="auto"/>
              </w:rPr>
              <w:t>41,736,719</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39,876,500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Less reinsurance recoverables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99"/>
              </w:rPr>
              <w:t>(15,776,880)</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(16,706,364)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balance, beginning of period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25,959,839</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23,170,136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Incurred related to:</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Current year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15,958,020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15,378,670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(210,102)</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(107,979)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incurred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15,747,918</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15,270,691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Paid related to:</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Current year</w:t>
            </w:r>
          </w:p>
        </w:tc>
        <w:tc>
          <w:tcPr>
            <w:tcW w:w="320" w:type="dxa"/>
            <w:vAlign w:val="bottom"/>
          </w:tcPr>
          <w:p>
            <w:pPr>
              <w:spacing w:after="0"/>
              <w:rPr>
                <w:sz w:val="18"/>
                <w:szCs w:val="18"/>
                <w:color w:val="auto"/>
              </w:rPr>
            </w:pPr>
          </w:p>
        </w:tc>
        <w:tc>
          <w:tcPr>
            <w:tcW w:w="1100" w:type="dxa"/>
            <w:vAlign w:val="bottom"/>
          </w:tcPr>
          <w:p>
            <w:pPr>
              <w:jc w:val="right"/>
              <w:ind w:right="98"/>
              <w:spacing w:after="0"/>
              <w:rPr>
                <w:sz w:val="20"/>
                <w:szCs w:val="20"/>
                <w:color w:val="auto"/>
              </w:rPr>
            </w:pPr>
            <w:r>
              <w:rPr>
                <w:rFonts w:ascii="Arial" w:cs="Arial" w:eastAsia="Arial" w:hAnsi="Arial"/>
                <w:sz w:val="17"/>
                <w:szCs w:val="17"/>
                <w:color w:val="auto"/>
              </w:rPr>
              <w:t>7,462,585</w:t>
            </w:r>
          </w:p>
        </w:tc>
        <w:tc>
          <w:tcPr>
            <w:tcW w:w="28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7,554,317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Prior years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6,295,577</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5,870,254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Total paid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13,758,162</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13,424,571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balance at end of period</w:t>
            </w:r>
          </w:p>
        </w:tc>
        <w:tc>
          <w:tcPr>
            <w:tcW w:w="320" w:type="dxa"/>
            <w:vAlign w:val="bottom"/>
          </w:tcPr>
          <w:p>
            <w:pPr>
              <w:spacing w:after="0"/>
              <w:rPr>
                <w:sz w:val="18"/>
                <w:szCs w:val="18"/>
                <w:color w:val="auto"/>
              </w:rPr>
            </w:pPr>
          </w:p>
        </w:tc>
        <w:tc>
          <w:tcPr>
            <w:tcW w:w="1100" w:type="dxa"/>
            <w:vAlign w:val="bottom"/>
          </w:tcPr>
          <w:p>
            <w:pPr>
              <w:jc w:val="right"/>
              <w:ind w:right="98"/>
              <w:spacing w:after="0"/>
              <w:rPr>
                <w:sz w:val="20"/>
                <w:szCs w:val="20"/>
                <w:color w:val="auto"/>
              </w:rPr>
            </w:pPr>
            <w:r>
              <w:rPr>
                <w:rFonts w:ascii="Arial" w:cs="Arial" w:eastAsia="Arial" w:hAnsi="Arial"/>
                <w:sz w:val="17"/>
                <w:szCs w:val="17"/>
                <w:color w:val="auto"/>
              </w:rPr>
              <w:t>27,949,595</w:t>
            </w:r>
          </w:p>
        </w:tc>
        <w:tc>
          <w:tcPr>
            <w:tcW w:w="28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25,016,256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Add reinsurance recoverables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16,246,981</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19,318,968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Balance at end of period</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44,196,576</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44,335,224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Incurred losses and LAE are net of reinsurance recoveries under reinsurance contracts of $7,426,541 and $7,103,935 for the six months ended June 30, 2017 and 2016, respectively.</w:t>
      </w:r>
    </w:p>
    <w:p>
      <w:pPr>
        <w:spacing w:after="0" w:line="170"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Prior year incurred loss and LAE development is based upon estimates by line of business and accident year. Prior year loss and LAE development incurred during the six months ended June 30, 2017 and 2016 was $(210,102) favorable and $(107,979) favorable, respectively. The Company’s management continually monitors claims activity to assess the appropriateness of carried case and incurred but not reported (“IBNR”) reserves, giving consideration to Company and industry trends.</w:t>
      </w:r>
    </w:p>
    <w:p>
      <w:pPr>
        <w:spacing w:after="0" w:line="14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year’s results. Reserves are closely monitored and are recomputed periodically using the most recent information on reported claims and a variety of statistical techniques. On at least a monthly basis, the Company reviews by line of business existing reserves, new claims, changes to existing case reserves and paid losses with respect to the current and prior years. Several methods are used, varying by product line and accident year, in order to determine the required IBNR reserves. These methods include the following:</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 xml:space="preserve">Paid Loss Development </w:t>
      </w:r>
      <w:r>
        <w:rPr>
          <w:rFonts w:ascii="Arial" w:cs="Arial" w:eastAsia="Arial" w:hAnsi="Arial"/>
          <w:sz w:val="15"/>
          <w:szCs w:val="15"/>
          <w:color w:val="auto"/>
        </w:rPr>
        <w:t>– historical patterns of paid loss development are used to project future paid loss emergence in order to estimate required reserves.</w:t>
      </w:r>
    </w:p>
    <w:p>
      <w:pPr>
        <w:spacing w:after="0" w:line="246" w:lineRule="exact"/>
        <w:rPr>
          <w:sz w:val="20"/>
          <w:szCs w:val="20"/>
          <w:color w:val="auto"/>
        </w:rPr>
      </w:pPr>
    </w:p>
    <w:p>
      <w:pPr>
        <w:jc w:val="both"/>
        <w:ind w:left="640"/>
        <w:spacing w:after="0" w:line="281" w:lineRule="auto"/>
        <w:rPr>
          <w:sz w:val="20"/>
          <w:szCs w:val="20"/>
          <w:color w:val="auto"/>
        </w:rPr>
      </w:pPr>
      <w:r>
        <w:rPr>
          <w:rFonts w:ascii="Arial" w:cs="Arial" w:eastAsia="Arial" w:hAnsi="Arial"/>
          <w:sz w:val="17"/>
          <w:szCs w:val="17"/>
          <w:i w:val="1"/>
          <w:iCs w:val="1"/>
          <w:color w:val="auto"/>
        </w:rPr>
        <w:t xml:space="preserve">Incurred Loss Development </w:t>
      </w:r>
      <w:r>
        <w:rPr>
          <w:rFonts w:ascii="Arial" w:cs="Arial" w:eastAsia="Arial" w:hAnsi="Arial"/>
          <w:sz w:val="17"/>
          <w:szCs w:val="17"/>
          <w:color w:val="auto"/>
        </w:rPr>
        <w:t>– historical patterns of incurred loss development, reflecting both paid losses and changes in case reserves, are used to project</w:t>
      </w:r>
      <w:r>
        <w:rPr>
          <w:rFonts w:ascii="Arial" w:cs="Arial" w:eastAsia="Arial" w:hAnsi="Arial"/>
          <w:sz w:val="17"/>
          <w:szCs w:val="17"/>
          <w:i w:val="1"/>
          <w:iCs w:val="1"/>
          <w:color w:val="auto"/>
        </w:rPr>
        <w:t xml:space="preserve"> </w:t>
      </w:r>
      <w:r>
        <w:rPr>
          <w:rFonts w:ascii="Arial" w:cs="Arial" w:eastAsia="Arial" w:hAnsi="Arial"/>
          <w:sz w:val="17"/>
          <w:szCs w:val="17"/>
          <w:color w:val="auto"/>
        </w:rPr>
        <w:t>future incurred loss emergence in order to estimate required reserves.</w:t>
      </w:r>
    </w:p>
    <w:p>
      <w:pPr>
        <w:spacing w:after="0" w:line="170" w:lineRule="exact"/>
        <w:rPr>
          <w:sz w:val="20"/>
          <w:szCs w:val="20"/>
          <w:color w:val="auto"/>
        </w:rPr>
      </w:pPr>
    </w:p>
    <w:p>
      <w:pPr>
        <w:jc w:val="both"/>
        <w:ind w:left="640"/>
        <w:spacing w:after="0" w:line="286"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 accident</w:t>
      </w:r>
      <w:r>
        <w:rPr>
          <w:rFonts w:ascii="Arial" w:cs="Arial" w:eastAsia="Arial" w:hAnsi="Arial"/>
          <w:sz w:val="16"/>
          <w:szCs w:val="16"/>
          <w:i w:val="1"/>
          <w:iCs w:val="1"/>
          <w:color w:val="auto"/>
        </w:rPr>
        <w:t xml:space="preserve"> </w:t>
      </w:r>
      <w:r>
        <w:rPr>
          <w:rFonts w:ascii="Arial" w:cs="Arial" w:eastAsia="Arial" w:hAnsi="Arial"/>
          <w:sz w:val="16"/>
          <w:szCs w:val="16"/>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1" w:name="page22"/>
    <w:bookmarkEnd w:id="21"/>
    <w:p>
      <w:pPr>
        <w:jc w:val="both"/>
        <w:ind w:left="640"/>
        <w:spacing w:after="0" w:line="286"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is not aware of any claims trends that have emerged or that would cause future adverse development that have not already been considered in existing case reserves and in its current loss development factors.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June 30, 2014 and prior is limited although there remains the possibility of adverse development on reported claims (‘case development’ IBNR).</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is information about incurred and paid claims development as of June 30, 2017, net of reinsurance, as well as the cumulative reported claims by accident year and total IBNR reserves as of June 30, 2017 included in the net incurred loss and allocated expense amounts. The historical information regarding incurred and paid claims development for the years ended December 31, 2008 to December 31, 2015 is presented as supplementary unaudited information.</w:t>
      </w:r>
    </w:p>
    <w:p>
      <w:pPr>
        <w:spacing w:after="0" w:line="16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All Lines of Business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 except reported claims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3"/>
              </w:rPr>
              <w:t>Incurred Claims and Allocated Claim Adjustment Expenses, Net of Reinsurance</w:t>
            </w: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As of June 30, 2017</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5"/>
              </w:rPr>
              <w:t>Six</w:t>
            </w:r>
          </w:p>
        </w:tc>
        <w:tc>
          <w:tcPr>
            <w:tcW w:w="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2"/>
              </w:rPr>
              <w:t>Months</w:t>
            </w:r>
          </w:p>
        </w:tc>
        <w:tc>
          <w:tcPr>
            <w:tcW w:w="720" w:type="dxa"/>
            <w:vAlign w:val="bottom"/>
          </w:tcPr>
          <w:p>
            <w:pPr>
              <w:spacing w:after="0"/>
              <w:rPr>
                <w:sz w:val="13"/>
                <w:szCs w:val="13"/>
                <w:color w:val="auto"/>
              </w:rPr>
            </w:pPr>
          </w:p>
        </w:tc>
        <w:tc>
          <w:tcPr>
            <w:tcW w:w="14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Cumulative Number of</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300" w:type="dxa"/>
            <w:vAlign w:val="bottom"/>
            <w:gridSpan w:val="4"/>
            <w:vMerge w:val="restart"/>
          </w:tcPr>
          <w:p>
            <w:pPr>
              <w:jc w:val="right"/>
              <w:ind w:right="322"/>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3"/>
              </w:rPr>
              <w:t>Ended</w:t>
            </w:r>
          </w:p>
        </w:tc>
        <w:tc>
          <w:tcPr>
            <w:tcW w:w="720" w:type="dxa"/>
            <w:vAlign w:val="bottom"/>
          </w:tcPr>
          <w:p>
            <w:pPr>
              <w:spacing w:after="0"/>
              <w:rPr>
                <w:sz w:val="13"/>
                <w:szCs w:val="13"/>
                <w:color w:val="auto"/>
              </w:rPr>
            </w:pPr>
          </w:p>
        </w:tc>
        <w:tc>
          <w:tcPr>
            <w:tcW w:w="14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Reported Claims by</w:t>
            </w:r>
          </w:p>
        </w:tc>
        <w:tc>
          <w:tcPr>
            <w:tcW w:w="0" w:type="dxa"/>
            <w:vAlign w:val="bottom"/>
          </w:tcPr>
          <w:p>
            <w:pPr>
              <w:spacing w:after="0"/>
              <w:rPr>
                <w:sz w:val="1"/>
                <w:szCs w:val="1"/>
                <w:color w:val="auto"/>
              </w:rPr>
            </w:pPr>
          </w:p>
        </w:tc>
      </w:tr>
      <w:tr>
        <w:trPr>
          <w:trHeight w:val="150"/>
        </w:trPr>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Accident</w:t>
            </w:r>
          </w:p>
        </w:tc>
        <w:tc>
          <w:tcPr>
            <w:tcW w:w="9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4"/>
            <w:vMerge w:val="continue"/>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June 30,</w:t>
            </w:r>
          </w:p>
        </w:tc>
        <w:tc>
          <w:tcPr>
            <w:tcW w:w="720" w:type="dxa"/>
            <w:vAlign w:val="bottom"/>
          </w:tcPr>
          <w:p>
            <w:pPr>
              <w:jc w:val="right"/>
              <w:ind w:right="83"/>
              <w:spacing w:after="0" w:line="125" w:lineRule="exact"/>
              <w:rPr>
                <w:sz w:val="20"/>
                <w:szCs w:val="20"/>
                <w:color w:val="auto"/>
              </w:rPr>
            </w:pPr>
            <w:r>
              <w:rPr>
                <w:rFonts w:ascii="Arial" w:cs="Arial" w:eastAsia="Arial" w:hAnsi="Arial"/>
                <w:sz w:val="14"/>
                <w:szCs w:val="14"/>
                <w:b w:val="1"/>
                <w:bCs w:val="1"/>
                <w:color w:val="auto"/>
              </w:rPr>
              <w:t>IBNR</w:t>
            </w:r>
          </w:p>
        </w:tc>
        <w:tc>
          <w:tcPr>
            <w:tcW w:w="14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Accident Year</w:t>
            </w:r>
          </w:p>
        </w:tc>
        <w:tc>
          <w:tcPr>
            <w:tcW w:w="0" w:type="dxa"/>
            <w:vAlign w:val="bottom"/>
          </w:tcPr>
          <w:p>
            <w:pPr>
              <w:spacing w:after="0"/>
              <w:rPr>
                <w:sz w:val="1"/>
                <w:szCs w:val="1"/>
                <w:color w:val="auto"/>
              </w:rPr>
            </w:pPr>
          </w:p>
        </w:tc>
      </w:tr>
      <w:tr>
        <w:trPr>
          <w:trHeight w:val="144"/>
        </w:trPr>
        <w:tc>
          <w:tcPr>
            <w:tcW w:w="8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94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2009</w:t>
            </w:r>
          </w:p>
        </w:tc>
        <w:tc>
          <w:tcPr>
            <w:tcW w:w="80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2010</w:t>
            </w:r>
          </w:p>
        </w:tc>
        <w:tc>
          <w:tcPr>
            <w:tcW w:w="9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123"/>
              <w:spacing w:after="0" w:line="157" w:lineRule="exact"/>
              <w:rPr>
                <w:sz w:val="20"/>
                <w:szCs w:val="20"/>
                <w:color w:val="auto"/>
              </w:rPr>
            </w:pPr>
            <w:r>
              <w:rPr>
                <w:rFonts w:ascii="Arial" w:cs="Arial" w:eastAsia="Arial" w:hAnsi="Arial"/>
                <w:sz w:val="14"/>
                <w:szCs w:val="14"/>
                <w:b w:val="1"/>
                <w:bCs w:val="1"/>
                <w:color w:val="auto"/>
                <w:w w:val="94"/>
              </w:rPr>
              <w:t>(Unaudited 2008 - 2015)</w:t>
            </w: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5"/>
              </w:rPr>
              <w:t>(Unaudited)</w:t>
            </w:r>
          </w:p>
        </w:tc>
        <w:tc>
          <w:tcPr>
            <w:tcW w:w="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2008</w:t>
            </w:r>
          </w:p>
        </w:tc>
        <w:tc>
          <w:tcPr>
            <w:tcW w:w="94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$ 4,505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$ 4,329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$ 4,223</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$ 4,189</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$ 4,068</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$ 4,055</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$ 4,056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$ 4,040</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$ 4,038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$ 4,038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w:t>
            </w:r>
          </w:p>
        </w:tc>
        <w:tc>
          <w:tcPr>
            <w:tcW w:w="14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196"/>
        </w:trPr>
        <w:tc>
          <w:tcPr>
            <w:tcW w:w="820" w:type="dxa"/>
            <w:vAlign w:val="bottom"/>
          </w:tcPr>
          <w:p>
            <w:pPr>
              <w:jc w:val="center"/>
              <w:spacing w:after="0"/>
              <w:rPr>
                <w:sz w:val="20"/>
                <w:szCs w:val="20"/>
                <w:color w:val="auto"/>
              </w:rPr>
            </w:pPr>
            <w:r>
              <w:rPr>
                <w:rFonts w:ascii="Arial" w:cs="Arial" w:eastAsia="Arial" w:hAnsi="Arial"/>
                <w:sz w:val="16"/>
                <w:szCs w:val="16"/>
                <w:color w:val="auto"/>
                <w:w w:val="84"/>
              </w:rPr>
              <w:t>2009</w:t>
            </w:r>
          </w:p>
        </w:tc>
        <w:tc>
          <w:tcPr>
            <w:tcW w:w="9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4,403</w:t>
            </w:r>
          </w:p>
        </w:tc>
        <w:tc>
          <w:tcPr>
            <w:tcW w:w="800" w:type="dxa"/>
            <w:vAlign w:val="bottom"/>
          </w:tcPr>
          <w:p>
            <w:pPr>
              <w:jc w:val="right"/>
              <w:spacing w:after="0"/>
              <w:rPr>
                <w:sz w:val="20"/>
                <w:szCs w:val="20"/>
                <w:color w:val="auto"/>
              </w:rPr>
            </w:pPr>
            <w:r>
              <w:rPr>
                <w:rFonts w:ascii="Arial" w:cs="Arial" w:eastAsia="Arial" w:hAnsi="Arial"/>
                <w:sz w:val="16"/>
                <w:szCs w:val="16"/>
                <w:color w:val="auto"/>
              </w:rPr>
              <w:t>4,254</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4,287</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4,384</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4,511</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4,609</w:t>
            </w:r>
          </w:p>
        </w:tc>
        <w:tc>
          <w:tcPr>
            <w:tcW w:w="680" w:type="dxa"/>
            <w:vAlign w:val="bottom"/>
          </w:tcPr>
          <w:p>
            <w:pPr>
              <w:jc w:val="right"/>
              <w:spacing w:after="0"/>
              <w:rPr>
                <w:sz w:val="20"/>
                <w:szCs w:val="20"/>
                <w:color w:val="auto"/>
              </w:rPr>
            </w:pPr>
            <w:r>
              <w:rPr>
                <w:rFonts w:ascii="Arial" w:cs="Arial" w:eastAsia="Arial" w:hAnsi="Arial"/>
                <w:sz w:val="16"/>
                <w:szCs w:val="16"/>
                <w:color w:val="auto"/>
              </w:rPr>
              <w:t>4,616</w:t>
            </w:r>
          </w:p>
        </w:tc>
        <w:tc>
          <w:tcPr>
            <w:tcW w:w="2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4,667</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4,667</w:t>
            </w: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1480" w:type="dxa"/>
            <w:vAlign w:val="bottom"/>
          </w:tcPr>
          <w:p>
            <w:pPr>
              <w:ind w:left="900"/>
              <w:spacing w:after="0"/>
              <w:rPr>
                <w:sz w:val="20"/>
                <w:szCs w:val="20"/>
                <w:color w:val="auto"/>
              </w:rPr>
            </w:pPr>
            <w:r>
              <w:rPr>
                <w:rFonts w:ascii="Arial" w:cs="Arial" w:eastAsia="Arial" w:hAnsi="Arial"/>
                <w:sz w:val="16"/>
                <w:szCs w:val="16"/>
                <w:color w:val="auto"/>
              </w:rPr>
              <w:t>1,136</w:t>
            </w:r>
          </w:p>
        </w:tc>
        <w:tc>
          <w:tcPr>
            <w:tcW w:w="0" w:type="dxa"/>
            <w:vAlign w:val="bottom"/>
          </w:tcPr>
          <w:p>
            <w:pPr>
              <w:spacing w:after="0"/>
              <w:rPr>
                <w:sz w:val="1"/>
                <w:szCs w:val="1"/>
                <w:color w:val="auto"/>
              </w:rPr>
            </w:pPr>
          </w:p>
        </w:tc>
      </w:tr>
      <w:tr>
        <w:trPr>
          <w:trHeight w:val="196"/>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2010</w:t>
            </w: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5,707</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6,429</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6,623</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6,912</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6,838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6,848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196"/>
        </w:trPr>
        <w:tc>
          <w:tcPr>
            <w:tcW w:w="820" w:type="dxa"/>
            <w:vAlign w:val="bottom"/>
          </w:tcPr>
          <w:p>
            <w:pPr>
              <w:jc w:val="center"/>
              <w:spacing w:after="0"/>
              <w:rPr>
                <w:sz w:val="20"/>
                <w:szCs w:val="20"/>
                <w:color w:val="auto"/>
              </w:rPr>
            </w:pPr>
            <w:r>
              <w:rPr>
                <w:rFonts w:ascii="Arial" w:cs="Arial" w:eastAsia="Arial" w:hAnsi="Arial"/>
                <w:sz w:val="16"/>
                <w:szCs w:val="16"/>
                <w:color w:val="auto"/>
                <w:w w:val="84"/>
              </w:rPr>
              <w:t>2011</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7,603</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7,678</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8,618</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9,440</w:t>
            </w:r>
          </w:p>
        </w:tc>
        <w:tc>
          <w:tcPr>
            <w:tcW w:w="680" w:type="dxa"/>
            <w:vAlign w:val="bottom"/>
          </w:tcPr>
          <w:p>
            <w:pPr>
              <w:jc w:val="right"/>
              <w:spacing w:after="0"/>
              <w:rPr>
                <w:sz w:val="20"/>
                <w:szCs w:val="20"/>
                <w:color w:val="auto"/>
              </w:rPr>
            </w:pPr>
            <w:r>
              <w:rPr>
                <w:rFonts w:ascii="Arial" w:cs="Arial" w:eastAsia="Arial" w:hAnsi="Arial"/>
                <w:sz w:val="16"/>
                <w:szCs w:val="16"/>
                <w:color w:val="auto"/>
              </w:rPr>
              <w:t>9,198</w:t>
            </w:r>
          </w:p>
        </w:tc>
        <w:tc>
          <w:tcPr>
            <w:tcW w:w="2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9,066</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9,121</w:t>
            </w:r>
          </w:p>
        </w:tc>
        <w:tc>
          <w:tcPr>
            <w:tcW w:w="720" w:type="dxa"/>
            <w:vAlign w:val="bottom"/>
          </w:tcPr>
          <w:p>
            <w:pPr>
              <w:jc w:val="right"/>
              <w:spacing w:after="0"/>
              <w:rPr>
                <w:sz w:val="20"/>
                <w:szCs w:val="20"/>
                <w:color w:val="auto"/>
              </w:rPr>
            </w:pPr>
            <w:r>
              <w:rPr>
                <w:rFonts w:ascii="Arial" w:cs="Arial" w:eastAsia="Arial" w:hAnsi="Arial"/>
                <w:sz w:val="16"/>
                <w:szCs w:val="16"/>
                <w:color w:val="auto"/>
              </w:rPr>
              <w:t>57</w:t>
            </w:r>
          </w:p>
        </w:tc>
        <w:tc>
          <w:tcPr>
            <w:tcW w:w="1480" w:type="dxa"/>
            <w:vAlign w:val="bottom"/>
          </w:tcPr>
          <w:p>
            <w:pPr>
              <w:ind w:left="900"/>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196"/>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2012</w:t>
            </w: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9,539</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9,344</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10,278</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10,382</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10,582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10,703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480" w:type="dxa"/>
            <w:vAlign w:val="bottom"/>
            <w:shd w:val="clear" w:color="auto" w:fill="CCEEFF"/>
          </w:tcPr>
          <w:p>
            <w:pPr>
              <w:ind w:left="900"/>
              <w:spacing w:after="0"/>
              <w:rPr>
                <w:sz w:val="20"/>
                <w:szCs w:val="20"/>
                <w:color w:val="auto"/>
              </w:rPr>
            </w:pPr>
            <w:r>
              <w:rPr>
                <w:rFonts w:ascii="Arial" w:cs="Arial" w:eastAsia="Arial" w:hAnsi="Arial"/>
                <w:sz w:val="16"/>
                <w:szCs w:val="16"/>
                <w:color w:val="auto"/>
                <w:w w:val="87"/>
              </w:rPr>
              <w:t>4,702 (1)</w:t>
            </w:r>
          </w:p>
        </w:tc>
        <w:tc>
          <w:tcPr>
            <w:tcW w:w="0" w:type="dxa"/>
            <w:vAlign w:val="bottom"/>
          </w:tcPr>
          <w:p>
            <w:pPr>
              <w:spacing w:after="0"/>
              <w:rPr>
                <w:sz w:val="1"/>
                <w:szCs w:val="1"/>
                <w:color w:val="auto"/>
              </w:rPr>
            </w:pPr>
          </w:p>
        </w:tc>
      </w:tr>
      <w:tr>
        <w:trPr>
          <w:trHeight w:val="196"/>
        </w:trPr>
        <w:tc>
          <w:tcPr>
            <w:tcW w:w="820" w:type="dxa"/>
            <w:vAlign w:val="bottom"/>
          </w:tcPr>
          <w:p>
            <w:pPr>
              <w:jc w:val="center"/>
              <w:spacing w:after="0"/>
              <w:rPr>
                <w:sz w:val="20"/>
                <w:szCs w:val="20"/>
                <w:color w:val="auto"/>
              </w:rPr>
            </w:pPr>
            <w:r>
              <w:rPr>
                <w:rFonts w:ascii="Arial" w:cs="Arial" w:eastAsia="Arial" w:hAnsi="Arial"/>
                <w:sz w:val="16"/>
                <w:szCs w:val="16"/>
                <w:color w:val="auto"/>
                <w:w w:val="84"/>
              </w:rPr>
              <w:t>2013</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10,728</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9,745</w:t>
            </w:r>
          </w:p>
        </w:tc>
        <w:tc>
          <w:tcPr>
            <w:tcW w:w="680" w:type="dxa"/>
            <w:vAlign w:val="bottom"/>
          </w:tcPr>
          <w:p>
            <w:pPr>
              <w:jc w:val="right"/>
              <w:spacing w:after="0"/>
              <w:rPr>
                <w:sz w:val="20"/>
                <w:szCs w:val="20"/>
                <w:color w:val="auto"/>
              </w:rPr>
            </w:pPr>
            <w:r>
              <w:rPr>
                <w:rFonts w:ascii="Arial" w:cs="Arial" w:eastAsia="Arial" w:hAnsi="Arial"/>
                <w:sz w:val="16"/>
                <w:szCs w:val="16"/>
                <w:color w:val="auto"/>
              </w:rPr>
              <w:t>9,424</w:t>
            </w:r>
          </w:p>
        </w:tc>
        <w:tc>
          <w:tcPr>
            <w:tcW w:w="2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9,621</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9,666</w:t>
            </w:r>
          </w:p>
        </w:tc>
        <w:tc>
          <w:tcPr>
            <w:tcW w:w="720" w:type="dxa"/>
            <w:vAlign w:val="bottom"/>
          </w:tcPr>
          <w:p>
            <w:pPr>
              <w:jc w:val="right"/>
              <w:spacing w:after="0"/>
              <w:rPr>
                <w:sz w:val="20"/>
                <w:szCs w:val="20"/>
                <w:color w:val="auto"/>
              </w:rPr>
            </w:pPr>
            <w:r>
              <w:rPr>
                <w:rFonts w:ascii="Arial" w:cs="Arial" w:eastAsia="Arial" w:hAnsi="Arial"/>
                <w:sz w:val="16"/>
                <w:szCs w:val="16"/>
                <w:color w:val="auto"/>
              </w:rPr>
              <w:t>341</w:t>
            </w:r>
          </w:p>
        </w:tc>
        <w:tc>
          <w:tcPr>
            <w:tcW w:w="1480" w:type="dxa"/>
            <w:vAlign w:val="bottom"/>
          </w:tcPr>
          <w:p>
            <w:pPr>
              <w:ind w:left="900"/>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196"/>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2014</w:t>
            </w: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14,193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14,260</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14,218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14,368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4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2,123</w:t>
            </w:r>
          </w:p>
        </w:tc>
        <w:tc>
          <w:tcPr>
            <w:tcW w:w="0" w:type="dxa"/>
            <w:vAlign w:val="bottom"/>
          </w:tcPr>
          <w:p>
            <w:pPr>
              <w:spacing w:after="0"/>
              <w:rPr>
                <w:sz w:val="1"/>
                <w:szCs w:val="1"/>
                <w:color w:val="auto"/>
              </w:rPr>
            </w:pPr>
          </w:p>
        </w:tc>
      </w:tr>
      <w:tr>
        <w:trPr>
          <w:trHeight w:val="196"/>
        </w:trPr>
        <w:tc>
          <w:tcPr>
            <w:tcW w:w="820" w:type="dxa"/>
            <w:vAlign w:val="bottom"/>
          </w:tcPr>
          <w:p>
            <w:pPr>
              <w:jc w:val="center"/>
              <w:spacing w:after="0"/>
              <w:rPr>
                <w:sz w:val="20"/>
                <w:szCs w:val="20"/>
                <w:color w:val="auto"/>
              </w:rPr>
            </w:pPr>
            <w:r>
              <w:rPr>
                <w:rFonts w:ascii="Arial" w:cs="Arial" w:eastAsia="Arial" w:hAnsi="Arial"/>
                <w:sz w:val="16"/>
                <w:szCs w:val="16"/>
                <w:color w:val="auto"/>
                <w:w w:val="84"/>
              </w:rPr>
              <w:t>2015</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22,340</w:t>
            </w:r>
          </w:p>
        </w:tc>
        <w:tc>
          <w:tcPr>
            <w:tcW w:w="2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21,994</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21,933</w:t>
            </w:r>
          </w:p>
        </w:tc>
        <w:tc>
          <w:tcPr>
            <w:tcW w:w="720" w:type="dxa"/>
            <w:vAlign w:val="bottom"/>
          </w:tcPr>
          <w:p>
            <w:pPr>
              <w:jc w:val="right"/>
              <w:spacing w:after="0"/>
              <w:rPr>
                <w:sz w:val="20"/>
                <w:szCs w:val="20"/>
                <w:color w:val="auto"/>
              </w:rPr>
            </w:pPr>
            <w:r>
              <w:rPr>
                <w:rFonts w:ascii="Arial" w:cs="Arial" w:eastAsia="Arial" w:hAnsi="Arial"/>
                <w:sz w:val="16"/>
                <w:szCs w:val="16"/>
                <w:color w:val="auto"/>
              </w:rPr>
              <w:t>1,931</w:t>
            </w:r>
          </w:p>
        </w:tc>
        <w:tc>
          <w:tcPr>
            <w:tcW w:w="1480" w:type="dxa"/>
            <w:vAlign w:val="bottom"/>
          </w:tcPr>
          <w:p>
            <w:pPr>
              <w:ind w:left="900"/>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196"/>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2016</w:t>
            </w: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26,062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25,444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3,835</w:t>
            </w:r>
          </w:p>
        </w:tc>
        <w:tc>
          <w:tcPr>
            <w:tcW w:w="14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2,815</w:t>
            </w:r>
          </w:p>
        </w:tc>
        <w:tc>
          <w:tcPr>
            <w:tcW w:w="0" w:type="dxa"/>
            <w:vAlign w:val="bottom"/>
          </w:tcPr>
          <w:p>
            <w:pPr>
              <w:spacing w:after="0"/>
              <w:rPr>
                <w:sz w:val="1"/>
                <w:szCs w:val="1"/>
                <w:color w:val="auto"/>
              </w:rPr>
            </w:pPr>
          </w:p>
        </w:tc>
      </w:tr>
      <w:tr>
        <w:trPr>
          <w:trHeight w:val="196"/>
        </w:trPr>
        <w:tc>
          <w:tcPr>
            <w:tcW w:w="820" w:type="dxa"/>
            <w:vAlign w:val="bottom"/>
          </w:tcPr>
          <w:p>
            <w:pPr>
              <w:jc w:val="center"/>
              <w:spacing w:after="0"/>
              <w:rPr>
                <w:sz w:val="20"/>
                <w:szCs w:val="20"/>
                <w:color w:val="auto"/>
              </w:rPr>
            </w:pPr>
            <w:r>
              <w:rPr>
                <w:rFonts w:ascii="Arial" w:cs="Arial" w:eastAsia="Arial" w:hAnsi="Arial"/>
                <w:sz w:val="16"/>
                <w:szCs w:val="16"/>
                <w:color w:val="auto"/>
                <w:w w:val="84"/>
              </w:rPr>
              <w:t>2017</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14,960</w:t>
            </w:r>
          </w:p>
        </w:tc>
        <w:tc>
          <w:tcPr>
            <w:tcW w:w="720" w:type="dxa"/>
            <w:vAlign w:val="bottom"/>
          </w:tcPr>
          <w:p>
            <w:pPr>
              <w:jc w:val="right"/>
              <w:spacing w:after="0"/>
              <w:rPr>
                <w:sz w:val="20"/>
                <w:szCs w:val="20"/>
                <w:color w:val="auto"/>
              </w:rPr>
            </w:pPr>
            <w:r>
              <w:rPr>
                <w:rFonts w:ascii="Arial" w:cs="Arial" w:eastAsia="Arial" w:hAnsi="Arial"/>
                <w:sz w:val="16"/>
                <w:szCs w:val="16"/>
                <w:color w:val="auto"/>
              </w:rPr>
              <w:t>4,001</w:t>
            </w:r>
          </w:p>
        </w:tc>
        <w:tc>
          <w:tcPr>
            <w:tcW w:w="1480" w:type="dxa"/>
            <w:vAlign w:val="bottom"/>
          </w:tcPr>
          <w:p>
            <w:pPr>
              <w:ind w:left="900"/>
              <w:spacing w:after="0"/>
              <w:rPr>
                <w:sz w:val="20"/>
                <w:szCs w:val="20"/>
                <w:color w:val="auto"/>
              </w:rPr>
            </w:pPr>
            <w:r>
              <w:rPr>
                <w:rFonts w:ascii="Arial" w:cs="Arial" w:eastAsia="Arial" w:hAnsi="Arial"/>
                <w:sz w:val="16"/>
                <w:szCs w:val="16"/>
                <w:color w:val="auto"/>
              </w:rPr>
              <w:t>1,461</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Total</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$ 121,748</w:t>
            </w:r>
          </w:p>
        </w:tc>
        <w:tc>
          <w:tcPr>
            <w:tcW w:w="7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(1) Reported claims for accident year 2012 includes 3,406 claims from Superstorm Sandy.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 Lines of Business</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gridSpan w:val="8"/>
          </w:tcPr>
          <w:p>
            <w:pPr>
              <w:jc w:val="right"/>
              <w:ind w:right="302"/>
              <w:spacing w:after="0"/>
              <w:rPr>
                <w:sz w:val="20"/>
                <w:szCs w:val="20"/>
                <w:color w:val="auto"/>
              </w:rPr>
            </w:pPr>
            <w:r>
              <w:rPr>
                <w:rFonts w:ascii="Arial" w:cs="Arial" w:eastAsia="Arial" w:hAnsi="Arial"/>
                <w:sz w:val="14"/>
                <w:szCs w:val="14"/>
                <w:b w:val="1"/>
                <w:bCs w:val="1"/>
                <w:color w:val="auto"/>
              </w:rPr>
              <w:t>Cumulative Paid Claims and Allocated Claim Adjustment Expenses, Net of Reinsurance</w:t>
            </w: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0" w:type="dxa"/>
            <w:vAlign w:val="bottom"/>
            <w:gridSpan w:val="3"/>
            <w:vMerge w:val="restart"/>
          </w:tcPr>
          <w:p>
            <w:pPr>
              <w:jc w:val="right"/>
              <w:ind w:right="82"/>
              <w:spacing w:after="0"/>
              <w:rPr>
                <w:sz w:val="20"/>
                <w:szCs w:val="20"/>
                <w:color w:val="auto"/>
              </w:rPr>
            </w:pPr>
            <w:r>
              <w:rPr>
                <w:rFonts w:ascii="Arial" w:cs="Arial" w:eastAsia="Arial" w:hAnsi="Arial"/>
                <w:sz w:val="14"/>
                <w:szCs w:val="14"/>
                <w:b w:val="1"/>
                <w:bCs w:val="1"/>
                <w:color w:val="auto"/>
                <w:w w:val="96"/>
              </w:rPr>
              <w:t>For the Years Ended December 31,</w:t>
            </w: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3"/>
              </w:rPr>
              <w:t>Six Months</w:t>
            </w:r>
          </w:p>
        </w:tc>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Accident</w:t>
            </w:r>
          </w:p>
        </w:tc>
        <w:tc>
          <w:tcPr>
            <w:tcW w:w="9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vMerge w:val="continue"/>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gridSpan w:val="2"/>
          </w:tcPr>
          <w:p>
            <w:pPr>
              <w:jc w:val="center"/>
              <w:ind w:right="20"/>
              <w:spacing w:after="0" w:line="125" w:lineRule="exact"/>
              <w:rPr>
                <w:sz w:val="20"/>
                <w:szCs w:val="20"/>
                <w:color w:val="auto"/>
              </w:rPr>
            </w:pPr>
            <w:r>
              <w:rPr>
                <w:rFonts w:ascii="Arial" w:cs="Arial" w:eastAsia="Arial" w:hAnsi="Arial"/>
                <w:sz w:val="14"/>
                <w:szCs w:val="14"/>
                <w:b w:val="1"/>
                <w:bCs w:val="1"/>
                <w:color w:val="auto"/>
                <w:w w:val="93"/>
              </w:rPr>
              <w:t>Ended June 30,</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8"/>
              </w:rPr>
              <w:t>Year</w:t>
            </w:r>
          </w:p>
        </w:tc>
        <w:tc>
          <w:tcPr>
            <w:tcW w:w="940" w:type="dxa"/>
            <w:vAlign w:val="bottom"/>
            <w:tcBorders>
              <w:bottom w:val="single" w:sz="8" w:color="auto"/>
            </w:tcBorders>
          </w:tcPr>
          <w:p>
            <w:pPr>
              <w:jc w:val="right"/>
              <w:ind w:right="324"/>
              <w:spacing w:after="0" w:line="151" w:lineRule="exact"/>
              <w:rPr>
                <w:sz w:val="20"/>
                <w:szCs w:val="20"/>
                <w:color w:val="auto"/>
              </w:rPr>
            </w:pPr>
            <w:r>
              <w:rPr>
                <w:rFonts w:ascii="Arial" w:cs="Arial" w:eastAsia="Arial" w:hAnsi="Arial"/>
                <w:sz w:val="14"/>
                <w:szCs w:val="14"/>
                <w:b w:val="1"/>
                <w:bCs w:val="1"/>
                <w:color w:val="auto"/>
              </w:rPr>
              <w:t>2008</w:t>
            </w:r>
          </w:p>
        </w:tc>
        <w:tc>
          <w:tcPr>
            <w:tcW w:w="800" w:type="dxa"/>
            <w:vAlign w:val="bottom"/>
            <w:tcBorders>
              <w:bottom w:val="single" w:sz="8" w:color="auto"/>
            </w:tcBorders>
          </w:tcPr>
          <w:p>
            <w:pPr>
              <w:jc w:val="right"/>
              <w:ind w:right="325"/>
              <w:spacing w:after="0" w:line="151"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jc w:val="right"/>
              <w:ind w:right="203"/>
              <w:spacing w:after="0" w:line="151" w:lineRule="exact"/>
              <w:rPr>
                <w:sz w:val="20"/>
                <w:szCs w:val="20"/>
                <w:color w:val="auto"/>
              </w:rPr>
            </w:pPr>
            <w:r>
              <w:rPr>
                <w:rFonts w:ascii="Arial" w:cs="Arial" w:eastAsia="Arial" w:hAnsi="Arial"/>
                <w:sz w:val="14"/>
                <w:szCs w:val="14"/>
                <w:b w:val="1"/>
                <w:bCs w:val="1"/>
                <w:color w:val="auto"/>
              </w:rPr>
              <w:t>2010</w:t>
            </w:r>
          </w:p>
        </w:tc>
        <w:tc>
          <w:tcPr>
            <w:tcW w:w="900" w:type="dxa"/>
            <w:vAlign w:val="bottom"/>
            <w:tcBorders>
              <w:bottom w:val="single" w:sz="8" w:color="auto"/>
            </w:tcBorders>
          </w:tcPr>
          <w:p>
            <w:pPr>
              <w:jc w:val="right"/>
              <w:ind w:right="304"/>
              <w:spacing w:after="0" w:line="151"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auto"/>
            </w:tcBorders>
          </w:tcPr>
          <w:p>
            <w:pPr>
              <w:jc w:val="right"/>
              <w:ind w:right="302"/>
              <w:spacing w:after="0" w:line="151"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jc w:val="right"/>
              <w:ind w:right="202"/>
              <w:spacing w:after="0" w:line="151" w:lineRule="exact"/>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jc w:val="right"/>
              <w:ind w:right="304"/>
              <w:spacing w:after="0" w:line="151" w:lineRule="exact"/>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jc w:val="right"/>
              <w:ind w:right="302"/>
              <w:spacing w:after="0" w:line="151"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jc w:val="right"/>
              <w:ind w:right="182"/>
              <w:spacing w:after="0" w:line="151" w:lineRule="exact"/>
              <w:rPr>
                <w:sz w:val="20"/>
                <w:szCs w:val="20"/>
                <w:color w:val="auto"/>
              </w:rPr>
            </w:pPr>
            <w:r>
              <w:rPr>
                <w:rFonts w:ascii="Arial" w:cs="Arial" w:eastAsia="Arial" w:hAnsi="Arial"/>
                <w:sz w:val="14"/>
                <w:szCs w:val="14"/>
                <w:b w:val="1"/>
                <w:bCs w:val="1"/>
                <w:color w:val="auto"/>
              </w:rPr>
              <w:t>2016</w:t>
            </w:r>
          </w:p>
        </w:tc>
        <w:tc>
          <w:tcPr>
            <w:tcW w:w="10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0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w w:val="95"/>
              </w:rPr>
              <w:t>(Unaudited 2008 - 2015)</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(Unaudited)</w:t>
            </w: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2008</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$2,406</w:t>
            </w:r>
          </w:p>
        </w:tc>
        <w:tc>
          <w:tcPr>
            <w:tcW w:w="8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$3,346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$3,969</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$4,003</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$4,029</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$4,028</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$4,031</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w:t>
            </w:r>
          </w:p>
        </w:tc>
        <w:tc>
          <w:tcPr>
            <w:tcW w:w="20" w:type="dxa"/>
            <w:vAlign w:val="bottom"/>
            <w:vMerge w:val="continue"/>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spacing w:after="0"/>
              <w:rPr>
                <w:sz w:val="20"/>
                <w:szCs w:val="20"/>
                <w:color w:val="auto"/>
              </w:rPr>
            </w:pPr>
            <w:r>
              <w:rPr>
                <w:rFonts w:ascii="Arial" w:cs="Arial" w:eastAsia="Arial" w:hAnsi="Arial"/>
                <w:sz w:val="16"/>
                <w:szCs w:val="16"/>
                <w:color w:val="auto"/>
                <w:w w:val="84"/>
              </w:rPr>
              <w:t>2009</w:t>
            </w:r>
          </w:p>
        </w:tc>
        <w:tc>
          <w:tcPr>
            <w:tcW w:w="940" w:type="dxa"/>
            <w:vAlign w:val="bottom"/>
          </w:tcPr>
          <w:p>
            <w:pPr>
              <w:spacing w:after="0"/>
              <w:rPr>
                <w:sz w:val="17"/>
                <w:szCs w:val="17"/>
                <w:color w:val="auto"/>
              </w:rPr>
            </w:pPr>
          </w:p>
        </w:tc>
        <w:tc>
          <w:tcPr>
            <w:tcW w:w="800" w:type="dxa"/>
            <w:vAlign w:val="bottom"/>
          </w:tcPr>
          <w:p>
            <w:pPr>
              <w:jc w:val="right"/>
              <w:ind w:right="65"/>
              <w:spacing w:after="0"/>
              <w:rPr>
                <w:sz w:val="20"/>
                <w:szCs w:val="20"/>
                <w:color w:val="auto"/>
              </w:rPr>
            </w:pPr>
            <w:r>
              <w:rPr>
                <w:rFonts w:ascii="Arial" w:cs="Arial" w:eastAsia="Arial" w:hAnsi="Arial"/>
                <w:sz w:val="16"/>
                <w:szCs w:val="16"/>
                <w:color w:val="auto"/>
              </w:rPr>
              <w:t>2,298</w:t>
            </w:r>
          </w:p>
        </w:tc>
        <w:tc>
          <w:tcPr>
            <w:tcW w:w="680" w:type="dxa"/>
            <w:vAlign w:val="bottom"/>
          </w:tcPr>
          <w:p>
            <w:pPr>
              <w:jc w:val="right"/>
              <w:spacing w:after="0"/>
              <w:rPr>
                <w:sz w:val="20"/>
                <w:szCs w:val="20"/>
                <w:color w:val="auto"/>
              </w:rPr>
            </w:pPr>
            <w:r>
              <w:rPr>
                <w:rFonts w:ascii="Arial" w:cs="Arial" w:eastAsia="Arial" w:hAnsi="Arial"/>
                <w:sz w:val="16"/>
                <w:szCs w:val="16"/>
                <w:color w:val="auto"/>
              </w:rPr>
              <w:t>3,068</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3,607</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3,920</w:t>
            </w:r>
          </w:p>
        </w:tc>
        <w:tc>
          <w:tcPr>
            <w:tcW w:w="700" w:type="dxa"/>
            <w:vAlign w:val="bottom"/>
          </w:tcPr>
          <w:p>
            <w:pPr>
              <w:jc w:val="right"/>
              <w:spacing w:after="0"/>
              <w:rPr>
                <w:sz w:val="20"/>
                <w:szCs w:val="20"/>
                <w:color w:val="auto"/>
              </w:rPr>
            </w:pPr>
            <w:r>
              <w:rPr>
                <w:rFonts w:ascii="Arial" w:cs="Arial" w:eastAsia="Arial" w:hAnsi="Arial"/>
                <w:sz w:val="16"/>
                <w:szCs w:val="16"/>
                <w:color w:val="auto"/>
              </w:rPr>
              <w:t>4,134</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4,362</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4,424</w:t>
            </w:r>
          </w:p>
        </w:tc>
        <w:tc>
          <w:tcPr>
            <w:tcW w:w="680" w:type="dxa"/>
            <w:vAlign w:val="bottom"/>
          </w:tcPr>
          <w:p>
            <w:pPr>
              <w:jc w:val="right"/>
              <w:spacing w:after="0"/>
              <w:rPr>
                <w:sz w:val="20"/>
                <w:szCs w:val="20"/>
                <w:color w:val="auto"/>
              </w:rPr>
            </w:pPr>
            <w:r>
              <w:rPr>
                <w:rFonts w:ascii="Arial" w:cs="Arial" w:eastAsia="Arial" w:hAnsi="Arial"/>
                <w:sz w:val="16"/>
                <w:szCs w:val="16"/>
                <w:color w:val="auto"/>
              </w:rPr>
              <w:t>4,468</w:t>
            </w:r>
          </w:p>
        </w:tc>
        <w:tc>
          <w:tcPr>
            <w:tcW w:w="1000" w:type="dxa"/>
            <w:vAlign w:val="bottom"/>
          </w:tcPr>
          <w:p>
            <w:pPr>
              <w:jc w:val="right"/>
              <w:spacing w:after="0"/>
              <w:rPr>
                <w:sz w:val="20"/>
                <w:szCs w:val="20"/>
                <w:color w:val="auto"/>
              </w:rPr>
            </w:pPr>
            <w:r>
              <w:rPr>
                <w:rFonts w:ascii="Arial" w:cs="Arial" w:eastAsia="Arial" w:hAnsi="Arial"/>
                <w:sz w:val="16"/>
                <w:szCs w:val="16"/>
                <w:color w:val="auto"/>
              </w:rPr>
              <w:t>4,472</w:t>
            </w: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2010</w:t>
            </w: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3,947</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4,972</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6,323</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6,576</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6,767</w:t>
            </w: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spacing w:after="0"/>
              <w:rPr>
                <w:sz w:val="20"/>
                <w:szCs w:val="20"/>
                <w:color w:val="auto"/>
              </w:rPr>
            </w:pPr>
            <w:r>
              <w:rPr>
                <w:rFonts w:ascii="Arial" w:cs="Arial" w:eastAsia="Arial" w:hAnsi="Arial"/>
                <w:sz w:val="16"/>
                <w:szCs w:val="16"/>
                <w:color w:val="auto"/>
                <w:w w:val="84"/>
              </w:rPr>
              <w:t>2011</w:t>
            </w: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3,740</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5,117</w:t>
            </w:r>
          </w:p>
        </w:tc>
        <w:tc>
          <w:tcPr>
            <w:tcW w:w="700" w:type="dxa"/>
            <w:vAlign w:val="bottom"/>
          </w:tcPr>
          <w:p>
            <w:pPr>
              <w:jc w:val="right"/>
              <w:spacing w:after="0"/>
              <w:rPr>
                <w:sz w:val="20"/>
                <w:szCs w:val="20"/>
                <w:color w:val="auto"/>
              </w:rPr>
            </w:pPr>
            <w:r>
              <w:rPr>
                <w:rFonts w:ascii="Arial" w:cs="Arial" w:eastAsia="Arial" w:hAnsi="Arial"/>
                <w:sz w:val="16"/>
                <w:szCs w:val="16"/>
                <w:color w:val="auto"/>
              </w:rPr>
              <w:t>6,228</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7,170</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8,139</w:t>
            </w:r>
          </w:p>
        </w:tc>
        <w:tc>
          <w:tcPr>
            <w:tcW w:w="680" w:type="dxa"/>
            <w:vAlign w:val="bottom"/>
          </w:tcPr>
          <w:p>
            <w:pPr>
              <w:jc w:val="right"/>
              <w:spacing w:after="0"/>
              <w:rPr>
                <w:sz w:val="20"/>
                <w:szCs w:val="20"/>
                <w:color w:val="auto"/>
              </w:rPr>
            </w:pPr>
            <w:r>
              <w:rPr>
                <w:rFonts w:ascii="Arial" w:cs="Arial" w:eastAsia="Arial" w:hAnsi="Arial"/>
                <w:sz w:val="16"/>
                <w:szCs w:val="16"/>
                <w:color w:val="auto"/>
              </w:rPr>
              <w:t>8,540</w:t>
            </w:r>
          </w:p>
        </w:tc>
        <w:tc>
          <w:tcPr>
            <w:tcW w:w="1000" w:type="dxa"/>
            <w:vAlign w:val="bottom"/>
          </w:tcPr>
          <w:p>
            <w:pPr>
              <w:jc w:val="right"/>
              <w:spacing w:after="0"/>
              <w:rPr>
                <w:sz w:val="20"/>
                <w:szCs w:val="20"/>
                <w:color w:val="auto"/>
              </w:rPr>
            </w:pPr>
            <w:r>
              <w:rPr>
                <w:rFonts w:ascii="Arial" w:cs="Arial" w:eastAsia="Arial" w:hAnsi="Arial"/>
                <w:sz w:val="16"/>
                <w:szCs w:val="16"/>
                <w:color w:val="auto"/>
              </w:rPr>
              <w:t>8,623</w:t>
            </w: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2012</w:t>
            </w: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3,950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7,127</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8,196</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9,762</w:t>
            </w: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spacing w:after="0"/>
              <w:rPr>
                <w:sz w:val="20"/>
                <w:szCs w:val="20"/>
                <w:color w:val="auto"/>
              </w:rPr>
            </w:pPr>
            <w:r>
              <w:rPr>
                <w:rFonts w:ascii="Arial" w:cs="Arial" w:eastAsia="Arial" w:hAnsi="Arial"/>
                <w:sz w:val="16"/>
                <w:szCs w:val="16"/>
                <w:color w:val="auto"/>
                <w:w w:val="84"/>
              </w:rPr>
              <w:t>2013</w:t>
            </w: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3,405</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5,303</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6,633</w:t>
            </w:r>
          </w:p>
        </w:tc>
        <w:tc>
          <w:tcPr>
            <w:tcW w:w="680" w:type="dxa"/>
            <w:vAlign w:val="bottom"/>
          </w:tcPr>
          <w:p>
            <w:pPr>
              <w:jc w:val="right"/>
              <w:spacing w:after="0"/>
              <w:rPr>
                <w:sz w:val="20"/>
                <w:szCs w:val="20"/>
                <w:color w:val="auto"/>
              </w:rPr>
            </w:pPr>
            <w:r>
              <w:rPr>
                <w:rFonts w:ascii="Arial" w:cs="Arial" w:eastAsia="Arial" w:hAnsi="Arial"/>
                <w:sz w:val="16"/>
                <w:szCs w:val="16"/>
                <w:color w:val="auto"/>
              </w:rPr>
              <w:t>7,591</w:t>
            </w:r>
          </w:p>
        </w:tc>
        <w:tc>
          <w:tcPr>
            <w:tcW w:w="1000" w:type="dxa"/>
            <w:vAlign w:val="bottom"/>
          </w:tcPr>
          <w:p>
            <w:pPr>
              <w:jc w:val="right"/>
              <w:spacing w:after="0"/>
              <w:rPr>
                <w:sz w:val="20"/>
                <w:szCs w:val="20"/>
                <w:color w:val="auto"/>
              </w:rPr>
            </w:pPr>
            <w:r>
              <w:rPr>
                <w:rFonts w:ascii="Arial" w:cs="Arial" w:eastAsia="Arial" w:hAnsi="Arial"/>
                <w:sz w:val="16"/>
                <w:szCs w:val="16"/>
                <w:color w:val="auto"/>
              </w:rPr>
              <w:t>7,852</w:t>
            </w: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2014</w:t>
            </w: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5,710</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9,429</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10,738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11,080</w:t>
            </w: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spacing w:after="0"/>
              <w:rPr>
                <w:sz w:val="20"/>
                <w:szCs w:val="20"/>
                <w:color w:val="auto"/>
              </w:rPr>
            </w:pPr>
            <w:r>
              <w:rPr>
                <w:rFonts w:ascii="Arial" w:cs="Arial" w:eastAsia="Arial" w:hAnsi="Arial"/>
                <w:sz w:val="16"/>
                <w:szCs w:val="16"/>
                <w:color w:val="auto"/>
                <w:w w:val="84"/>
              </w:rPr>
              <w:t>2015</w:t>
            </w: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12,295</w:t>
            </w:r>
          </w:p>
        </w:tc>
        <w:tc>
          <w:tcPr>
            <w:tcW w:w="680" w:type="dxa"/>
            <w:vAlign w:val="bottom"/>
          </w:tcPr>
          <w:p>
            <w:pPr>
              <w:jc w:val="right"/>
              <w:spacing w:after="0"/>
              <w:rPr>
                <w:sz w:val="20"/>
                <w:szCs w:val="20"/>
                <w:color w:val="auto"/>
              </w:rPr>
            </w:pPr>
            <w:r>
              <w:rPr>
                <w:rFonts w:ascii="Arial" w:cs="Arial" w:eastAsia="Arial" w:hAnsi="Arial"/>
                <w:sz w:val="16"/>
                <w:szCs w:val="16"/>
                <w:color w:val="auto"/>
              </w:rPr>
              <w:t>16,181</w:t>
            </w:r>
          </w:p>
        </w:tc>
        <w:tc>
          <w:tcPr>
            <w:tcW w:w="1000" w:type="dxa"/>
            <w:vAlign w:val="bottom"/>
          </w:tcPr>
          <w:p>
            <w:pPr>
              <w:jc w:val="right"/>
              <w:spacing w:after="0"/>
              <w:rPr>
                <w:sz w:val="20"/>
                <w:szCs w:val="20"/>
                <w:color w:val="auto"/>
              </w:rPr>
            </w:pPr>
            <w:r>
              <w:rPr>
                <w:rFonts w:ascii="Arial" w:cs="Arial" w:eastAsia="Arial" w:hAnsi="Arial"/>
                <w:sz w:val="16"/>
                <w:szCs w:val="16"/>
                <w:color w:val="auto"/>
              </w:rPr>
              <w:t>17,242</w:t>
            </w: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2016</w:t>
            </w: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15,364</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18,749</w:t>
            </w: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20" w:type="dxa"/>
            <w:vAlign w:val="bottom"/>
          </w:tcPr>
          <w:p>
            <w:pPr>
              <w:jc w:val="center"/>
              <w:spacing w:after="0"/>
              <w:rPr>
                <w:sz w:val="20"/>
                <w:szCs w:val="20"/>
                <w:color w:val="auto"/>
              </w:rPr>
            </w:pPr>
            <w:r>
              <w:rPr>
                <w:rFonts w:ascii="Arial" w:cs="Arial" w:eastAsia="Arial" w:hAnsi="Arial"/>
                <w:sz w:val="16"/>
                <w:szCs w:val="16"/>
                <w:color w:val="auto"/>
                <w:w w:val="84"/>
              </w:rPr>
              <w:t>2017</w:t>
            </w: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6,954</w:t>
            </w:r>
          </w:p>
        </w:tc>
        <w:tc>
          <w:tcPr>
            <w:tcW w:w="20" w:type="dxa"/>
            <w:vAlign w:val="bottom"/>
            <w:tcBorders>
              <w:bottom w:val="single" w:sz="8" w:color="auto"/>
            </w:tcBorders>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$95,532</w:t>
            </w: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Borders>
              <w:top w:val="single" w:sz="8" w:color="CCEEFF"/>
            </w:tcBorders>
          </w:tcPr>
          <w:p>
            <w:pPr>
              <w:spacing w:after="0"/>
              <w:rPr>
                <w:sz w:val="17"/>
                <w:szCs w:val="17"/>
                <w:color w:val="auto"/>
              </w:rPr>
            </w:pPr>
          </w:p>
        </w:tc>
        <w:tc>
          <w:tcPr>
            <w:tcW w:w="7200" w:type="dxa"/>
            <w:vAlign w:val="bottom"/>
            <w:tcBorders>
              <w:top w:val="single" w:sz="8" w:color="CCEEFF"/>
            </w:tcBorders>
            <w:gridSpan w:val="9"/>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shd w:val="clear" w:color="auto" w:fill="CCEEFF"/>
          </w:tcPr>
          <w:p>
            <w:pPr>
              <w:spacing w:after="0"/>
              <w:rPr>
                <w:sz w:val="17"/>
                <w:szCs w:val="17"/>
                <w:color w:val="auto"/>
              </w:rPr>
            </w:pPr>
          </w:p>
        </w:tc>
        <w:tc>
          <w:tcPr>
            <w:tcW w:w="7200" w:type="dxa"/>
            <w:vAlign w:val="bottom"/>
            <w:tcBorders>
              <w:right w:val="single" w:sz="8" w:color="CCEEFF"/>
            </w:tcBorders>
            <w:gridSpan w:val="9"/>
            <w:shd w:val="clear" w:color="auto" w:fill="CCEEFF"/>
          </w:tcPr>
          <w:p>
            <w:pPr>
              <w:jc w:val="right"/>
              <w:spacing w:after="0"/>
              <w:rPr>
                <w:sz w:val="20"/>
                <w:szCs w:val="20"/>
                <w:color w:val="auto"/>
              </w:rPr>
            </w:pPr>
            <w:r>
              <w:rPr>
                <w:rFonts w:ascii="Arial" w:cs="Arial" w:eastAsia="Arial" w:hAnsi="Arial"/>
                <w:sz w:val="16"/>
                <w:szCs w:val="16"/>
                <w:color w:val="auto"/>
                <w:w w:val="99"/>
              </w:rPr>
              <w:t>Net liability for unpaid claim and allocated claim adjustment expenses for the accident years presented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$26,216</w:t>
            </w:r>
          </w:p>
        </w:tc>
        <w:tc>
          <w:tcPr>
            <w:tcW w:w="20" w:type="dxa"/>
            <w:vAlign w:val="bottom"/>
            <w:vMerge w:val="continue"/>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80" w:type="dxa"/>
            <w:vAlign w:val="bottom"/>
            <w:gridSpan w:val="5"/>
          </w:tcPr>
          <w:p>
            <w:pPr>
              <w:jc w:val="right"/>
              <w:spacing w:after="0"/>
              <w:rPr>
                <w:sz w:val="20"/>
                <w:szCs w:val="20"/>
                <w:color w:val="auto"/>
              </w:rPr>
            </w:pPr>
            <w:r>
              <w:rPr>
                <w:rFonts w:ascii="Arial" w:cs="Arial" w:eastAsia="Arial" w:hAnsi="Arial"/>
                <w:sz w:val="16"/>
                <w:szCs w:val="16"/>
                <w:color w:val="auto"/>
                <w:w w:val="97"/>
              </w:rPr>
              <w:t>All outstanding liabilities before 2008, net of reinsurance</w:t>
            </w:r>
          </w:p>
        </w:tc>
        <w:tc>
          <w:tcPr>
            <w:tcW w:w="1000" w:type="dxa"/>
            <w:vAlign w:val="bottom"/>
          </w:tcPr>
          <w:p>
            <w:pPr>
              <w:jc w:val="right"/>
              <w:spacing w:after="0"/>
              <w:rPr>
                <w:sz w:val="20"/>
                <w:szCs w:val="20"/>
                <w:color w:val="auto"/>
              </w:rPr>
            </w:pPr>
            <w:r>
              <w:rPr>
                <w:rFonts w:ascii="Arial" w:cs="Arial" w:eastAsia="Arial" w:hAnsi="Arial"/>
                <w:sz w:val="16"/>
                <w:szCs w:val="16"/>
                <w:color w:val="auto"/>
              </w:rPr>
              <w:t>589</w:t>
            </w: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60" w:type="dxa"/>
            <w:vAlign w:val="bottom"/>
            <w:tcBorders>
              <w:right w:val="single" w:sz="8" w:color="CCEEFF"/>
            </w:tcBorders>
            <w:gridSpan w:val="7"/>
            <w:shd w:val="clear" w:color="auto" w:fill="CCEEFF"/>
          </w:tcPr>
          <w:p>
            <w:pPr>
              <w:jc w:val="right"/>
              <w:spacing w:after="0" w:line="176" w:lineRule="exact"/>
              <w:rPr>
                <w:sz w:val="20"/>
                <w:szCs w:val="20"/>
                <w:color w:val="auto"/>
              </w:rPr>
            </w:pPr>
            <w:r>
              <w:rPr>
                <w:rFonts w:ascii="Arial" w:cs="Arial" w:eastAsia="Arial" w:hAnsi="Arial"/>
                <w:sz w:val="16"/>
                <w:szCs w:val="16"/>
                <w:color w:val="auto"/>
                <w:w w:val="96"/>
              </w:rPr>
              <w:t>Liabilities for claims and allocted claim adjustment expenses, net of reinsurance</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$26,805</w:t>
            </w: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4"/>
        </w:trPr>
        <w:tc>
          <w:tcPr>
            <w:tcW w:w="8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jc w:val="right"/>
              <w:ind w:right="684"/>
              <w:spacing w:after="0"/>
              <w:rPr>
                <w:sz w:val="20"/>
                <w:szCs w:val="20"/>
                <w:color w:val="auto"/>
              </w:rPr>
            </w:pPr>
            <w:r>
              <w:rPr>
                <w:rFonts w:ascii="Arial" w:cs="Arial" w:eastAsia="Arial" w:hAnsi="Arial"/>
                <w:sz w:val="13"/>
                <w:szCs w:val="13"/>
                <w:color w:val="auto"/>
                <w:w w:val="82"/>
              </w:rPr>
              <w:t>21</w:t>
            </w:r>
          </w:p>
        </w:tc>
        <w:tc>
          <w:tcPr>
            <w:tcW w:w="80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5"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The reconciliation of the net incurred and paid claims development tables to the loss and LAE reserves in the consolidated balance sheet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39"/>
              <w:spacing w:after="0"/>
              <w:rPr>
                <w:sz w:val="20"/>
                <w:szCs w:val="20"/>
                <w:color w:val="auto"/>
              </w:rPr>
            </w:pPr>
            <w:r>
              <w:rPr>
                <w:rFonts w:ascii="Arial" w:cs="Arial" w:eastAsia="Arial" w:hAnsi="Arial"/>
                <w:sz w:val="14"/>
                <w:szCs w:val="14"/>
                <w:b w:val="1"/>
                <w:bCs w:val="1"/>
                <w:color w:val="auto"/>
              </w:rPr>
              <w:t>As of</w:t>
            </w:r>
          </w:p>
        </w:tc>
      </w:tr>
      <w:tr>
        <w:trPr>
          <w:trHeight w:val="200"/>
        </w:trPr>
        <w:tc>
          <w:tcPr>
            <w:tcW w:w="10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2"/>
              </w:rPr>
              <w:t>June 30, 2017</w:t>
            </w:r>
          </w:p>
        </w:tc>
      </w:tr>
      <w:tr>
        <w:trPr>
          <w:trHeight w:val="209"/>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Liabilities for claims and claim adjustment expenses, net of reinsurance</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26,805</w:t>
            </w:r>
          </w:p>
        </w:tc>
      </w:tr>
      <w:tr>
        <w:trPr>
          <w:trHeight w:val="209"/>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Total reinsurance recoverable on unpaid claims</w:t>
            </w:r>
          </w:p>
        </w:tc>
        <w:tc>
          <w:tcPr>
            <w:tcW w:w="2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7"/>
                <w:szCs w:val="17"/>
                <w:color w:val="auto"/>
              </w:rPr>
              <w:t>16,247</w:t>
            </w:r>
          </w:p>
        </w:tc>
      </w:tr>
      <w:tr>
        <w:trPr>
          <w:trHeight w:val="242"/>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Unallocated claims adjustment expenses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1,145</w:t>
            </w:r>
          </w:p>
        </w:tc>
      </w:tr>
      <w:tr>
        <w:trPr>
          <w:trHeight w:val="209"/>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Total gross liability for loss and LAE reserves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44,197</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Commercial Auto Line of Business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Effective October 1, 2014 the Company decided that it would no longer accept applications for new commercial auto policies. The action was taken following a series of underwriting and pricing measures which were intended to improve the profitability of this line of business. The actions taken did not yield the hoped for results. In February 2015, the Company made the decision that it would no longer offer renewals on its existing commercial auto policies beginning with those that expired on or after May 1, 2015. The Company had no commercial auto policies in force as of June 30, 2017 and 2016. As of June 30, 2017 and 2016, the Company had 23 and 44 open commercial auto claims outstanding,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Reinsurance</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Company’s quota share reinsurance treaties are on a July 1 through June 30 fiscal year basis; therefore, for year to date fiscal periods after June 30, two separate treaties will be included in such periods.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quota share reinsurance treaties in effect for the six months ended June 30, 2017 for its personal lines business, which primarily consists of homeowners’ policies, were covered under the July 1, 2016/June 30, 2017 treaty year (“2016/2017 Treaty”). The Company’s quota share reinsurance treaties in effect for the six months ended June 30, 2016 were covered under the July 1, 2015/June 30, 2016 treaty year (“2015/2016 Treaty”).</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March 2017, the Company bound its personal lines quota share reinsurance treaty effective July 1, 2017. The treaty provides for a reduction in the quota share ceding rate to 20%, from 40% in the 2016/2017 Treaty, and an increase in the provisional ceding commission rate to 52.5%, from 52.0% in the 2016/2017 Treaty. The new treaty covers a two year period from July 1, 2017 through June 30, 2019 (“2017/2019 Treaty”). The Company has the option under certain circumstances to reduce the quota share ceding rate or terminate the 2017/2019 Treaty effective July 1, 2018 by giving advance notice to the two reinsurers who participate in the quota share reinsurance treaty. Such two reinsurers who participate in the treaty have the option under certain limited circumstances to reduce the quota share ceding rate or terminate the 2017/2019 Treaty effective July 1, 2018 by giving advance notice to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Company’s 2015/2016 Treaty, 2016/2017 Treaty, and 2017/2019 Treaty provide for the following material terms: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236"/>
              <w:spacing w:after="0"/>
              <w:rPr>
                <w:sz w:val="20"/>
                <w:szCs w:val="20"/>
                <w:color w:val="auto"/>
              </w:rPr>
            </w:pPr>
            <w:r>
              <w:rPr>
                <w:rFonts w:ascii="Arial" w:cs="Arial" w:eastAsia="Arial" w:hAnsi="Arial"/>
                <w:sz w:val="14"/>
                <w:szCs w:val="14"/>
                <w:b w:val="1"/>
                <w:bCs w:val="1"/>
                <w:color w:val="auto"/>
                <w:w w:val="94"/>
              </w:rPr>
              <w:t>Treaty Year</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tcPr>
          <w:p>
            <w:pPr>
              <w:jc w:val="center"/>
              <w:ind w:right="236"/>
              <w:spacing w:after="0"/>
              <w:rPr>
                <w:sz w:val="20"/>
                <w:szCs w:val="20"/>
                <w:color w:val="auto"/>
              </w:rPr>
            </w:pPr>
            <w:r>
              <w:rPr>
                <w:rFonts w:ascii="Arial" w:cs="Arial" w:eastAsia="Arial" w:hAnsi="Arial"/>
                <w:sz w:val="14"/>
                <w:szCs w:val="14"/>
                <w:b w:val="1"/>
                <w:bCs w:val="1"/>
                <w:color w:val="auto"/>
                <w:w w:val="91"/>
              </w:rPr>
              <w:t>July 1, 2017</w:t>
            </w:r>
          </w:p>
        </w:tc>
        <w:tc>
          <w:tcPr>
            <w:tcW w:w="180" w:type="dxa"/>
            <w:vAlign w:val="bottom"/>
          </w:tcPr>
          <w:p>
            <w:pPr>
              <w:spacing w:after="0"/>
              <w:rPr>
                <w:sz w:val="14"/>
                <w:szCs w:val="14"/>
                <w:color w:val="auto"/>
              </w:rPr>
            </w:pPr>
          </w:p>
        </w:tc>
        <w:tc>
          <w:tcPr>
            <w:tcW w:w="1200" w:type="dxa"/>
            <w:vAlign w:val="bottom"/>
          </w:tcPr>
          <w:p>
            <w:pPr>
              <w:jc w:val="center"/>
              <w:ind w:right="236"/>
              <w:spacing w:after="0"/>
              <w:rPr>
                <w:sz w:val="20"/>
                <w:szCs w:val="20"/>
                <w:color w:val="auto"/>
              </w:rPr>
            </w:pPr>
            <w:r>
              <w:rPr>
                <w:rFonts w:ascii="Arial" w:cs="Arial" w:eastAsia="Arial" w:hAnsi="Arial"/>
                <w:sz w:val="14"/>
                <w:szCs w:val="14"/>
                <w:b w:val="1"/>
                <w:bCs w:val="1"/>
                <w:color w:val="auto"/>
                <w:w w:val="91"/>
              </w:rPr>
              <w:t>July 1, 2016</w:t>
            </w:r>
          </w:p>
        </w:tc>
        <w:tc>
          <w:tcPr>
            <w:tcW w:w="160" w:type="dxa"/>
            <w:vAlign w:val="bottom"/>
          </w:tcPr>
          <w:p>
            <w:pPr>
              <w:spacing w:after="0"/>
              <w:rPr>
                <w:sz w:val="14"/>
                <w:szCs w:val="14"/>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July 1, 2015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tcPr>
          <w:p>
            <w:pPr>
              <w:jc w:val="center"/>
              <w:ind w:right="236"/>
              <w:spacing w:after="0"/>
              <w:rPr>
                <w:sz w:val="20"/>
                <w:szCs w:val="20"/>
                <w:color w:val="auto"/>
              </w:rPr>
            </w:pPr>
            <w:r>
              <w:rPr>
                <w:rFonts w:ascii="Arial" w:cs="Arial" w:eastAsia="Arial" w:hAnsi="Arial"/>
                <w:sz w:val="14"/>
                <w:szCs w:val="14"/>
                <w:b w:val="1"/>
                <w:bCs w:val="1"/>
                <w:color w:val="auto"/>
                <w:w w:val="90"/>
              </w:rPr>
              <w:t>to</w:t>
            </w:r>
          </w:p>
        </w:tc>
        <w:tc>
          <w:tcPr>
            <w:tcW w:w="180" w:type="dxa"/>
            <w:vAlign w:val="bottom"/>
          </w:tcPr>
          <w:p>
            <w:pPr>
              <w:spacing w:after="0"/>
              <w:rPr>
                <w:sz w:val="14"/>
                <w:szCs w:val="14"/>
                <w:color w:val="auto"/>
              </w:rPr>
            </w:pPr>
          </w:p>
        </w:tc>
        <w:tc>
          <w:tcPr>
            <w:tcW w:w="1200" w:type="dxa"/>
            <w:vAlign w:val="bottom"/>
          </w:tcPr>
          <w:p>
            <w:pPr>
              <w:jc w:val="center"/>
              <w:ind w:right="236"/>
              <w:spacing w:after="0"/>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4"/>
                <w:szCs w:val="14"/>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7"/>
        </w:trPr>
        <w:tc>
          <w:tcPr>
            <w:tcW w:w="56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Line of Busines</w:t>
            </w:r>
          </w:p>
        </w:tc>
        <w:tc>
          <w:tcPr>
            <w:tcW w:w="19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2"/>
              </w:rPr>
              <w:t>June 30, 2018</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2"/>
              </w:rPr>
              <w:t>June 30, 2017</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2"/>
              </w:rPr>
              <w:t>June 30, 2016</w:t>
            </w:r>
          </w:p>
        </w:tc>
        <w:tc>
          <w:tcPr>
            <w:tcW w:w="0" w:type="dxa"/>
            <w:vAlign w:val="bottom"/>
          </w:tcPr>
          <w:p>
            <w:pPr>
              <w:spacing w:after="0"/>
              <w:rPr>
                <w:sz w:val="1"/>
                <w:szCs w:val="1"/>
                <w:color w:val="auto"/>
              </w:rPr>
            </w:pPr>
          </w:p>
        </w:tc>
      </w:tr>
      <w:tr>
        <w:trPr>
          <w:trHeight w:val="379"/>
        </w:trPr>
        <w:tc>
          <w:tcPr>
            <w:tcW w:w="5600" w:type="dxa"/>
            <w:vAlign w:val="bottom"/>
            <w:gridSpan w:val="5"/>
          </w:tcPr>
          <w:p>
            <w:pPr>
              <w:spacing w:after="0"/>
              <w:rPr>
                <w:sz w:val="20"/>
                <w:szCs w:val="20"/>
                <w:color w:val="auto"/>
              </w:rPr>
            </w:pPr>
            <w:r>
              <w:rPr>
                <w:rFonts w:ascii="Arial" w:cs="Arial" w:eastAsia="Arial" w:hAnsi="Arial"/>
                <w:sz w:val="17"/>
                <w:szCs w:val="17"/>
                <w:color w:val="auto"/>
              </w:rPr>
              <w:t>Personal Lines:</w:t>
            </w:r>
          </w:p>
        </w:tc>
        <w:tc>
          <w:tcPr>
            <w:tcW w:w="1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Homeowners, dwelling fire and canine legal liability</w:t>
            </w:r>
          </w:p>
        </w:tc>
        <w:tc>
          <w:tcPr>
            <w:tcW w:w="19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180"/>
              <w:spacing w:after="0"/>
              <w:rPr>
                <w:sz w:val="20"/>
                <w:szCs w:val="20"/>
                <w:color w:val="auto"/>
              </w:rPr>
            </w:pPr>
            <w:r>
              <w:rPr>
                <w:rFonts w:ascii="Arial" w:cs="Arial" w:eastAsia="Arial" w:hAnsi="Arial"/>
                <w:sz w:val="17"/>
                <w:szCs w:val="17"/>
                <w:color w:val="auto"/>
              </w:rPr>
              <w:t>Quota share treaty:</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Percent ceded</w:t>
            </w: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340"/>
              <w:spacing w:after="0"/>
              <w:rPr>
                <w:sz w:val="20"/>
                <w:szCs w:val="20"/>
                <w:color w:val="auto"/>
              </w:rPr>
            </w:pPr>
            <w:r>
              <w:rPr>
                <w:rFonts w:ascii="Arial" w:cs="Arial" w:eastAsia="Arial" w:hAnsi="Arial"/>
                <w:sz w:val="17"/>
                <w:szCs w:val="17"/>
                <w:color w:val="auto"/>
              </w:rPr>
              <w:t>Risk retained</w:t>
            </w: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800,000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500,000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833,333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180"/>
              <w:spacing w:after="0"/>
              <w:rPr>
                <w:sz w:val="20"/>
                <w:szCs w:val="20"/>
                <w:color w:val="auto"/>
              </w:rPr>
            </w:pPr>
            <w:r>
              <w:rPr>
                <w:rFonts w:ascii="Arial" w:cs="Arial" w:eastAsia="Arial" w:hAnsi="Arial"/>
                <w:sz w:val="17"/>
                <w:szCs w:val="17"/>
                <w:color w:val="auto"/>
                <w:w w:val="90"/>
              </w:rPr>
              <w:t>Excess of loss coverage and facultative facility above quota share coverage (1)</w:t>
            </w: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9,000,000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3,666,667</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3,750,000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56"/>
              <w:spacing w:after="0"/>
              <w:rPr>
                <w:sz w:val="20"/>
                <w:szCs w:val="20"/>
                <w:color w:val="auto"/>
              </w:rPr>
            </w:pPr>
            <w:r>
              <w:rPr>
                <w:rFonts w:ascii="Arial" w:cs="Arial" w:eastAsia="Arial" w:hAnsi="Arial"/>
                <w:sz w:val="17"/>
                <w:szCs w:val="17"/>
                <w:color w:val="auto"/>
                <w:w w:val="89"/>
              </w:rPr>
              <w:t>in excess of</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76"/>
              <w:spacing w:after="0"/>
              <w:rPr>
                <w:sz w:val="20"/>
                <w:szCs w:val="20"/>
                <w:color w:val="auto"/>
              </w:rPr>
            </w:pPr>
            <w:r>
              <w:rPr>
                <w:rFonts w:ascii="Arial" w:cs="Arial" w:eastAsia="Arial" w:hAnsi="Arial"/>
                <w:sz w:val="17"/>
                <w:szCs w:val="17"/>
                <w:color w:val="auto"/>
                <w:w w:val="91"/>
              </w:rPr>
              <w:t>in excess of</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89"/>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1,000,000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833,333</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750,000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Total reinsurance coverage per occurrence</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9,200,000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4,050,000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180"/>
              <w:spacing w:after="0"/>
              <w:rPr>
                <w:sz w:val="20"/>
                <w:szCs w:val="20"/>
                <w:color w:val="auto"/>
              </w:rPr>
            </w:pPr>
            <w:r>
              <w:rPr>
                <w:rFonts w:ascii="Arial" w:cs="Arial" w:eastAsia="Arial" w:hAnsi="Arial"/>
                <w:sz w:val="17"/>
                <w:szCs w:val="17"/>
                <w:color w:val="auto"/>
              </w:rPr>
              <w:t>Losses per occurrence subject to reinsurance coverage</w:t>
            </w: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10,000,000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4,500,000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4,500,000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Expiration date</w:t>
            </w:r>
          </w:p>
        </w:tc>
        <w:tc>
          <w:tcPr>
            <w:tcW w:w="3160" w:type="dxa"/>
            <w:vAlign w:val="bottom"/>
            <w:gridSpan w:val="2"/>
            <w:shd w:val="clear" w:color="auto" w:fill="CCEEFF"/>
          </w:tcPr>
          <w:p>
            <w:pPr>
              <w:jc w:val="center"/>
              <w:ind w:left="1556"/>
              <w:spacing w:after="0"/>
              <w:rPr>
                <w:sz w:val="20"/>
                <w:szCs w:val="20"/>
                <w:color w:val="auto"/>
              </w:rPr>
            </w:pPr>
            <w:r>
              <w:rPr>
                <w:rFonts w:ascii="Arial" w:cs="Arial" w:eastAsia="Arial" w:hAnsi="Arial"/>
                <w:sz w:val="17"/>
                <w:szCs w:val="17"/>
                <w:color w:val="auto"/>
                <w:w w:val="89"/>
              </w:rPr>
              <w:t>June 30, 2019</w:t>
            </w:r>
          </w:p>
        </w:tc>
        <w:tc>
          <w:tcPr>
            <w:tcW w:w="1380" w:type="dxa"/>
            <w:vAlign w:val="bottom"/>
            <w:gridSpan w:val="2"/>
            <w:shd w:val="clear" w:color="auto" w:fill="CCEEFF"/>
          </w:tcPr>
          <w:p>
            <w:pPr>
              <w:jc w:val="center"/>
              <w:ind w:right="56"/>
              <w:spacing w:after="0"/>
              <w:rPr>
                <w:sz w:val="20"/>
                <w:szCs w:val="20"/>
                <w:color w:val="auto"/>
              </w:rPr>
            </w:pPr>
            <w:r>
              <w:rPr>
                <w:rFonts w:ascii="Arial" w:cs="Arial" w:eastAsia="Arial" w:hAnsi="Arial"/>
                <w:sz w:val="17"/>
                <w:szCs w:val="17"/>
                <w:color w:val="auto"/>
                <w:w w:val="89"/>
              </w:rPr>
              <w:t>June 30, 2017</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June 30, 2016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Personal Umbrella</w:t>
            </w: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180"/>
              <w:spacing w:after="0"/>
              <w:rPr>
                <w:sz w:val="20"/>
                <w:szCs w:val="20"/>
                <w:color w:val="auto"/>
              </w:rPr>
            </w:pPr>
            <w:r>
              <w:rPr>
                <w:rFonts w:ascii="Arial" w:cs="Arial" w:eastAsia="Arial" w:hAnsi="Arial"/>
                <w:sz w:val="17"/>
                <w:szCs w:val="17"/>
                <w:color w:val="auto"/>
              </w:rPr>
              <w:t>Quota share treaty:</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Percent ceded - first $1,000,000 of coverage</w:t>
            </w: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340"/>
              <w:spacing w:after="0"/>
              <w:rPr>
                <w:sz w:val="20"/>
                <w:szCs w:val="20"/>
                <w:color w:val="auto"/>
              </w:rPr>
            </w:pPr>
            <w:r>
              <w:rPr>
                <w:rFonts w:ascii="Arial" w:cs="Arial" w:eastAsia="Arial" w:hAnsi="Arial"/>
                <w:sz w:val="17"/>
                <w:szCs w:val="17"/>
                <w:color w:val="auto"/>
              </w:rPr>
              <w:t>Percent ceded - excess of $1,000,000 dollars of coverage</w:t>
            </w:r>
          </w:p>
        </w:tc>
        <w:tc>
          <w:tcPr>
            <w:tcW w:w="19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Risk retained</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340"/>
              <w:spacing w:after="0"/>
              <w:rPr>
                <w:sz w:val="20"/>
                <w:szCs w:val="20"/>
                <w:color w:val="auto"/>
              </w:rPr>
            </w:pPr>
            <w:r>
              <w:rPr>
                <w:rFonts w:ascii="Arial" w:cs="Arial" w:eastAsia="Arial" w:hAnsi="Arial"/>
                <w:sz w:val="17"/>
                <w:szCs w:val="17"/>
                <w:color w:val="auto"/>
              </w:rPr>
              <w:t>Total reinsurance coverage per occurrence</w:t>
            </w: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4,900,000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4,900,000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2,900,000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180"/>
              <w:spacing w:after="0"/>
              <w:rPr>
                <w:sz w:val="20"/>
                <w:szCs w:val="20"/>
                <w:color w:val="auto"/>
              </w:rPr>
            </w:pPr>
            <w:r>
              <w:rPr>
                <w:rFonts w:ascii="Arial" w:cs="Arial" w:eastAsia="Arial" w:hAnsi="Arial"/>
                <w:sz w:val="17"/>
                <w:szCs w:val="17"/>
                <w:color w:val="auto"/>
              </w:rPr>
              <w:t>Expiration date</w:t>
            </w:r>
          </w:p>
        </w:tc>
        <w:tc>
          <w:tcPr>
            <w:tcW w:w="3160" w:type="dxa"/>
            <w:vAlign w:val="bottom"/>
            <w:gridSpan w:val="2"/>
          </w:tcPr>
          <w:p>
            <w:pPr>
              <w:jc w:val="center"/>
              <w:ind w:left="1556"/>
              <w:spacing w:after="0"/>
              <w:rPr>
                <w:sz w:val="20"/>
                <w:szCs w:val="20"/>
                <w:color w:val="auto"/>
              </w:rPr>
            </w:pPr>
            <w:r>
              <w:rPr>
                <w:rFonts w:ascii="Arial" w:cs="Arial" w:eastAsia="Arial" w:hAnsi="Arial"/>
                <w:sz w:val="17"/>
                <w:szCs w:val="17"/>
                <w:color w:val="auto"/>
                <w:w w:val="89"/>
              </w:rPr>
              <w:t>June 30, 2018</w:t>
            </w:r>
          </w:p>
        </w:tc>
        <w:tc>
          <w:tcPr>
            <w:tcW w:w="1380" w:type="dxa"/>
            <w:vAlign w:val="bottom"/>
            <w:gridSpan w:val="2"/>
          </w:tcPr>
          <w:p>
            <w:pPr>
              <w:jc w:val="center"/>
              <w:ind w:right="56"/>
              <w:spacing w:after="0"/>
              <w:rPr>
                <w:sz w:val="20"/>
                <w:szCs w:val="20"/>
                <w:color w:val="auto"/>
              </w:rPr>
            </w:pPr>
            <w:r>
              <w:rPr>
                <w:rFonts w:ascii="Arial" w:cs="Arial" w:eastAsia="Arial" w:hAnsi="Arial"/>
                <w:sz w:val="17"/>
                <w:szCs w:val="17"/>
                <w:color w:val="auto"/>
                <w:w w:val="89"/>
              </w:rPr>
              <w:t>June 30, 2017</w:t>
            </w:r>
          </w:p>
        </w:tc>
        <w:tc>
          <w:tcPr>
            <w:tcW w:w="1280" w:type="dxa"/>
            <w:vAlign w:val="bottom"/>
            <w:gridSpan w:val="2"/>
          </w:tcPr>
          <w:p>
            <w:pPr>
              <w:jc w:val="center"/>
              <w:spacing w:after="0"/>
              <w:rPr>
                <w:sz w:val="20"/>
                <w:szCs w:val="20"/>
                <w:color w:val="auto"/>
              </w:rPr>
            </w:pPr>
            <w:r>
              <w:rPr>
                <w:rFonts w:ascii="Arial" w:cs="Arial" w:eastAsia="Arial" w:hAnsi="Arial"/>
                <w:sz w:val="17"/>
                <w:szCs w:val="17"/>
                <w:color w:val="auto"/>
                <w:w w:val="89"/>
              </w:rPr>
              <w:t>June 30, 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580" w:type="dxa"/>
            <w:vAlign w:val="bottom"/>
            <w:gridSpan w:val="4"/>
          </w:tcPr>
          <w:p>
            <w:pPr>
              <w:spacing w:after="0" w:line="170" w:lineRule="exact"/>
              <w:rPr>
                <w:sz w:val="20"/>
                <w:szCs w:val="20"/>
                <w:color w:val="auto"/>
              </w:rPr>
            </w:pPr>
            <w:r>
              <w:rPr>
                <w:rFonts w:ascii="Arial" w:cs="Arial" w:eastAsia="Arial" w:hAnsi="Arial"/>
                <w:sz w:val="17"/>
                <w:szCs w:val="17"/>
                <w:color w:val="auto"/>
              </w:rPr>
              <w:t>Commercial Lines:</w:t>
            </w:r>
          </w:p>
        </w:tc>
        <w:tc>
          <w:tcPr>
            <w:tcW w:w="1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58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General liability commercial policies, except for commercial auto</w:t>
            </w:r>
          </w:p>
        </w:tc>
        <w:tc>
          <w:tcPr>
            <w:tcW w:w="19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340"/>
              <w:spacing w:after="0"/>
              <w:rPr>
                <w:sz w:val="20"/>
                <w:szCs w:val="20"/>
                <w:color w:val="auto"/>
              </w:rPr>
            </w:pPr>
            <w:r>
              <w:rPr>
                <w:rFonts w:ascii="Arial" w:cs="Arial" w:eastAsia="Arial" w:hAnsi="Arial"/>
                <w:sz w:val="17"/>
                <w:szCs w:val="17"/>
                <w:color w:val="auto"/>
              </w:rPr>
              <w:t>Quota share treaty:</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500"/>
              <w:spacing w:after="0"/>
              <w:rPr>
                <w:sz w:val="20"/>
                <w:szCs w:val="20"/>
                <w:color w:val="auto"/>
              </w:rPr>
            </w:pPr>
            <w:r>
              <w:rPr>
                <w:rFonts w:ascii="Arial" w:cs="Arial" w:eastAsia="Arial" w:hAnsi="Arial"/>
                <w:sz w:val="17"/>
                <w:szCs w:val="17"/>
                <w:color w:val="auto"/>
              </w:rPr>
              <w:t>Percent ceded (terminated effective July 1, 2014)</w:t>
            </w: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56"/>
              <w:spacing w:after="0"/>
              <w:rPr>
                <w:sz w:val="20"/>
                <w:szCs w:val="20"/>
                <w:color w:val="auto"/>
              </w:rPr>
            </w:pPr>
            <w:r>
              <w:rPr>
                <w:rFonts w:ascii="Arial" w:cs="Arial" w:eastAsia="Arial" w:hAnsi="Arial"/>
                <w:sz w:val="17"/>
                <w:szCs w:val="17"/>
                <w:color w:val="auto"/>
                <w:w w:val="88"/>
              </w:rPr>
              <w:t>None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76"/>
              <w:spacing w:after="0"/>
              <w:rPr>
                <w:sz w:val="20"/>
                <w:szCs w:val="20"/>
                <w:color w:val="auto"/>
              </w:rPr>
            </w:pPr>
            <w:r>
              <w:rPr>
                <w:rFonts w:ascii="Arial" w:cs="Arial" w:eastAsia="Arial" w:hAnsi="Arial"/>
                <w:sz w:val="17"/>
                <w:szCs w:val="17"/>
                <w:color w:val="auto"/>
                <w:w w:val="93"/>
              </w:rPr>
              <w:t>None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500"/>
              <w:spacing w:after="0"/>
              <w:rPr>
                <w:sz w:val="20"/>
                <w:szCs w:val="20"/>
                <w:color w:val="auto"/>
              </w:rPr>
            </w:pPr>
            <w:r>
              <w:rPr>
                <w:rFonts w:ascii="Arial" w:cs="Arial" w:eastAsia="Arial" w:hAnsi="Arial"/>
                <w:sz w:val="17"/>
                <w:szCs w:val="17"/>
                <w:color w:val="auto"/>
              </w:rPr>
              <w:t>Risk retained</w:t>
            </w: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750,000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500,000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425,000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500"/>
              <w:spacing w:after="0"/>
              <w:rPr>
                <w:sz w:val="20"/>
                <w:szCs w:val="20"/>
                <w:color w:val="auto"/>
              </w:rPr>
            </w:pPr>
            <w:r>
              <w:rPr>
                <w:rFonts w:ascii="Arial" w:cs="Arial" w:eastAsia="Arial" w:hAnsi="Arial"/>
                <w:sz w:val="17"/>
                <w:szCs w:val="17"/>
                <w:color w:val="auto"/>
                <w:w w:val="98"/>
              </w:rPr>
              <w:t>Losses per occurrence subject to quota share reinsurance coverage</w:t>
            </w: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56"/>
              <w:spacing w:after="0"/>
              <w:rPr>
                <w:sz w:val="20"/>
                <w:szCs w:val="20"/>
                <w:color w:val="auto"/>
              </w:rPr>
            </w:pPr>
            <w:r>
              <w:rPr>
                <w:rFonts w:ascii="Arial" w:cs="Arial" w:eastAsia="Arial" w:hAnsi="Arial"/>
                <w:sz w:val="17"/>
                <w:szCs w:val="17"/>
                <w:color w:val="auto"/>
                <w:w w:val="88"/>
              </w:rPr>
              <w:t>None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93"/>
              </w:rPr>
              <w:t>None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180"/>
              <w:spacing w:after="0"/>
              <w:rPr>
                <w:sz w:val="20"/>
                <w:szCs w:val="20"/>
                <w:color w:val="auto"/>
              </w:rPr>
            </w:pPr>
            <w:r>
              <w:rPr>
                <w:rFonts w:ascii="Arial" w:cs="Arial" w:eastAsia="Arial" w:hAnsi="Arial"/>
                <w:sz w:val="17"/>
                <w:szCs w:val="17"/>
                <w:color w:val="auto"/>
              </w:rPr>
              <w:t>Excess of loss coverage above quota share coverage</w:t>
            </w: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3,750,000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4,000,000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4,075,000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6"/>
              <w:spacing w:after="0"/>
              <w:rPr>
                <w:sz w:val="20"/>
                <w:szCs w:val="20"/>
                <w:color w:val="auto"/>
              </w:rPr>
            </w:pPr>
            <w:r>
              <w:rPr>
                <w:rFonts w:ascii="Arial" w:cs="Arial" w:eastAsia="Arial" w:hAnsi="Arial"/>
                <w:sz w:val="17"/>
                <w:szCs w:val="17"/>
                <w:color w:val="auto"/>
              </w:rPr>
              <w:t>in excess of</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76"/>
              <w:spacing w:after="0"/>
              <w:rPr>
                <w:sz w:val="20"/>
                <w:szCs w:val="20"/>
                <w:color w:val="auto"/>
              </w:rPr>
            </w:pPr>
            <w:r>
              <w:rPr>
                <w:rFonts w:ascii="Arial" w:cs="Arial" w:eastAsia="Arial" w:hAnsi="Arial"/>
                <w:sz w:val="17"/>
                <w:szCs w:val="17"/>
                <w:color w:val="auto"/>
                <w:w w:val="91"/>
              </w:rPr>
              <w:t>in excess of</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89"/>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750,000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500,000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425,000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Total reinsurance coverage per occurrence</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3,750,000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4,075,000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180"/>
              <w:spacing w:after="0"/>
              <w:rPr>
                <w:sz w:val="20"/>
                <w:szCs w:val="20"/>
                <w:color w:val="auto"/>
              </w:rPr>
            </w:pPr>
            <w:r>
              <w:rPr>
                <w:rFonts w:ascii="Arial" w:cs="Arial" w:eastAsia="Arial" w:hAnsi="Arial"/>
                <w:sz w:val="17"/>
                <w:szCs w:val="17"/>
                <w:color w:val="auto"/>
              </w:rPr>
              <w:t>Losses per occurrence subject to reinsurance coverage</w:t>
            </w: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4,500,000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4,500,000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4,500,000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20"/>
              <w:spacing w:after="0"/>
              <w:rPr>
                <w:sz w:val="20"/>
                <w:szCs w:val="20"/>
                <w:color w:val="auto"/>
              </w:rPr>
            </w:pPr>
            <w:r>
              <w:rPr>
                <w:rFonts w:ascii="Arial" w:cs="Arial" w:eastAsia="Arial" w:hAnsi="Arial"/>
                <w:sz w:val="17"/>
                <w:szCs w:val="17"/>
                <w:color w:val="auto"/>
              </w:rPr>
              <w:t>Commercial Umbrella</w:t>
            </w: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Quota share treaty:</w:t>
            </w: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340"/>
              <w:spacing w:after="0"/>
              <w:rPr>
                <w:sz w:val="20"/>
                <w:szCs w:val="20"/>
                <w:color w:val="auto"/>
              </w:rPr>
            </w:pPr>
            <w:r>
              <w:rPr>
                <w:rFonts w:ascii="Arial" w:cs="Arial" w:eastAsia="Arial" w:hAnsi="Arial"/>
                <w:sz w:val="17"/>
                <w:szCs w:val="17"/>
                <w:color w:val="auto"/>
              </w:rPr>
              <w:t>Percent ceded - first $1,000,000 of coverage</w:t>
            </w:r>
          </w:p>
        </w:tc>
        <w:tc>
          <w:tcPr>
            <w:tcW w:w="19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Percent ceded - excess of $1,000,000 of coverage</w:t>
            </w: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340"/>
              <w:spacing w:after="0"/>
              <w:rPr>
                <w:sz w:val="20"/>
                <w:szCs w:val="20"/>
                <w:color w:val="auto"/>
              </w:rPr>
            </w:pPr>
            <w:r>
              <w:rPr>
                <w:rFonts w:ascii="Arial" w:cs="Arial" w:eastAsia="Arial" w:hAnsi="Arial"/>
                <w:sz w:val="17"/>
                <w:szCs w:val="17"/>
                <w:color w:val="auto"/>
              </w:rPr>
              <w:t>Risk retained</w:t>
            </w: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100,000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100,000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340"/>
              <w:spacing w:after="0"/>
              <w:rPr>
                <w:sz w:val="20"/>
                <w:szCs w:val="20"/>
                <w:color w:val="auto"/>
              </w:rPr>
            </w:pPr>
            <w:r>
              <w:rPr>
                <w:rFonts w:ascii="Arial" w:cs="Arial" w:eastAsia="Arial" w:hAnsi="Arial"/>
                <w:sz w:val="17"/>
                <w:szCs w:val="17"/>
                <w:color w:val="auto"/>
              </w:rPr>
              <w:t>Total reinsurance coverage per occurrence</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4,900,000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4,900,000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34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5,000,000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5,000,000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Expiration date</w:t>
            </w:r>
          </w:p>
        </w:tc>
        <w:tc>
          <w:tcPr>
            <w:tcW w:w="3160" w:type="dxa"/>
            <w:vAlign w:val="bottom"/>
            <w:gridSpan w:val="2"/>
            <w:shd w:val="clear" w:color="auto" w:fill="CCEEFF"/>
          </w:tcPr>
          <w:p>
            <w:pPr>
              <w:jc w:val="center"/>
              <w:ind w:left="1556"/>
              <w:spacing w:after="0"/>
              <w:rPr>
                <w:sz w:val="20"/>
                <w:szCs w:val="20"/>
                <w:color w:val="auto"/>
              </w:rPr>
            </w:pPr>
            <w:r>
              <w:rPr>
                <w:rFonts w:ascii="Arial" w:cs="Arial" w:eastAsia="Arial" w:hAnsi="Arial"/>
                <w:sz w:val="17"/>
                <w:szCs w:val="17"/>
                <w:color w:val="auto"/>
                <w:w w:val="89"/>
              </w:rPr>
              <w:t>June 30, 2018</w:t>
            </w:r>
          </w:p>
        </w:tc>
        <w:tc>
          <w:tcPr>
            <w:tcW w:w="1380" w:type="dxa"/>
            <w:vAlign w:val="bottom"/>
            <w:gridSpan w:val="2"/>
            <w:shd w:val="clear" w:color="auto" w:fill="CCEEFF"/>
          </w:tcPr>
          <w:p>
            <w:pPr>
              <w:jc w:val="center"/>
              <w:ind w:right="56"/>
              <w:spacing w:after="0"/>
              <w:rPr>
                <w:sz w:val="20"/>
                <w:szCs w:val="20"/>
                <w:color w:val="auto"/>
              </w:rPr>
            </w:pPr>
            <w:r>
              <w:rPr>
                <w:rFonts w:ascii="Arial" w:cs="Arial" w:eastAsia="Arial" w:hAnsi="Arial"/>
                <w:sz w:val="17"/>
                <w:szCs w:val="17"/>
                <w:color w:val="auto"/>
                <w:w w:val="89"/>
              </w:rPr>
              <w:t>June 30, 2017</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8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color w:val="auto"/>
              </w:rPr>
              <w:t>Commercial Auto:</w:t>
            </w:r>
          </w:p>
        </w:tc>
        <w:tc>
          <w:tcPr>
            <w:tcW w:w="19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color w:val="auto"/>
              </w:rPr>
              <w:t>Risk retained</w:t>
            </w:r>
          </w:p>
        </w:tc>
        <w:tc>
          <w:tcPr>
            <w:tcW w:w="4340" w:type="dxa"/>
            <w:vAlign w:val="bottom"/>
            <w:tcBorders>
              <w:top w:val="single" w:sz="8" w:color="CCEEFF"/>
            </w:tcBorders>
            <w:gridSpan w:val="2"/>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CCEEFF"/>
            </w:tcBorders>
          </w:tcPr>
          <w:p>
            <w:pPr>
              <w:jc w:val="right"/>
              <w:ind w:right="56"/>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Excess of loss coverage in excess of risk retained</w:t>
            </w: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1,700,000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6"/>
              <w:spacing w:after="0"/>
              <w:rPr>
                <w:sz w:val="20"/>
                <w:szCs w:val="20"/>
                <w:color w:val="auto"/>
              </w:rPr>
            </w:pPr>
            <w:r>
              <w:rPr>
                <w:rFonts w:ascii="Arial" w:cs="Arial" w:eastAsia="Arial" w:hAnsi="Arial"/>
                <w:sz w:val="17"/>
                <w:szCs w:val="17"/>
                <w:color w:val="auto"/>
                <w:w w:val="89"/>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80" w:type="dxa"/>
            <w:vAlign w:val="bottom"/>
            <w:gridSpan w:val="4"/>
          </w:tcPr>
          <w:p>
            <w:pPr>
              <w:spacing w:after="0" w:line="170" w:lineRule="exact"/>
              <w:rPr>
                <w:sz w:val="20"/>
                <w:szCs w:val="20"/>
                <w:color w:val="auto"/>
              </w:rPr>
            </w:pPr>
            <w:r>
              <w:rPr>
                <w:rFonts w:ascii="Arial" w:cs="Arial" w:eastAsia="Arial" w:hAnsi="Arial"/>
                <w:sz w:val="17"/>
                <w:szCs w:val="17"/>
                <w:color w:val="auto"/>
              </w:rPr>
              <w:t>Catastrophe Reinsurance:</w:t>
            </w:r>
          </w:p>
        </w:tc>
        <w:tc>
          <w:tcPr>
            <w:tcW w:w="1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558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Initial loss subject to personal lines quota share treaty</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180"/>
              <w:spacing w:after="0"/>
              <w:rPr>
                <w:sz w:val="20"/>
                <w:szCs w:val="20"/>
                <w:color w:val="auto"/>
              </w:rPr>
            </w:pPr>
            <w:r>
              <w:rPr>
                <w:rFonts w:ascii="Arial" w:cs="Arial" w:eastAsia="Arial" w:hAnsi="Arial"/>
                <w:sz w:val="17"/>
                <w:szCs w:val="17"/>
                <w:color w:val="auto"/>
              </w:rPr>
              <w:t>Risk retained per catastrophe occurrence (2)</w:t>
            </w:r>
          </w:p>
        </w:tc>
        <w:tc>
          <w:tcPr>
            <w:tcW w:w="19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4,000,000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3,000,000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2,400,000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Catastrophe loss coverage in excess of quota share coverage (3) (4)</w:t>
            </w: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315,000,000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247,000,000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176,000,000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tcPr>
          <w:p>
            <w:pPr>
              <w:ind w:left="180"/>
              <w:spacing w:after="0"/>
              <w:rPr>
                <w:sz w:val="20"/>
                <w:szCs w:val="20"/>
                <w:color w:val="auto"/>
              </w:rPr>
            </w:pPr>
            <w:r>
              <w:rPr>
                <w:rFonts w:ascii="Arial" w:cs="Arial" w:eastAsia="Arial" w:hAnsi="Arial"/>
                <w:sz w:val="17"/>
                <w:szCs w:val="17"/>
                <w:color w:val="auto"/>
              </w:rPr>
              <w:t>Severe winter weather aggregate (4)</w:t>
            </w:r>
          </w:p>
        </w:tc>
        <w:tc>
          <w:tcPr>
            <w:tcW w:w="1960" w:type="dxa"/>
            <w:vAlign w:val="bottom"/>
          </w:tcPr>
          <w:p>
            <w:pPr>
              <w:spacing w:after="0"/>
              <w:rPr>
                <w:sz w:val="18"/>
                <w:szCs w:val="18"/>
                <w:color w:val="auto"/>
              </w:rPr>
            </w:pPr>
          </w:p>
        </w:tc>
        <w:tc>
          <w:tcPr>
            <w:tcW w:w="1200" w:type="dxa"/>
            <w:vAlign w:val="bottom"/>
          </w:tcPr>
          <w:p>
            <w:pPr>
              <w:jc w:val="center"/>
              <w:ind w:right="196"/>
              <w:spacing w:after="0"/>
              <w:rPr>
                <w:sz w:val="20"/>
                <w:szCs w:val="20"/>
                <w:color w:val="auto"/>
              </w:rPr>
            </w:pPr>
            <w:r>
              <w:rPr>
                <w:rFonts w:ascii="Arial" w:cs="Arial" w:eastAsia="Arial" w:hAnsi="Arial"/>
                <w:sz w:val="17"/>
                <w:szCs w:val="17"/>
                <w:color w:val="auto"/>
                <w:w w:val="91"/>
              </w:rPr>
              <w:t>No</w:t>
            </w:r>
          </w:p>
        </w:tc>
        <w:tc>
          <w:tcPr>
            <w:tcW w:w="180" w:type="dxa"/>
            <w:vAlign w:val="bottom"/>
          </w:tcPr>
          <w:p>
            <w:pPr>
              <w:spacing w:after="0"/>
              <w:rPr>
                <w:sz w:val="18"/>
                <w:szCs w:val="18"/>
                <w:color w:val="auto"/>
              </w:rPr>
            </w:pPr>
          </w:p>
        </w:tc>
        <w:tc>
          <w:tcPr>
            <w:tcW w:w="1200" w:type="dxa"/>
            <w:vAlign w:val="bottom"/>
          </w:tcPr>
          <w:p>
            <w:pPr>
              <w:jc w:val="center"/>
              <w:ind w:right="196"/>
              <w:spacing w:after="0"/>
              <w:rPr>
                <w:sz w:val="20"/>
                <w:szCs w:val="20"/>
                <w:color w:val="auto"/>
              </w:rPr>
            </w:pPr>
            <w:r>
              <w:rPr>
                <w:rFonts w:ascii="Arial" w:cs="Arial" w:eastAsia="Arial" w:hAnsi="Arial"/>
                <w:sz w:val="17"/>
                <w:szCs w:val="17"/>
                <w:color w:val="auto"/>
                <w:w w:val="91"/>
              </w:rPr>
              <w:t>No</w:t>
            </w:r>
          </w:p>
        </w:tc>
        <w:tc>
          <w:tcPr>
            <w:tcW w:w="160" w:type="dxa"/>
            <w:vAlign w:val="bottom"/>
          </w:tcPr>
          <w:p>
            <w:pPr>
              <w:spacing w:after="0"/>
              <w:rPr>
                <w:sz w:val="18"/>
                <w:szCs w:val="18"/>
                <w:color w:val="auto"/>
              </w:rPr>
            </w:pPr>
          </w:p>
        </w:tc>
        <w:tc>
          <w:tcPr>
            <w:tcW w:w="1120" w:type="dxa"/>
            <w:vAlign w:val="bottom"/>
          </w:tcPr>
          <w:p>
            <w:pPr>
              <w:jc w:val="center"/>
              <w:ind w:right="116"/>
              <w:spacing w:after="0"/>
              <w:rPr>
                <w:sz w:val="20"/>
                <w:szCs w:val="20"/>
                <w:color w:val="auto"/>
              </w:rPr>
            </w:pPr>
            <w:r>
              <w:rPr>
                <w:rFonts w:ascii="Arial" w:cs="Arial" w:eastAsia="Arial" w:hAnsi="Arial"/>
                <w:sz w:val="17"/>
                <w:szCs w:val="17"/>
                <w:color w:val="auto"/>
                <w:w w:val="81"/>
              </w:rPr>
              <w:t>Yes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Reinstatement premium protection (5)</w:t>
            </w: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96"/>
              <w:spacing w:after="0"/>
              <w:rPr>
                <w:sz w:val="20"/>
                <w:szCs w:val="20"/>
                <w:color w:val="auto"/>
              </w:rPr>
            </w:pPr>
            <w:r>
              <w:rPr>
                <w:rFonts w:ascii="Arial" w:cs="Arial" w:eastAsia="Arial" w:hAnsi="Arial"/>
                <w:sz w:val="17"/>
                <w:szCs w:val="17"/>
                <w:color w:val="auto"/>
                <w:w w:val="81"/>
              </w:rPr>
              <w:t>Yes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196"/>
              <w:spacing w:after="0"/>
              <w:rPr>
                <w:sz w:val="20"/>
                <w:szCs w:val="20"/>
                <w:color w:val="auto"/>
              </w:rPr>
            </w:pPr>
            <w:r>
              <w:rPr>
                <w:rFonts w:ascii="Arial" w:cs="Arial" w:eastAsia="Arial" w:hAnsi="Arial"/>
                <w:sz w:val="17"/>
                <w:szCs w:val="17"/>
                <w:color w:val="auto"/>
                <w:w w:val="81"/>
              </w:rPr>
              <w:t>Yes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16"/>
              <w:spacing w:after="0"/>
              <w:rPr>
                <w:sz w:val="20"/>
                <w:szCs w:val="20"/>
                <w:color w:val="auto"/>
              </w:rPr>
            </w:pPr>
            <w:r>
              <w:rPr>
                <w:rFonts w:ascii="Arial" w:cs="Arial" w:eastAsia="Arial" w:hAnsi="Arial"/>
                <w:sz w:val="17"/>
                <w:szCs w:val="17"/>
                <w:color w:val="auto"/>
                <w:w w:val="81"/>
              </w:rPr>
              <w:t>Yes</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696"/>
              <w:spacing w:after="0"/>
              <w:rPr>
                <w:sz w:val="20"/>
                <w:szCs w:val="20"/>
                <w:color w:val="auto"/>
              </w:rPr>
            </w:pPr>
            <w:r>
              <w:rPr>
                <w:rFonts w:ascii="Arial" w:cs="Arial" w:eastAsia="Arial" w:hAnsi="Arial"/>
                <w:sz w:val="13"/>
                <w:szCs w:val="13"/>
                <w:color w:val="auto"/>
              </w:rPr>
              <w:t>23</w:t>
            </w: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8" w:right="239" w:bottom="1440" w:gutter="0" w:footer="0" w:header="0"/>
        </w:sectPr>
      </w:pPr>
    </w:p>
    <w:bookmarkStart w:id="25" w:name="page26"/>
    <w:bookmarkEnd w:id="25"/>
    <w:p>
      <w:pPr>
        <w:ind w:left="320" w:hanging="315"/>
        <w:spacing w:after="0" w:line="260"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13" w:lineRule="exact"/>
        <w:rPr>
          <w:rFonts w:ascii="Arial" w:cs="Arial" w:eastAsia="Arial" w:hAnsi="Arial"/>
          <w:sz w:val="17"/>
          <w:szCs w:val="17"/>
          <w:color w:val="auto"/>
        </w:rPr>
      </w:pPr>
    </w:p>
    <w:p>
      <w:pPr>
        <w:ind w:left="320" w:hanging="315"/>
        <w:spacing w:after="0" w:line="256"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From July 1, 2015 through June 30, 2016, catastrophe treaty also covered losses caused by severe winter weather during any consecutive 28 day period.</w:t>
      </w:r>
    </w:p>
    <w:p>
      <w:pPr>
        <w:spacing w:after="0" w:line="25" w:lineRule="exact"/>
        <w:rPr>
          <w:rFonts w:ascii="Arial" w:cs="Arial" w:eastAsia="Arial" w:hAnsi="Arial"/>
          <w:sz w:val="16"/>
          <w:szCs w:val="16"/>
          <w:color w:val="auto"/>
        </w:rPr>
      </w:pPr>
    </w:p>
    <w:p>
      <w:pPr>
        <w:ind w:left="320" w:hanging="315"/>
        <w:spacing w:after="0" w:line="256"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Effective July 1, 2015, reinstatement premium protection for $16,000,000 of catastrophe coverage in excess of $4,000,000. Effective July 1, 2016, reinstatement premium protection for $20,000,000 of catastrophe coverage in excess of $5,000,000.</w:t>
      </w:r>
    </w:p>
    <w:p>
      <w:pPr>
        <w:spacing w:after="0" w:line="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Effective July 1, 2017, reinstatement premium protection for $145,000,000 of catastrophe coverage in excess of $5,000,000.</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single maximum risks per occurrence to which the Company is subject under the treaties that expired on June 30, 2017 and 2016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0" w:type="dxa"/>
            <w:vAlign w:val="bottom"/>
            <w:tcBorders>
              <w:bottom w:val="single" w:sz="8" w:color="auto"/>
            </w:tcBorders>
            <w:gridSpan w:val="2"/>
          </w:tcPr>
          <w:p>
            <w:pPr>
              <w:ind w:left="1380"/>
              <w:spacing w:after="0"/>
              <w:rPr>
                <w:sz w:val="20"/>
                <w:szCs w:val="20"/>
                <w:color w:val="auto"/>
              </w:rPr>
            </w:pPr>
            <w:r>
              <w:rPr>
                <w:rFonts w:ascii="Arial" w:cs="Arial" w:eastAsia="Arial" w:hAnsi="Arial"/>
                <w:sz w:val="14"/>
                <w:szCs w:val="14"/>
                <w:b w:val="1"/>
                <w:bCs w:val="1"/>
                <w:color w:val="auto"/>
                <w:w w:val="98"/>
              </w:rPr>
              <w:t>July 1, 2016 - June 30, 2017</w:t>
            </w:r>
          </w:p>
        </w:tc>
        <w:tc>
          <w:tcPr>
            <w:tcW w:w="1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2"/>
          </w:tcPr>
          <w:p>
            <w:pPr>
              <w:ind w:left="1440"/>
              <w:spacing w:after="0"/>
              <w:rPr>
                <w:sz w:val="20"/>
                <w:szCs w:val="20"/>
                <w:color w:val="auto"/>
              </w:rPr>
            </w:pPr>
            <w:r>
              <w:rPr>
                <w:rFonts w:ascii="Arial" w:cs="Arial" w:eastAsia="Arial" w:hAnsi="Arial"/>
                <w:sz w:val="14"/>
                <w:szCs w:val="14"/>
                <w:b w:val="1"/>
                <w:bCs w:val="1"/>
                <w:color w:val="auto"/>
                <w:w w:val="94"/>
              </w:rPr>
              <w:t>July 1, 2015 - June 30, 2016</w:t>
            </w: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Treaty</w:t>
            </w:r>
          </w:p>
        </w:tc>
        <w:tc>
          <w:tcPr>
            <w:tcW w:w="240" w:type="dxa"/>
            <w:vAlign w:val="bottom"/>
          </w:tcPr>
          <w:p>
            <w:pPr>
              <w:spacing w:after="0"/>
              <w:rPr>
                <w:sz w:val="16"/>
                <w:szCs w:val="16"/>
                <w:color w:val="auto"/>
              </w:rPr>
            </w:pPr>
          </w:p>
        </w:tc>
        <w:tc>
          <w:tcPr>
            <w:tcW w:w="27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Extent of Loss</w:t>
            </w:r>
          </w:p>
        </w:tc>
        <w:tc>
          <w:tcPr>
            <w:tcW w:w="460" w:type="dxa"/>
            <w:vAlign w:val="bottom"/>
          </w:tcPr>
          <w:p>
            <w:pPr>
              <w:spacing w:after="0"/>
              <w:rPr>
                <w:sz w:val="16"/>
                <w:szCs w:val="16"/>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Risk Retained</w:t>
            </w:r>
          </w:p>
        </w:tc>
        <w:tc>
          <w:tcPr>
            <w:tcW w:w="460" w:type="dxa"/>
            <w:vAlign w:val="bottom"/>
          </w:tcPr>
          <w:p>
            <w:pPr>
              <w:spacing w:after="0"/>
              <w:rPr>
                <w:sz w:val="16"/>
                <w:szCs w:val="16"/>
                <w:color w:val="auto"/>
              </w:rPr>
            </w:pPr>
          </w:p>
        </w:tc>
        <w:tc>
          <w:tcPr>
            <w:tcW w:w="274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Extent of Loss</w:t>
            </w:r>
          </w:p>
        </w:tc>
        <w:tc>
          <w:tcPr>
            <w:tcW w:w="440" w:type="dxa"/>
            <w:vAlign w:val="bottom"/>
          </w:tcPr>
          <w:p>
            <w:pPr>
              <w:spacing w:after="0"/>
              <w:rPr>
                <w:sz w:val="16"/>
                <w:szCs w:val="16"/>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Risk Retained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$833,333</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46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7"/>
                <w:szCs w:val="17"/>
                <w:color w:val="auto"/>
              </w:rPr>
              <w:t>$833,333 - $4,500,000</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None(1)</w:t>
            </w:r>
          </w:p>
        </w:tc>
        <w:tc>
          <w:tcPr>
            <w:tcW w:w="3200" w:type="dxa"/>
            <w:vAlign w:val="bottom"/>
            <w:gridSpan w:val="2"/>
          </w:tcPr>
          <w:p>
            <w:pPr>
              <w:ind w:left="500"/>
              <w:spacing w:after="0"/>
              <w:rPr>
                <w:sz w:val="20"/>
                <w:szCs w:val="20"/>
                <w:color w:val="auto"/>
              </w:rPr>
            </w:pPr>
            <w:r>
              <w:rPr>
                <w:rFonts w:ascii="Arial" w:cs="Arial" w:eastAsia="Arial" w:hAnsi="Arial"/>
                <w:sz w:val="17"/>
                <w:szCs w:val="17"/>
                <w:color w:val="auto"/>
              </w:rPr>
              <w:t>$750,000 - $4,500,000</w:t>
            </w:r>
          </w:p>
        </w:tc>
        <w:tc>
          <w:tcPr>
            <w:tcW w:w="4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46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None</w:t>
            </w:r>
          </w:p>
        </w:tc>
        <w:tc>
          <w:tcPr>
            <w:tcW w:w="3200" w:type="dxa"/>
            <w:vAlign w:val="bottom"/>
            <w:gridSpan w:val="2"/>
          </w:tcPr>
          <w:p>
            <w:pPr>
              <w:ind w:left="500"/>
              <w:spacing w:after="0"/>
              <w:rPr>
                <w:sz w:val="20"/>
                <w:szCs w:val="20"/>
                <w:color w:val="auto"/>
              </w:rPr>
            </w:pPr>
            <w:r>
              <w:rPr>
                <w:rFonts w:ascii="Arial" w:cs="Arial" w:eastAsia="Arial" w:hAnsi="Arial"/>
                <w:sz w:val="17"/>
                <w:szCs w:val="17"/>
                <w:color w:val="auto"/>
              </w:rPr>
              <w:t>$1,000,000 - $3,000,000</w:t>
            </w:r>
          </w:p>
        </w:tc>
        <w:tc>
          <w:tcPr>
            <w:tcW w:w="44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$3,000,000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$500,000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46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$425,000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7"/>
                <w:szCs w:val="17"/>
                <w:color w:val="auto"/>
              </w:rPr>
              <w:t>$500,000 - $4,500,000</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None(1)</w:t>
            </w:r>
          </w:p>
        </w:tc>
        <w:tc>
          <w:tcPr>
            <w:tcW w:w="3200" w:type="dxa"/>
            <w:vAlign w:val="bottom"/>
            <w:gridSpan w:val="2"/>
          </w:tcPr>
          <w:p>
            <w:pPr>
              <w:ind w:left="500"/>
              <w:spacing w:after="0"/>
              <w:rPr>
                <w:sz w:val="20"/>
                <w:szCs w:val="20"/>
                <w:color w:val="auto"/>
              </w:rPr>
            </w:pPr>
            <w:r>
              <w:rPr>
                <w:rFonts w:ascii="Arial" w:cs="Arial" w:eastAsia="Arial" w:hAnsi="Arial"/>
                <w:sz w:val="17"/>
                <w:szCs w:val="17"/>
                <w:color w:val="auto"/>
              </w:rPr>
              <w:t>$425,000 - $4,500,000</w:t>
            </w:r>
          </w:p>
        </w:tc>
        <w:tc>
          <w:tcPr>
            <w:tcW w:w="4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None(1)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4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None</w:t>
            </w:r>
          </w:p>
        </w:tc>
        <w:tc>
          <w:tcPr>
            <w:tcW w:w="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(2)</w:t>
            </w: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$5,000,000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w:t>
            </w:r>
          </w:p>
        </w:tc>
        <w:tc>
          <w:tcPr>
            <w:tcW w:w="46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ind w:left="40"/>
              <w:spacing w:after="0"/>
              <w:rPr>
                <w:sz w:val="20"/>
                <w:szCs w:val="20"/>
                <w:color w:val="auto"/>
              </w:rPr>
            </w:pPr>
            <w:r>
              <w:rPr>
                <w:rFonts w:ascii="Arial" w:cs="Arial" w:eastAsia="Arial" w:hAnsi="Arial"/>
                <w:sz w:val="17"/>
                <w:szCs w:val="17"/>
                <w:color w:val="auto"/>
              </w:rPr>
              <w:t>$5,000,000 - $252,000,000</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None</w:t>
            </w:r>
          </w:p>
        </w:tc>
        <w:tc>
          <w:tcPr>
            <w:tcW w:w="3200" w:type="dxa"/>
            <w:vAlign w:val="bottom"/>
            <w:gridSpan w:val="2"/>
          </w:tcPr>
          <w:p>
            <w:pPr>
              <w:ind w:left="500"/>
              <w:spacing w:after="0"/>
              <w:rPr>
                <w:sz w:val="20"/>
                <w:szCs w:val="20"/>
                <w:color w:val="auto"/>
              </w:rPr>
            </w:pPr>
            <w:r>
              <w:rPr>
                <w:rFonts w:ascii="Arial" w:cs="Arial" w:eastAsia="Arial" w:hAnsi="Arial"/>
                <w:sz w:val="17"/>
                <w:szCs w:val="17"/>
                <w:color w:val="auto"/>
              </w:rPr>
              <w:t>$4,000,000 - $180,000,000</w:t>
            </w:r>
          </w:p>
        </w:tc>
        <w:tc>
          <w:tcPr>
            <w:tcW w:w="44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$252,000,000</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6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$180,000,000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40" w:hanging="308"/>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57" w:lineRule="exact"/>
        <w:rPr>
          <w:rFonts w:ascii="Arial" w:cs="Arial" w:eastAsia="Arial" w:hAnsi="Arial"/>
          <w:sz w:val="17"/>
          <w:szCs w:val="17"/>
          <w:color w:val="auto"/>
        </w:rPr>
      </w:pPr>
    </w:p>
    <w:p>
      <w:pPr>
        <w:ind w:left="940" w:hanging="308"/>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The single maximum risks per occurrence to which the Company is subject under the new treaties effective July 1, 2017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08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Treaty</w:t>
            </w:r>
          </w:p>
        </w:tc>
        <w:tc>
          <w:tcPr>
            <w:tcW w:w="440" w:type="dxa"/>
            <w:vAlign w:val="bottom"/>
            <w:vMerge w:val="restart"/>
          </w:tcPr>
          <w:p>
            <w:pPr>
              <w:spacing w:after="0"/>
              <w:rPr>
                <w:sz w:val="15"/>
                <w:szCs w:val="15"/>
                <w:color w:val="auto"/>
              </w:rPr>
            </w:pPr>
          </w:p>
        </w:tc>
        <w:tc>
          <w:tcPr>
            <w:tcW w:w="3060" w:type="dxa"/>
            <w:vAlign w:val="bottom"/>
          </w:tcPr>
          <w:p>
            <w:pPr>
              <w:spacing w:after="0"/>
              <w:rPr>
                <w:sz w:val="15"/>
                <w:szCs w:val="15"/>
                <w:color w:val="auto"/>
              </w:rPr>
            </w:pPr>
          </w:p>
        </w:tc>
        <w:tc>
          <w:tcPr>
            <w:tcW w:w="4840" w:type="dxa"/>
            <w:vAlign w:val="bottom"/>
            <w:gridSpan w:val="4"/>
          </w:tcPr>
          <w:p>
            <w:pPr>
              <w:ind w:left="40"/>
              <w:spacing w:after="0"/>
              <w:rPr>
                <w:sz w:val="20"/>
                <w:szCs w:val="20"/>
                <w:color w:val="auto"/>
              </w:rPr>
            </w:pPr>
            <w:r>
              <w:rPr>
                <w:rFonts w:ascii="Arial" w:cs="Arial" w:eastAsia="Arial" w:hAnsi="Arial"/>
                <w:sz w:val="14"/>
                <w:szCs w:val="14"/>
                <w:b w:val="1"/>
                <w:bCs w:val="1"/>
                <w:color w:val="auto"/>
              </w:rPr>
              <w:t>July 1, 2017 - June 30, 2018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060" w:type="dxa"/>
            <w:vAlign w:val="bottom"/>
            <w:tcBorders>
              <w:top w:val="single" w:sz="8" w:color="auto"/>
              <w:bottom w:val="single" w:sz="8" w:color="auto"/>
            </w:tcBorders>
          </w:tcPr>
          <w:p>
            <w:pPr>
              <w:ind w:left="2160"/>
              <w:spacing w:after="0" w:line="157" w:lineRule="exact"/>
              <w:rPr>
                <w:sz w:val="20"/>
                <w:szCs w:val="20"/>
                <w:color w:val="auto"/>
              </w:rPr>
            </w:pPr>
            <w:r>
              <w:rPr>
                <w:rFonts w:ascii="Arial" w:cs="Arial" w:eastAsia="Arial" w:hAnsi="Arial"/>
                <w:sz w:val="14"/>
                <w:szCs w:val="14"/>
                <w:b w:val="1"/>
                <w:bCs w:val="1"/>
                <w:color w:val="auto"/>
                <w:w w:val="91"/>
              </w:rPr>
              <w:t>Extent of Loss</w:t>
            </w:r>
          </w:p>
        </w:tc>
        <w:tc>
          <w:tcPr>
            <w:tcW w:w="20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280" w:type="dxa"/>
            <w:vAlign w:val="bottom"/>
            <w:tcBorders>
              <w:top w:val="single" w:sz="8" w:color="auto"/>
              <w:bottom w:val="single" w:sz="8" w:color="auto"/>
            </w:tcBorders>
          </w:tcPr>
          <w:p>
            <w:pPr>
              <w:jc w:val="right"/>
              <w:ind w:right="597"/>
              <w:spacing w:after="0" w:line="157" w:lineRule="exact"/>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 (1)</w:t>
            </w:r>
          </w:p>
        </w:tc>
        <w:tc>
          <w:tcPr>
            <w:tcW w:w="306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Initial $1,000,000</w:t>
            </w:r>
          </w:p>
        </w:tc>
        <w:tc>
          <w:tcPr>
            <w:tcW w:w="4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Arial" w:cs="Arial" w:eastAsia="Arial" w:hAnsi="Arial"/>
                <w:sz w:val="17"/>
                <w:szCs w:val="17"/>
                <w:color w:val="auto"/>
              </w:rPr>
              <w:t>$1,000,000 - $10,000,000</w:t>
            </w:r>
          </w:p>
        </w:tc>
        <w:tc>
          <w:tcPr>
            <w:tcW w:w="2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None(2)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Over $10,000,000</w:t>
            </w:r>
          </w:p>
        </w:tc>
        <w:tc>
          <w:tcPr>
            <w:tcW w:w="4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306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Initial $1,000,000</w:t>
            </w:r>
          </w:p>
        </w:tc>
        <w:tc>
          <w:tcPr>
            <w:tcW w:w="4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Arial" w:cs="Arial" w:eastAsia="Arial" w:hAnsi="Arial"/>
                <w:sz w:val="17"/>
                <w:szCs w:val="17"/>
                <w:color w:val="auto"/>
              </w:rPr>
              <w:t>$1,000,000 - $5,000,000</w:t>
            </w:r>
          </w:p>
        </w:tc>
        <w:tc>
          <w:tcPr>
            <w:tcW w:w="2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Over $5,000,000</w:t>
            </w:r>
          </w:p>
        </w:tc>
        <w:tc>
          <w:tcPr>
            <w:tcW w:w="4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306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Initial $750,000</w:t>
            </w:r>
          </w:p>
        </w:tc>
        <w:tc>
          <w:tcPr>
            <w:tcW w:w="4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Arial" w:cs="Arial" w:eastAsia="Arial" w:hAnsi="Arial"/>
                <w:sz w:val="17"/>
                <w:szCs w:val="17"/>
                <w:color w:val="auto"/>
              </w:rPr>
              <w:t>$750,000 - $4,500,000</w:t>
            </w:r>
          </w:p>
        </w:tc>
        <w:tc>
          <w:tcPr>
            <w:tcW w:w="2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None(3)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Over $4,500,000</w:t>
            </w:r>
          </w:p>
        </w:tc>
        <w:tc>
          <w:tcPr>
            <w:tcW w:w="4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306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Initial $1,000,000</w:t>
            </w:r>
          </w:p>
        </w:tc>
        <w:tc>
          <w:tcPr>
            <w:tcW w:w="4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Arial" w:cs="Arial" w:eastAsia="Arial" w:hAnsi="Arial"/>
                <w:sz w:val="17"/>
                <w:szCs w:val="17"/>
                <w:color w:val="auto"/>
              </w:rPr>
              <w:t>$1,000,000 - $5,000,000</w:t>
            </w:r>
          </w:p>
        </w:tc>
        <w:tc>
          <w:tcPr>
            <w:tcW w:w="2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Over $5,000,000</w:t>
            </w:r>
          </w:p>
        </w:tc>
        <w:tc>
          <w:tcPr>
            <w:tcW w:w="4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(4)</w:t>
            </w:r>
          </w:p>
        </w:tc>
        <w:tc>
          <w:tcPr>
            <w:tcW w:w="306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Initial $5,000,000</w:t>
            </w:r>
          </w:p>
        </w:tc>
        <w:tc>
          <w:tcPr>
            <w:tcW w:w="4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60" w:type="dxa"/>
            <w:vAlign w:val="bottom"/>
          </w:tcPr>
          <w:p>
            <w:pPr>
              <w:ind w:left="60"/>
              <w:spacing w:after="0"/>
              <w:rPr>
                <w:sz w:val="20"/>
                <w:szCs w:val="20"/>
                <w:color w:val="auto"/>
              </w:rPr>
            </w:pPr>
            <w:r>
              <w:rPr>
                <w:rFonts w:ascii="Arial" w:cs="Arial" w:eastAsia="Arial" w:hAnsi="Arial"/>
                <w:sz w:val="17"/>
                <w:szCs w:val="17"/>
                <w:color w:val="auto"/>
              </w:rPr>
              <w:t>$5,000,000 - $320,000,000</w:t>
            </w:r>
          </w:p>
        </w:tc>
        <w:tc>
          <w:tcPr>
            <w:tcW w:w="2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Over $320,000,000</w:t>
            </w:r>
          </w:p>
        </w:tc>
        <w:tc>
          <w:tcPr>
            <w:tcW w:w="4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940" w:hanging="308"/>
        <w:spacing w:after="0" w:line="281" w:lineRule="auto"/>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Two year treaty with expiration date of June 30, 2019. The Company and the reinsurers have the option to reduce quota share rate or terminate on June 30, 2018 as discussed above.</w:t>
      </w:r>
    </w:p>
    <w:p>
      <w:pPr>
        <w:spacing w:after="0" w:line="104" w:lineRule="exact"/>
        <w:rPr>
          <w:rFonts w:ascii="Arial" w:cs="Arial" w:eastAsia="Arial" w:hAnsi="Arial"/>
          <w:sz w:val="17"/>
          <w:szCs w:val="17"/>
          <w:color w:val="auto"/>
        </w:rPr>
      </w:pPr>
    </w:p>
    <w:p>
      <w:pPr>
        <w:ind w:left="940" w:hanging="308"/>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57" w:lineRule="exact"/>
        <w:rPr>
          <w:rFonts w:ascii="Arial" w:cs="Arial" w:eastAsia="Arial" w:hAnsi="Arial"/>
          <w:sz w:val="17"/>
          <w:szCs w:val="17"/>
          <w:color w:val="auto"/>
        </w:rPr>
      </w:pPr>
    </w:p>
    <w:p>
      <w:pPr>
        <w:ind w:left="940" w:hanging="308"/>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57" w:lineRule="exact"/>
        <w:rPr>
          <w:rFonts w:ascii="Arial" w:cs="Arial" w:eastAsia="Arial" w:hAnsi="Arial"/>
          <w:sz w:val="17"/>
          <w:szCs w:val="17"/>
          <w:color w:val="auto"/>
        </w:rPr>
      </w:pPr>
    </w:p>
    <w:p>
      <w:pPr>
        <w:ind w:left="940" w:hanging="308"/>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estimated ultimate treaty year loss ratios (“Loss Ratio(s)”) for treaties in effect for the three months and six months ended June 30, 2017 are attributable to contracts for the 2016/2017 Treaty. The Company’s Loss Ratios for treaties in effect for the three months and six months ended June 30, 2016 are attributable to contracts for the 2015/2016 Treaty.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7" w:name="page28"/>
    <w:bookmarkEnd w:id="27"/>
    <w:p>
      <w:pPr>
        <w:ind w:left="640"/>
        <w:spacing w:after="0"/>
        <w:rPr>
          <w:sz w:val="20"/>
          <w:szCs w:val="20"/>
          <w:color w:val="auto"/>
        </w:rPr>
      </w:pPr>
      <w:r>
        <w:rPr>
          <w:rFonts w:ascii="Arial" w:cs="Arial" w:eastAsia="Arial" w:hAnsi="Arial"/>
          <w:sz w:val="17"/>
          <w:szCs w:val="17"/>
          <w:i w:val="1"/>
          <w:iCs w:val="1"/>
          <w:color w:val="auto"/>
        </w:rPr>
        <w:t>Treaties in effect for the three months and six months ended June 30, 2017</w:t>
      </w:r>
    </w:p>
    <w:p>
      <w:pPr>
        <w:spacing w:after="0" w:line="223" w:lineRule="exact"/>
        <w:rPr>
          <w:sz w:val="20"/>
          <w:szCs w:val="20"/>
          <w:color w:val="auto"/>
        </w:rPr>
      </w:pPr>
    </w:p>
    <w:p>
      <w:pPr>
        <w:jc w:val="both"/>
        <w:ind w:left="640"/>
        <w:spacing w:after="0" w:line="263" w:lineRule="auto"/>
        <w:rPr>
          <w:sz w:val="20"/>
          <w:szCs w:val="20"/>
          <w:color w:val="auto"/>
        </w:rPr>
      </w:pPr>
      <w:r>
        <w:rPr>
          <w:rFonts w:ascii="Arial" w:cs="Arial" w:eastAsia="Arial" w:hAnsi="Arial"/>
          <w:sz w:val="17"/>
          <w:szCs w:val="17"/>
          <w:color w:val="auto"/>
        </w:rPr>
        <w:t>Under the 2016/2017 Treaty, the Company received an upfront fixed provisional rate that was subject to a sliding scale contingent adjustment based upon Loss Ratio. Under this arrangement, the Company earned provisional ceding commissions that were subject to later adjustment dependent on changes to the estimated Loss Ratio for the 2016/2017 Treaty. The Company’s Loss Ratios for the period July 1, 2016 through June 30, 2017 (attributable to the 2016/2017 Treaty) were consistent with the contractual Loss Ratio at which the provisional ceding commissions were earned and therefore no contingent commission was recorded for the three months and six months ended June 30, 2017.</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Treaties in effect for the three months and six months ended June 30, 2016</w:t>
      </w:r>
    </w:p>
    <w:p>
      <w:pPr>
        <w:spacing w:after="0" w:line="223" w:lineRule="exact"/>
        <w:rPr>
          <w:sz w:val="20"/>
          <w:szCs w:val="20"/>
          <w:color w:val="auto"/>
        </w:rPr>
      </w:pPr>
    </w:p>
    <w:p>
      <w:pPr>
        <w:jc w:val="both"/>
        <w:ind w:left="640"/>
        <w:spacing w:after="0" w:line="261" w:lineRule="auto"/>
        <w:rPr>
          <w:sz w:val="20"/>
          <w:szCs w:val="20"/>
          <w:color w:val="auto"/>
        </w:rPr>
      </w:pPr>
      <w:r>
        <w:rPr>
          <w:rFonts w:ascii="Arial" w:cs="Arial" w:eastAsia="Arial" w:hAnsi="Arial"/>
          <w:sz w:val="17"/>
          <w:szCs w:val="17"/>
          <w:color w:val="auto"/>
        </w:rPr>
        <w:t>Under the 2015/2016 Treaty, the Company received an upfront fixed provisional rate that was subject to a sliding scale contingent rate adjustment based on Loss Ratio. Under this arrangement, the Company earned provisional ceding commissions that were subject to later adjustment dependent on changes to the estimated Loss Ratio for the 2015/2016 Treaty. The Company’s Loss Ratio for the period July 1, 2015 through June 30, 2016, which were attributable to the 2015/2016 Treaty, was higher than the contractual Loss Ratio at which provisional ceding commissions were earned. Accordingly, for the three months and six months ended June 30, 2016, the Company’s contingent ceding commission earned was reduced as a result of the estimated Loss Ratio for the 2015/2016 Treaty.</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treaties that were in effect for the three months and six months ended June 30, 2017 and 2016, the Loss Ratios from prior years’ treaties are subject to change as incurred losses from those periods increase or decrease, resulting in an increase or decrease in the commission rate and contingent ceding commissions earned.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Ceding commission revenue consists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0" w:type="dxa"/>
            <w:vAlign w:val="bottom"/>
            <w:gridSpan w:val="3"/>
          </w:tcPr>
          <w:p>
            <w:pPr>
              <w:jc w:val="right"/>
              <w:ind w:right="69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Provisional ceding commissions earned</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2"/>
              <w:spacing w:after="0"/>
              <w:rPr>
                <w:sz w:val="20"/>
                <w:szCs w:val="20"/>
                <w:color w:val="auto"/>
              </w:rPr>
            </w:pPr>
            <w:r>
              <w:rPr>
                <w:rFonts w:ascii="Arial" w:cs="Arial" w:eastAsia="Arial" w:hAnsi="Arial"/>
                <w:sz w:val="17"/>
                <w:szCs w:val="17"/>
                <w:color w:val="auto"/>
              </w:rPr>
              <w:t>3,424,577</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78"/>
              <w:spacing w:after="0"/>
              <w:rPr>
                <w:sz w:val="20"/>
                <w:szCs w:val="20"/>
                <w:color w:val="auto"/>
              </w:rPr>
            </w:pPr>
            <w:r>
              <w:rPr>
                <w:rFonts w:ascii="Arial" w:cs="Arial" w:eastAsia="Arial" w:hAnsi="Arial"/>
                <w:sz w:val="17"/>
                <w:szCs w:val="17"/>
                <w:color w:val="auto"/>
              </w:rPr>
              <w:t>3,222,851</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02"/>
              <w:spacing w:after="0"/>
              <w:rPr>
                <w:sz w:val="20"/>
                <w:szCs w:val="20"/>
                <w:color w:val="auto"/>
              </w:rPr>
            </w:pPr>
            <w:r>
              <w:rPr>
                <w:rFonts w:ascii="Arial" w:cs="Arial" w:eastAsia="Arial" w:hAnsi="Arial"/>
                <w:sz w:val="17"/>
                <w:szCs w:val="17"/>
                <w:color w:val="auto"/>
              </w:rPr>
              <w:t>6,768,346</w:t>
            </w:r>
          </w:p>
        </w:tc>
        <w:tc>
          <w:tcPr>
            <w:tcW w:w="50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58"/>
              <w:spacing w:after="0"/>
              <w:rPr>
                <w:sz w:val="20"/>
                <w:szCs w:val="20"/>
                <w:color w:val="auto"/>
              </w:rPr>
            </w:pPr>
            <w:r>
              <w:rPr>
                <w:rFonts w:ascii="Arial" w:cs="Arial" w:eastAsia="Arial" w:hAnsi="Arial"/>
                <w:sz w:val="17"/>
                <w:szCs w:val="17"/>
                <w:color w:val="auto"/>
                <w:w w:val="87"/>
              </w:rPr>
              <w:t>6,322,465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(118,639)</w:t>
            </w: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(653,826)</w:t>
            </w:r>
          </w:p>
        </w:tc>
        <w:tc>
          <w:tcPr>
            <w:tcW w:w="3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(277,956)</w:t>
            </w:r>
          </w:p>
        </w:tc>
        <w:tc>
          <w:tcPr>
            <w:tcW w:w="5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(983,103)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7"/>
                <w:szCs w:val="17"/>
                <w:color w:val="auto"/>
              </w:rPr>
              <w:t>3,305,938</w:t>
            </w:r>
          </w:p>
        </w:tc>
        <w:tc>
          <w:tcPr>
            <w:tcW w:w="3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2,569,025</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7"/>
                <w:szCs w:val="17"/>
                <w:color w:val="auto"/>
              </w:rPr>
              <w:t>6,490,390</w:t>
            </w:r>
          </w:p>
        </w:tc>
        <w:tc>
          <w:tcPr>
            <w:tcW w:w="5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w w:val="87"/>
              </w:rPr>
              <w:t>5,339,362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Contingent ceding commissions earned in any period include the combined effect of changes recorded for all active treaties. As of June 30, 2017 and December 31, 2016, net contingent ceding commissions payable to reinsurers under all treaties was approximately $1,170,000 and $773,000, respectively, which are recorded in reinsurance balances payable in the accompanying condensed consolidated balance sheets.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Note 7 – Stockholders’ Equity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Public Offering of Common Stock</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January 31, 2017, the Company closed on an underwritten public offering of 2,500,000 shares of its Common Stock. On February 14, 2017, the Company closed on the underwriters’ purchase option for an additional 192,500 shares of its Common Stock. The public offering price for the 2,692,500 shares sold was $12.00 per share. The aggregate net proceeds to the Company were approximately $30,137,000, after deducting underwriting discounts and commissions and other offering expenses in the aggregate amount of approximately $2,173,000.</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 2017, the Company used $23,000,000 of the net proceeds from the offering to contribute capital to its insurance subsidiary, KICO, to support its ratings upgrade plan and additional growth. The remainder of the net proceeds will be used for general corporate purposes. A shelf registration statement relating to the shares sold in the offering was filed with the SEC and became effective on January 19, 2017.</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Dividends declared and paid on Common Stock were $1,513,633 and $952,128 for the six months ended June 30, 2017 and 2016, respectively. The Company’s Board of Directors approved a quarterly dividend on August 9, 2017 of $.08 per share payable in cash on September 15, 2017 to stockholders of record as of August 31, 2017 (see Note 11).</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Options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Pursuant to the Company’s 2014 Equity Participation Plan (the “2014 Plan”), a maximum of 700,000 shares of Common Stock of the Company are authorized to be issued pursuant to the grant of incentive stock options, non-statutory stock options, stock appreciation rights, restricted stock and stock bonuses. Incentive stock options granted under the 2014 Plan and 2005 Plan expire no later than ten years from the date of grant (except no later than five years for a grant to a 10% stockholder). The Board of Directors or the Compensation Committee of the Board determines the expiration date with respect to non-statutory stock options and the vesting provisions for restricted stock granted under the 2014 Plan and 2005 Plan.</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results of operations for the three months ended June 30, 2017 and 2016 include stock-based stock option compensation expense totaling approximately $14,000 and $34,000, respectively. The results of operations for the six months ended June 30, 2017 and 2016 include stock-based stock option compensation expense totaling approximately $30,000 and $66,000, respectively. Stock-based compensation expense related to stock options is net of estimated forfeitures of 17% for the three months and six months ended June 30, 2017 and 2016. Such amounts have been included in the condensed consolidated statements of income and comprehensive income within other operating expenses.</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Stock-based compensation expense for the six months ended June 30, 2017 and 2016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No options were granted during the six months ended June 30, 2017. The weighted average estimated fair value of stock options granted during the six months ended June 30, 2016 was $1.87 per share. The fair value of stock options at the grant date was estimated using the Black-Scholes option-pricing model. The following weighted average assumptions were used for grants during the following periods: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29" w:name="page30"/>
    <w:bookmarkEnd w:id="29"/>
    <w:p>
      <w:pPr>
        <w:jc w:val="center"/>
        <w:ind w:left="6860"/>
        <w:spacing w:after="0"/>
        <w:rPr>
          <w:sz w:val="20"/>
          <w:szCs w:val="20"/>
          <w:color w:val="auto"/>
        </w:rPr>
      </w:pPr>
      <w:r>
        <w:rPr>
          <w:rFonts w:ascii="Arial" w:cs="Arial" w:eastAsia="Arial" w:hAnsi="Arial"/>
          <w:sz w:val="14"/>
          <w:szCs w:val="14"/>
          <w:b w:val="1"/>
          <w:bCs w:val="1"/>
          <w:color w:val="333333"/>
        </w:rPr>
        <w:t>Six months ended</w:t>
      </w:r>
    </w:p>
    <w:p>
      <w:pPr>
        <w:spacing w:after="0" w:line="5"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333333"/>
        </w:rPr>
        <w:t>June 30,</w:t>
      </w: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400" w:type="dxa"/>
            <w:vAlign w:val="bottom"/>
            <w:tcBorders>
              <w:top w:val="single" w:sz="8" w:color="auto"/>
            </w:tcBorders>
            <w:gridSpan w:val="3"/>
          </w:tcPr>
          <w:p>
            <w:pPr>
              <w:jc w:val="right"/>
              <w:ind w:right="85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333333"/>
              </w:rPr>
              <w:t>Dividend Yield</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333333"/>
                <w:w w:val="84"/>
              </w:rPr>
              <w:t>n/a</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33333"/>
              </w:rPr>
              <w:t>2.74%</w:t>
            </w:r>
          </w:p>
        </w:tc>
        <w:tc>
          <w:tcPr>
            <w:tcW w:w="1120" w:type="dxa"/>
            <w:vAlign w:val="bottom"/>
            <w:shd w:val="clear" w:color="auto" w:fill="CCEEFF"/>
          </w:tcPr>
          <w:p>
            <w:pPr>
              <w:ind w:left="20"/>
              <w:spacing w:after="0"/>
              <w:rPr>
                <w:sz w:val="20"/>
                <w:szCs w:val="20"/>
                <w:color w:val="auto"/>
              </w:rPr>
            </w:pPr>
            <w:r>
              <w:rPr>
                <w:rFonts w:ascii="Arial" w:cs="Arial" w:eastAsia="Arial" w:hAnsi="Arial"/>
                <w:sz w:val="17"/>
                <w:szCs w:val="17"/>
                <w:color w:val="333333"/>
              </w:rPr>
              <w:t>- 3.18%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333333"/>
              </w:rPr>
              <w:t>Volatility</w:t>
            </w:r>
          </w:p>
        </w:tc>
        <w:tc>
          <w:tcPr>
            <w:tcW w:w="2160" w:type="dxa"/>
            <w:vAlign w:val="bottom"/>
          </w:tcPr>
          <w:p>
            <w:pPr>
              <w:jc w:val="center"/>
              <w:spacing w:after="0"/>
              <w:rPr>
                <w:sz w:val="20"/>
                <w:szCs w:val="20"/>
                <w:color w:val="auto"/>
              </w:rPr>
            </w:pPr>
            <w:r>
              <w:rPr>
                <w:rFonts w:ascii="Arial" w:cs="Arial" w:eastAsia="Arial" w:hAnsi="Arial"/>
                <w:sz w:val="17"/>
                <w:szCs w:val="17"/>
                <w:color w:val="333333"/>
                <w:w w:val="84"/>
              </w:rPr>
              <w:t>n/a</w:t>
            </w:r>
          </w:p>
        </w:tc>
        <w:tc>
          <w:tcPr>
            <w:tcW w:w="1280" w:type="dxa"/>
            <w:vAlign w:val="bottom"/>
            <w:gridSpan w:val="2"/>
          </w:tcPr>
          <w:p>
            <w:pPr>
              <w:jc w:val="right"/>
              <w:spacing w:after="0"/>
              <w:rPr>
                <w:sz w:val="20"/>
                <w:szCs w:val="20"/>
                <w:color w:val="auto"/>
              </w:rPr>
            </w:pPr>
            <w:r>
              <w:rPr>
                <w:rFonts w:ascii="Arial" w:cs="Arial" w:eastAsia="Arial" w:hAnsi="Arial"/>
                <w:sz w:val="17"/>
                <w:szCs w:val="17"/>
                <w:color w:val="333333"/>
              </w:rPr>
              <w:t>31.61%</w:t>
            </w:r>
          </w:p>
        </w:tc>
        <w:tc>
          <w:tcPr>
            <w:tcW w:w="1120" w:type="dxa"/>
            <w:vAlign w:val="bottom"/>
          </w:tcPr>
          <w:p>
            <w:pPr>
              <w:ind w:left="20"/>
              <w:spacing w:after="0"/>
              <w:rPr>
                <w:sz w:val="20"/>
                <w:szCs w:val="20"/>
                <w:color w:val="auto"/>
              </w:rPr>
            </w:pPr>
            <w:r>
              <w:rPr>
                <w:rFonts w:ascii="Arial" w:cs="Arial" w:eastAsia="Arial" w:hAnsi="Arial"/>
                <w:sz w:val="17"/>
                <w:szCs w:val="17"/>
                <w:color w:val="333333"/>
              </w:rPr>
              <w:t>- 31.81%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333333"/>
              </w:rPr>
              <w:t>Risk-Free Interest Rate</w:t>
            </w:r>
          </w:p>
        </w:tc>
        <w:tc>
          <w:tcPr>
            <w:tcW w:w="2160" w:type="dxa"/>
            <w:vAlign w:val="bottom"/>
            <w:shd w:val="clear" w:color="auto" w:fill="CCEEFF"/>
          </w:tcPr>
          <w:p>
            <w:pPr>
              <w:jc w:val="center"/>
              <w:spacing w:after="0"/>
              <w:rPr>
                <w:sz w:val="20"/>
                <w:szCs w:val="20"/>
                <w:color w:val="auto"/>
              </w:rPr>
            </w:pPr>
            <w:r>
              <w:rPr>
                <w:rFonts w:ascii="Arial" w:cs="Arial" w:eastAsia="Arial" w:hAnsi="Arial"/>
                <w:sz w:val="17"/>
                <w:szCs w:val="17"/>
                <w:color w:val="333333"/>
                <w:w w:val="84"/>
              </w:rPr>
              <w:t>n/a</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33333"/>
              </w:rPr>
              <w:t>1.01%</w:t>
            </w:r>
          </w:p>
        </w:tc>
        <w:tc>
          <w:tcPr>
            <w:tcW w:w="1120" w:type="dxa"/>
            <w:vAlign w:val="bottom"/>
            <w:shd w:val="clear" w:color="auto" w:fill="CCEEFF"/>
          </w:tcPr>
          <w:p>
            <w:pPr>
              <w:ind w:left="20"/>
              <w:spacing w:after="0"/>
              <w:rPr>
                <w:sz w:val="20"/>
                <w:szCs w:val="20"/>
                <w:color w:val="auto"/>
              </w:rPr>
            </w:pPr>
            <w:r>
              <w:rPr>
                <w:rFonts w:ascii="Arial" w:cs="Arial" w:eastAsia="Arial" w:hAnsi="Arial"/>
                <w:sz w:val="17"/>
                <w:szCs w:val="17"/>
                <w:color w:val="333333"/>
              </w:rPr>
              <w:t>- 1.11%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333333"/>
              </w:rPr>
              <w:t>Expected Life</w:t>
            </w:r>
          </w:p>
        </w:tc>
        <w:tc>
          <w:tcPr>
            <w:tcW w:w="2160" w:type="dxa"/>
            <w:vAlign w:val="bottom"/>
          </w:tcPr>
          <w:p>
            <w:pPr>
              <w:jc w:val="center"/>
              <w:spacing w:after="0"/>
              <w:rPr>
                <w:sz w:val="20"/>
                <w:szCs w:val="20"/>
                <w:color w:val="auto"/>
              </w:rPr>
            </w:pPr>
            <w:r>
              <w:rPr>
                <w:rFonts w:ascii="Arial" w:cs="Arial" w:eastAsia="Arial" w:hAnsi="Arial"/>
                <w:sz w:val="17"/>
                <w:szCs w:val="17"/>
                <w:color w:val="333333"/>
                <w:w w:val="84"/>
              </w:rPr>
              <w:t>n/a</w:t>
            </w:r>
          </w:p>
        </w:tc>
        <w:tc>
          <w:tcPr>
            <w:tcW w:w="24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7"/>
                <w:szCs w:val="17"/>
                <w:color w:val="333333"/>
                <w:w w:val="88"/>
              </w:rPr>
              <w:t>3.25 years</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 activity under the Company’s 2014 Plan and 2005 Plan for the six months ended June 30, 2017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jc w:val="center"/>
              <w:ind w:right="23"/>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Pr>
          <w:p>
            <w:pPr>
              <w:jc w:val="center"/>
              <w:ind w:right="23"/>
              <w:spacing w:after="0" w:line="157"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center"/>
              <w:ind w:right="297"/>
              <w:spacing w:after="0" w:line="157" w:lineRule="exact"/>
              <w:rPr>
                <w:sz w:val="20"/>
                <w:szCs w:val="20"/>
                <w:color w:val="auto"/>
              </w:rPr>
            </w:pPr>
            <w:r>
              <w:rPr>
                <w:rFonts w:ascii="Arial" w:cs="Arial" w:eastAsia="Arial" w:hAnsi="Arial"/>
                <w:sz w:val="14"/>
                <w:szCs w:val="14"/>
                <w:b w:val="1"/>
                <w:bCs w:val="1"/>
                <w:color w:val="auto"/>
                <w:w w:val="91"/>
              </w:rPr>
              <w:t>Weighted</w:t>
            </w:r>
          </w:p>
        </w:tc>
        <w:tc>
          <w:tcPr>
            <w:tcW w:w="1280" w:type="dxa"/>
            <w:vAlign w:val="bottom"/>
          </w:tcPr>
          <w:p>
            <w:pPr>
              <w:jc w:val="center"/>
              <w:ind w:right="3"/>
              <w:spacing w:after="0" w:line="157"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380" w:type="dxa"/>
            <w:vAlign w:val="bottom"/>
          </w:tcPr>
          <w:p>
            <w:pPr>
              <w:jc w:val="right"/>
              <w:ind w:right="278"/>
              <w:spacing w:after="0" w:line="157" w:lineRule="exact"/>
              <w:rPr>
                <w:sz w:val="20"/>
                <w:szCs w:val="20"/>
                <w:color w:val="auto"/>
              </w:rPr>
            </w:pPr>
            <w:r>
              <w:rPr>
                <w:rFonts w:ascii="Arial" w:cs="Arial" w:eastAsia="Arial" w:hAnsi="Arial"/>
                <w:sz w:val="14"/>
                <w:szCs w:val="14"/>
                <w:b w:val="1"/>
                <w:bCs w:val="1"/>
                <w:color w:val="auto"/>
              </w:rPr>
              <w:t>Number of</w:t>
            </w:r>
          </w:p>
        </w:tc>
        <w:tc>
          <w:tcPr>
            <w:tcW w:w="146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89"/>
              </w:rPr>
              <w:t>Average Exercise</w:t>
            </w:r>
          </w:p>
        </w:tc>
        <w:tc>
          <w:tcPr>
            <w:tcW w:w="1280" w:type="dxa"/>
            <w:vAlign w:val="bottom"/>
          </w:tcPr>
          <w:p>
            <w:pPr>
              <w:jc w:val="center"/>
              <w:ind w:right="23"/>
              <w:spacing w:after="0" w:line="157"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3"/>
                <w:szCs w:val="13"/>
                <w:color w:val="auto"/>
              </w:rPr>
            </w:pPr>
          </w:p>
        </w:tc>
        <w:tc>
          <w:tcPr>
            <w:tcW w:w="1140" w:type="dxa"/>
            <w:vAlign w:val="bottom"/>
          </w:tcPr>
          <w:p>
            <w:pPr>
              <w:jc w:val="right"/>
              <w:ind w:right="278"/>
              <w:spacing w:after="0" w:line="157"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Stock Options</w:t>
            </w:r>
          </w:p>
        </w:tc>
        <w:tc>
          <w:tcPr>
            <w:tcW w:w="13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Shares</w:t>
            </w:r>
          </w:p>
        </w:tc>
        <w:tc>
          <w:tcPr>
            <w:tcW w:w="1460" w:type="dxa"/>
            <w:vAlign w:val="bottom"/>
            <w:tcBorders>
              <w:bottom w:val="single" w:sz="8" w:color="auto"/>
            </w:tcBorders>
            <w:gridSpan w:val="2"/>
          </w:tcPr>
          <w:p>
            <w:pPr>
              <w:jc w:val="center"/>
              <w:ind w:right="17"/>
              <w:spacing w:after="0"/>
              <w:rPr>
                <w:sz w:val="20"/>
                <w:szCs w:val="20"/>
                <w:color w:val="auto"/>
              </w:rPr>
            </w:pPr>
            <w:r>
              <w:rPr>
                <w:rFonts w:ascii="Arial" w:cs="Arial" w:eastAsia="Arial" w:hAnsi="Arial"/>
                <w:sz w:val="14"/>
                <w:szCs w:val="14"/>
                <w:b w:val="1"/>
                <w:bCs w:val="1"/>
                <w:color w:val="auto"/>
                <w:w w:val="93"/>
              </w:rPr>
              <w:t>Price per Share</w:t>
            </w:r>
          </w:p>
        </w:tc>
        <w:tc>
          <w:tcPr>
            <w:tcW w:w="12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Outstanding at January 1, 2017</w:t>
            </w:r>
          </w:p>
        </w:tc>
        <w:tc>
          <w:tcPr>
            <w:tcW w:w="1380" w:type="dxa"/>
            <w:vAlign w:val="bottom"/>
          </w:tcPr>
          <w:p>
            <w:pPr>
              <w:jc w:val="right"/>
              <w:ind w:right="58"/>
              <w:spacing w:after="0"/>
              <w:rPr>
                <w:sz w:val="20"/>
                <w:szCs w:val="20"/>
                <w:color w:val="auto"/>
              </w:rPr>
            </w:pPr>
            <w:r>
              <w:rPr>
                <w:rFonts w:ascii="Arial" w:cs="Arial" w:eastAsia="Arial" w:hAnsi="Arial"/>
                <w:sz w:val="17"/>
                <w:szCs w:val="17"/>
                <w:color w:val="auto"/>
              </w:rPr>
              <w:t>362,750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7"/>
              <w:spacing w:after="0"/>
              <w:rPr>
                <w:sz w:val="20"/>
                <w:szCs w:val="20"/>
                <w:color w:val="auto"/>
              </w:rPr>
            </w:pPr>
            <w:r>
              <w:rPr>
                <w:rFonts w:ascii="Arial" w:cs="Arial" w:eastAsia="Arial" w:hAnsi="Arial"/>
                <w:sz w:val="17"/>
                <w:szCs w:val="17"/>
                <w:color w:val="auto"/>
              </w:rPr>
              <w:t>6.62</w:t>
            </w:r>
          </w:p>
        </w:tc>
        <w:tc>
          <w:tcPr>
            <w:tcW w:w="1280" w:type="dxa"/>
            <w:vAlign w:val="bottom"/>
          </w:tcPr>
          <w:p>
            <w:pPr>
              <w:jc w:val="right"/>
              <w:ind w:right="63"/>
              <w:spacing w:after="0"/>
              <w:rPr>
                <w:sz w:val="20"/>
                <w:szCs w:val="20"/>
                <w:color w:val="auto"/>
              </w:rPr>
            </w:pPr>
            <w:r>
              <w:rPr>
                <w:rFonts w:ascii="Arial" w:cs="Arial" w:eastAsia="Arial" w:hAnsi="Arial"/>
                <w:sz w:val="17"/>
                <w:szCs w:val="17"/>
                <w:color w:val="333333"/>
              </w:rPr>
              <w:t>2.61</w:t>
            </w:r>
          </w:p>
        </w:tc>
        <w:tc>
          <w:tcPr>
            <w:tcW w:w="220" w:type="dxa"/>
            <w:vAlign w:val="bottom"/>
          </w:tcPr>
          <w:p>
            <w:pPr>
              <w:jc w:val="right"/>
              <w:spacing w:after="0"/>
              <w:rPr>
                <w:sz w:val="20"/>
                <w:szCs w:val="20"/>
                <w:color w:val="auto"/>
              </w:rPr>
            </w:pPr>
            <w:r>
              <w:rPr>
                <w:rFonts w:ascii="Arial" w:cs="Arial" w:eastAsia="Arial" w:hAnsi="Arial"/>
                <w:sz w:val="17"/>
                <w:szCs w:val="17"/>
                <w:color w:val="333333"/>
              </w:rPr>
              <w:t>$</w:t>
            </w:r>
          </w:p>
        </w:tc>
        <w:tc>
          <w:tcPr>
            <w:tcW w:w="1140" w:type="dxa"/>
            <w:vAlign w:val="bottom"/>
          </w:tcPr>
          <w:p>
            <w:pPr>
              <w:jc w:val="right"/>
              <w:ind w:right="58"/>
              <w:spacing w:after="0"/>
              <w:rPr>
                <w:sz w:val="20"/>
                <w:szCs w:val="20"/>
                <w:color w:val="auto"/>
              </w:rPr>
            </w:pPr>
            <w:r>
              <w:rPr>
                <w:rFonts w:ascii="Arial" w:cs="Arial" w:eastAsia="Arial" w:hAnsi="Arial"/>
                <w:sz w:val="17"/>
                <w:szCs w:val="17"/>
                <w:color w:val="333333"/>
              </w:rPr>
              <w:t>2,586,748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Granted</w:t>
            </w:r>
          </w:p>
        </w:tc>
        <w:tc>
          <w:tcPr>
            <w:tcW w:w="138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6.26</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333333"/>
              </w:rPr>
              <w:t>$</w:t>
            </w:r>
          </w:p>
        </w:tc>
        <w:tc>
          <w:tcPr>
            <w:tcW w:w="11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333333"/>
              </w:rPr>
              <w:t>50,188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Forfeited</w:t>
            </w:r>
          </w:p>
        </w:tc>
        <w:tc>
          <w:tcPr>
            <w:tcW w:w="13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333333"/>
              </w:rPr>
              <w:t>$</w:t>
            </w:r>
          </w:p>
        </w:tc>
        <w:tc>
          <w:tcPr>
            <w:tcW w:w="1140" w:type="dxa"/>
            <w:vAlign w:val="bottom"/>
          </w:tcPr>
          <w:p>
            <w:pPr>
              <w:jc w:val="right"/>
              <w:ind w:right="58"/>
              <w:spacing w:after="0"/>
              <w:rPr>
                <w:sz w:val="20"/>
                <w:szCs w:val="20"/>
                <w:color w:val="auto"/>
              </w:rPr>
            </w:pPr>
            <w:r>
              <w:rPr>
                <w:rFonts w:ascii="Arial" w:cs="Arial" w:eastAsia="Arial" w:hAnsi="Arial"/>
                <w:sz w:val="17"/>
                <w:szCs w:val="17"/>
                <w:color w:val="333333"/>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0" w:type="dxa"/>
            <w:vAlign w:val="bottom"/>
            <w:vMerge w:val="continue"/>
          </w:tcPr>
          <w:p>
            <w:pPr>
              <w:spacing w:after="0"/>
              <w:rPr>
                <w:sz w:val="22"/>
                <w:szCs w:val="22"/>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7"/>
                <w:szCs w:val="17"/>
                <w:color w:val="333333"/>
              </w:rPr>
              <w:t>Outstanding at June 30, 2017</w:t>
            </w:r>
          </w:p>
        </w:tc>
        <w:tc>
          <w:tcPr>
            <w:tcW w:w="13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356,250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6.63</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7"/>
                <w:szCs w:val="17"/>
                <w:color w:val="333333"/>
              </w:rPr>
              <w:t>2.12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333333"/>
              </w:rPr>
              <w:t>$</w:t>
            </w:r>
          </w:p>
        </w:tc>
        <w:tc>
          <w:tcPr>
            <w:tcW w:w="11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333333"/>
              </w:rPr>
              <w:t>3,090,223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Borders>
              <w:bottom w:val="single" w:sz="8" w:color="auto"/>
            </w:tcBorders>
            <w:vMerge w:val="continue"/>
          </w:tcPr>
          <w:p>
            <w:pPr>
              <w:spacing w:after="0"/>
              <w:rPr>
                <w:sz w:val="22"/>
                <w:szCs w:val="22"/>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7"/>
                <w:szCs w:val="17"/>
                <w:color w:val="333333"/>
              </w:rPr>
              <w:t>Vested and Exercisable at June 30, 2017</w:t>
            </w:r>
          </w:p>
        </w:tc>
        <w:tc>
          <w:tcPr>
            <w:tcW w:w="13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273,750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6.48</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7"/>
                <w:szCs w:val="17"/>
                <w:color w:val="333333"/>
              </w:rPr>
              <w:t>1.96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333333"/>
              </w:rPr>
              <w:t>$</w:t>
            </w:r>
          </w:p>
        </w:tc>
        <w:tc>
          <w:tcPr>
            <w:tcW w:w="11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333333"/>
              </w:rPr>
              <w:t>2,415,123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aggregate intrinsic value of options outstanding and options exercisable at June 30, 2017 is calculated as the difference between the exercise price of the underlying options and the market price of the Company’s Common Stock for the options that had exercise prices that were lower than the $15.30 closing price of the Company’s Common Stock on June 30, 2017.</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Participants in the 2005 and 2014 Plans may exercise their outstanding vested options, in whole or in part, by having the Company reduce the number of shares otherwise issuable by a number of shares having a fair market value equal to the exercise price of the option being exercised (“Net Exercise”). The Company received cash proceeds of $39,361 from the exercise of options for the purchase of 6,250 shares of Common Stock during the six months ended June 30, 2017. The remaining 250 options exercised during the six months ended June 30, 2017 were Net Exercises, resulting in the issuance of 166 shares of Common Stock. No options were exercised during the six months ended June 30, 2016.</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0" w:name="page31"/>
    <w:bookmarkEnd w:id="30"/>
    <w:p>
      <w:pPr>
        <w:jc w:val="both"/>
        <w:spacing w:after="0" w:line="281" w:lineRule="auto"/>
        <w:rPr>
          <w:sz w:val="20"/>
          <w:szCs w:val="20"/>
          <w:color w:val="auto"/>
        </w:rPr>
      </w:pPr>
      <w:r>
        <w:rPr>
          <w:rFonts w:ascii="Arial" w:cs="Arial" w:eastAsia="Arial" w:hAnsi="Arial"/>
          <w:sz w:val="17"/>
          <w:szCs w:val="17"/>
          <w:color w:val="auto"/>
        </w:rPr>
        <w:t>As of June 30, 2017, the fair value of unamortized compensation cost related to unvested stock option awards was approximately $14,000. Unamortized compensation cost as of June 30, 2017 is expected to be recognized over a remaining weighted-average vesting period of 0.78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2017, there were 556,573 shares reserved for grants under the 2014 Plan.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Equity Compensation</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January 2017, the Company granted a total of 8,000 shares of restricted Common Stock under the 2014 Plan to its four non-employee directors. In January 2016, the Company granted a total of 6,000 shares of restricted Common Stock under the 2014 Plan to its three then non-employee directors. In March 2016, the Company granted 1,500 shares of restricted Common Stock under the 2014 Plan to a newly elected non-employee director. One-third of the shares granted will vest on each of the three annual anniversaries following the grant date.</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2017, the Company granted a total of 16,000 shares of restricted Common Stock under the 2014 Plan to two executive officers. In April 2017 the Company granted a total of 24,010 shares of restricted Common Stock under the 2014 Plan to four executive officers and thirteen employees. The shares granted to executives and employees will vest on a monthly basis over the three year period following the grant date.</w:t>
      </w:r>
    </w:p>
    <w:p>
      <w:pPr>
        <w:spacing w:after="0" w:line="180"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Fair value was calculated using the closing price of our Common Stock on the grant date. For the three months and six months ended June 30, 2017, stock-based compensation of approximately $55,000 and $97,000, respectively, for these grants is included in the condensed consolidated statements of income and comprehensive income. These amounts reflect the Company’s accounting expense and do not correspond to the actual value that will be recognized by the executives and employees.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Income Taxes</w:t>
      </w:r>
    </w:p>
    <w:p>
      <w:pPr>
        <w:spacing w:after="0" w:line="227"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condensed consolidated financial statements taken as a whole for the respective periods.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Significant components of the Company’s deferred tax assets and liabilities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377"/>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Deferred tax asset:</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operating loss carryovers (1)</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112,760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131,626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Claims reserve discount</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97"/>
              <w:spacing w:after="0"/>
              <w:rPr>
                <w:sz w:val="20"/>
                <w:szCs w:val="20"/>
                <w:color w:val="auto"/>
              </w:rPr>
            </w:pPr>
            <w:r>
              <w:rPr>
                <w:rFonts w:ascii="Arial" w:cs="Arial" w:eastAsia="Arial" w:hAnsi="Arial"/>
                <w:sz w:val="17"/>
                <w:szCs w:val="17"/>
                <w:color w:val="auto"/>
              </w:rPr>
              <w:t>449,361</w:t>
            </w:r>
          </w:p>
        </w:tc>
        <w:tc>
          <w:tcPr>
            <w:tcW w:w="20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417,349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Unearned premium</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3,141,650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2,877,365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Deferred ceding commission revenue</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97"/>
              <w:spacing w:after="0"/>
              <w:rPr>
                <w:sz w:val="20"/>
                <w:szCs w:val="20"/>
                <w:color w:val="auto"/>
              </w:rPr>
            </w:pPr>
            <w:r>
              <w:rPr>
                <w:rFonts w:ascii="Arial" w:cs="Arial" w:eastAsia="Arial" w:hAnsi="Arial"/>
                <w:sz w:val="17"/>
                <w:szCs w:val="17"/>
                <w:color w:val="auto"/>
              </w:rPr>
              <w:t>2,457,848</w:t>
            </w:r>
          </w:p>
        </w:tc>
        <w:tc>
          <w:tcPr>
            <w:tcW w:w="20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2,329,626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3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372,142</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188,675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6,533,761</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5,944,641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Deferred tax liability:</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 in KICO (2)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1,169,000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1,169,000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Deferred acquisition costs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97"/>
              <w:spacing w:after="0"/>
              <w:rPr>
                <w:sz w:val="20"/>
                <w:szCs w:val="20"/>
                <w:color w:val="auto"/>
              </w:rPr>
            </w:pPr>
            <w:r>
              <w:rPr>
                <w:rFonts w:ascii="Arial" w:cs="Arial" w:eastAsia="Arial" w:hAnsi="Arial"/>
                <w:sz w:val="17"/>
                <w:szCs w:val="17"/>
                <w:color w:val="auto"/>
              </w:rPr>
              <w:t>4,516,786</w:t>
            </w:r>
          </w:p>
        </w:tc>
        <w:tc>
          <w:tcPr>
            <w:tcW w:w="20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4,161,526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Intangibles</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401,200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459,000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97"/>
              <w:spacing w:after="0"/>
              <w:rPr>
                <w:sz w:val="20"/>
                <w:szCs w:val="20"/>
                <w:color w:val="auto"/>
              </w:rPr>
            </w:pPr>
            <w:r>
              <w:rPr>
                <w:rFonts w:ascii="Arial" w:cs="Arial" w:eastAsia="Arial" w:hAnsi="Arial"/>
                <w:sz w:val="17"/>
                <w:szCs w:val="17"/>
                <w:color w:val="auto"/>
              </w:rPr>
              <w:t>267,447</w:t>
            </w:r>
          </w:p>
        </w:tc>
        <w:tc>
          <w:tcPr>
            <w:tcW w:w="200" w:type="dxa"/>
            <w:vAlign w:val="bottom"/>
          </w:tcPr>
          <w:p>
            <w:pPr>
              <w:spacing w:after="0"/>
              <w:rPr>
                <w:sz w:val="18"/>
                <w:szCs w:val="18"/>
                <w:color w:val="auto"/>
              </w:rPr>
            </w:pPr>
          </w:p>
        </w:tc>
        <w:tc>
          <w:tcPr>
            <w:tcW w:w="1120" w:type="dxa"/>
            <w:vAlign w:val="bottom"/>
          </w:tcPr>
          <w:p>
            <w:pPr>
              <w:jc w:val="right"/>
              <w:ind w:right="57"/>
              <w:spacing w:after="0"/>
              <w:rPr>
                <w:sz w:val="20"/>
                <w:szCs w:val="20"/>
                <w:color w:val="auto"/>
              </w:rPr>
            </w:pPr>
            <w:r>
              <w:rPr>
                <w:rFonts w:ascii="Arial" w:cs="Arial" w:eastAsia="Arial" w:hAnsi="Arial"/>
                <w:sz w:val="17"/>
                <w:szCs w:val="17"/>
                <w:color w:val="auto"/>
              </w:rPr>
              <w:t>265,671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unrealized appreciation of securities - available for sale</w:t>
            </w:r>
          </w:p>
        </w:tc>
        <w:tc>
          <w:tcPr>
            <w:tcW w:w="3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519,168</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56,393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deferred tax liabilities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6,873,601</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6,111,590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Net deferred income tax liability</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(339,840)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(166,949)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gridSpan w:val="3"/>
            <w:vMerge w:val="restart"/>
          </w:tcPr>
          <w:p>
            <w:pPr>
              <w:ind w:left="620"/>
              <w:spacing w:after="0"/>
              <w:rPr>
                <w:sz w:val="20"/>
                <w:szCs w:val="20"/>
                <w:color w:val="auto"/>
              </w:rPr>
            </w:pPr>
            <w:r>
              <w:rPr>
                <w:rFonts w:ascii="Arial" w:cs="Arial" w:eastAsia="Arial" w:hAnsi="Arial"/>
                <w:sz w:val="17"/>
                <w:szCs w:val="17"/>
                <w:color w:val="auto"/>
              </w:rPr>
              <w:t>(1)  The deferred tax assets from net operating loss carryovers (“NOL”) are as follows:</w:t>
            </w: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73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92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333333"/>
              </w:rPr>
              <w:t>Type of NOL</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333333"/>
              </w:rPr>
              <w:t>2017</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333333"/>
              </w:rPr>
              <w:t>2016</w:t>
            </w:r>
          </w:p>
        </w:tc>
        <w:tc>
          <w:tcPr>
            <w:tcW w:w="3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957"/>
              <w:spacing w:after="0"/>
              <w:rPr>
                <w:sz w:val="20"/>
                <w:szCs w:val="20"/>
                <w:color w:val="auto"/>
              </w:rPr>
            </w:pPr>
            <w:r>
              <w:rPr>
                <w:rFonts w:ascii="Arial" w:cs="Arial" w:eastAsia="Arial" w:hAnsi="Arial"/>
                <w:sz w:val="14"/>
                <w:szCs w:val="14"/>
                <w:b w:val="1"/>
                <w:bCs w:val="1"/>
                <w:color w:val="333333"/>
              </w:rPr>
              <w:t>Expiration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333333"/>
              </w:rPr>
              <w:t>State only (A)</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333333"/>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333333"/>
              </w:rPr>
              <w:t>730,737</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333333"/>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333333"/>
              </w:rPr>
              <w:t>655,719</w:t>
            </w:r>
          </w:p>
        </w:tc>
        <w:tc>
          <w:tcPr>
            <w:tcW w:w="34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jc w:val="right"/>
              <w:ind w:right="617"/>
              <w:spacing w:after="0"/>
              <w:rPr>
                <w:sz w:val="20"/>
                <w:szCs w:val="20"/>
                <w:color w:val="auto"/>
              </w:rPr>
            </w:pPr>
            <w:r>
              <w:rPr>
                <w:rFonts w:ascii="Arial" w:cs="Arial" w:eastAsia="Arial" w:hAnsi="Arial"/>
                <w:sz w:val="17"/>
                <w:szCs w:val="17"/>
                <w:color w:val="333333"/>
              </w:rPr>
              <w:t>December 31, 2037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333333"/>
              </w:rPr>
              <w:t>Valuation allowance</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333333"/>
              </w:rPr>
              <w:t>(624,777)</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333333"/>
              </w:rPr>
              <w:t>(534,293)</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333333"/>
              </w:rPr>
              <w:t>State only, net of valuation allowance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333333"/>
              </w:rPr>
              <w:t>105,960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333333"/>
              </w:rPr>
              <w:t>121,426</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333333"/>
              </w:rPr>
              <w:t>Amount subject to Annual Limitation, federal only (B)</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333333"/>
              </w:rPr>
              <w:t>6,800</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333333"/>
              </w:rPr>
              <w:t>10,200</w:t>
            </w:r>
          </w:p>
        </w:tc>
        <w:tc>
          <w:tcPr>
            <w:tcW w:w="340" w:type="dxa"/>
            <w:vAlign w:val="bottom"/>
          </w:tcPr>
          <w:p>
            <w:pPr>
              <w:spacing w:after="0"/>
              <w:rPr>
                <w:sz w:val="18"/>
                <w:szCs w:val="18"/>
                <w:color w:val="auto"/>
              </w:rPr>
            </w:pPr>
          </w:p>
        </w:tc>
        <w:tc>
          <w:tcPr>
            <w:tcW w:w="2400" w:type="dxa"/>
            <w:vAlign w:val="bottom"/>
            <w:gridSpan w:val="3"/>
          </w:tcPr>
          <w:p>
            <w:pPr>
              <w:jc w:val="right"/>
              <w:ind w:right="617"/>
              <w:spacing w:after="0"/>
              <w:rPr>
                <w:sz w:val="20"/>
                <w:szCs w:val="20"/>
                <w:color w:val="auto"/>
              </w:rPr>
            </w:pPr>
            <w:r>
              <w:rPr>
                <w:rFonts w:ascii="Arial" w:cs="Arial" w:eastAsia="Arial" w:hAnsi="Arial"/>
                <w:sz w:val="17"/>
                <w:szCs w:val="17"/>
                <w:color w:val="333333"/>
              </w:rPr>
              <w:t>December 31, 2019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333333"/>
              </w:rPr>
              <w:t>Total deferred tax asset from net operating loss carryovers</w:t>
            </w: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333333"/>
              </w:rPr>
              <w:t>$</w:t>
            </w: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333333"/>
              </w:rPr>
              <w:t>112,760</w:t>
            </w:r>
          </w:p>
        </w:tc>
        <w:tc>
          <w:tcPr>
            <w:tcW w:w="3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333333"/>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333333"/>
              </w:rPr>
              <w:t>131,626</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
        <w:spacing w:after="0" w:line="263" w:lineRule="auto"/>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Kingstone generates operating losses for state purposes and has prior year NOLs available. The state NOL as of June 30, 2017 and December 31, 2016 was approximately $11,242,000 and $10,088,000, respectively. KICO, the Company’s insurance underwriting subsidiary, is not subject to state income taxes. KICO’s state tax obligations are paid through a gross premiums tax, which is included in the condensed consolidated statements of income and comprehensive income within other underwriting expenses. A valuation allowance has been recorded due to the uncertainty of generating enough state taxable income to utilize 100% of the available state NOLs over their remaining lives, which expire between 2027 and 2037.</w:t>
      </w:r>
    </w:p>
    <w:p>
      <w:pPr>
        <w:spacing w:after="0" w:line="119" w:lineRule="exact"/>
        <w:rPr>
          <w:rFonts w:ascii="Arial" w:cs="Arial" w:eastAsia="Arial" w:hAnsi="Arial"/>
          <w:sz w:val="17"/>
          <w:szCs w:val="17"/>
          <w:color w:val="auto"/>
        </w:rPr>
      </w:pPr>
    </w:p>
    <w:p>
      <w:pPr>
        <w:jc w:val="both"/>
        <w:ind w:firstLine="5"/>
        <w:spacing w:after="0" w:line="269" w:lineRule="auto"/>
        <w:tabs>
          <w:tab w:leader="none" w:pos="27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has an NOL of $20,000 that is subject to Internal Revenue Code Section 382, which places a limitation on the utilization of the federal NOL loss to approximately $10,000 per year (“Annual Limitation”) as a result of a greater than 50% ownership change of the Company in 1999. The losses subject to the Annual Limitation will be available for future years, expiring through December 31, 2019.</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  Deferred tax liability – Investment in KICO</w:t>
      </w:r>
    </w:p>
    <w:p>
      <w:pPr>
        <w:spacing w:after="0" w:line="15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Company is required to maintain its deferred tax liability of $1,169,000 related to this temporary difference until the stock of KICO is sold, or the assets of KICO are sold or KICO and the parent are merged.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2" w:name="page33"/>
    <w:bookmarkEnd w:id="32"/>
    <w:p>
      <w:pPr>
        <w:jc w:val="both"/>
        <w:spacing w:after="0" w:line="286" w:lineRule="auto"/>
        <w:rPr>
          <w:sz w:val="20"/>
          <w:szCs w:val="20"/>
          <w:color w:val="auto"/>
        </w:rPr>
      </w:pPr>
      <w:r>
        <w:rPr>
          <w:rFonts w:ascii="Arial" w:cs="Arial" w:eastAsia="Arial" w:hAnsi="Arial"/>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had no material unrecognized tax benefit and no adjustments to liabilities or operations were required. There were no interest or penalties related to income taxes that have been accrued or recognized as of and for the six months ended June 30, 2017 and 2016. If any had been recognized these would have been reported in income tax expense.</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Generally, taxing authorities may examine the Company’s tax returns for the three years from the date of filing. The Company’s tax returns for the years ended December 31 2013 through December 31, 2016 remain subject to examination.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Earnings Per Common Share</w:t>
      </w:r>
    </w:p>
    <w:p>
      <w:pPr>
        <w:spacing w:after="0" w:line="1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Basic net earnings per common share is computed by dividing income available to common shareholders by the weighted-average number of common shares outstanding. Diluted earnings per common share reflect, in periods in which they have a dilutive effect, the impact of common shares issuable upon exercise of stock options. The computation of diluted earnings per common share excludes those options with an exercise price in excess of the average market price of the Company’s common shares during the periods presented.</w:t>
      </w:r>
    </w:p>
    <w:p>
      <w:pPr>
        <w:spacing w:after="0" w:line="1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computation of diluted earnings per common share excludes outstanding options in periods where the exercise of such options would be anti-dilutive. For the three months ended June 30, 2017 and 2016, the inclusion of -0- and 29,794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 For the six months ended June 30, 2017 and 2016, the inclusion of -0- and 17,060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The reconciliation of the weighted average number of common shares used in the calculation of basic and diluted earnings per common share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920" w:type="dxa"/>
            <w:vAlign w:val="bottom"/>
            <w:gridSpan w:val="2"/>
          </w:tcPr>
          <w:p>
            <w:pPr>
              <w:jc w:val="right"/>
              <w:ind w:right="838"/>
              <w:spacing w:after="0"/>
              <w:rPr>
                <w:sz w:val="20"/>
                <w:szCs w:val="20"/>
                <w:color w:val="auto"/>
              </w:rPr>
            </w:pPr>
            <w:r>
              <w:rPr>
                <w:rFonts w:ascii="Arial" w:cs="Arial" w:eastAsia="Arial" w:hAnsi="Arial"/>
                <w:sz w:val="14"/>
                <w:szCs w:val="14"/>
                <w:b w:val="1"/>
                <w:bCs w:val="1"/>
                <w:color w:val="333333"/>
              </w:rPr>
              <w:t>Three months ended</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333333"/>
              </w:rPr>
              <w:t>Six months ended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7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333333"/>
              </w:rPr>
              <w:t>June 30,</w:t>
            </w:r>
          </w:p>
        </w:tc>
        <w:tc>
          <w:tcPr>
            <w:tcW w:w="1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333333"/>
              </w:rPr>
              <w:t>June 30,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78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2016</w:t>
            </w:r>
          </w:p>
        </w:tc>
        <w:tc>
          <w:tcPr>
            <w:tcW w:w="1740" w:type="dxa"/>
            <w:vAlign w:val="bottom"/>
            <w:tcBorders>
              <w:bottom w:val="single" w:sz="8" w:color="auto"/>
            </w:tcBorders>
          </w:tcPr>
          <w:p>
            <w:pPr>
              <w:jc w:val="right"/>
              <w:ind w:right="1002"/>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333333"/>
              </w:rPr>
              <w:t>Weighted average number of shares outstanding</w:t>
            </w:r>
          </w:p>
        </w:tc>
        <w:tc>
          <w:tcPr>
            <w:tcW w:w="1780" w:type="dxa"/>
            <w:vAlign w:val="bottom"/>
            <w:shd w:val="clear" w:color="auto" w:fill="CCEEFF"/>
          </w:tcPr>
          <w:p>
            <w:pPr>
              <w:jc w:val="right"/>
              <w:ind w:right="462"/>
              <w:spacing w:after="0"/>
              <w:rPr>
                <w:sz w:val="20"/>
                <w:szCs w:val="20"/>
                <w:color w:val="auto"/>
              </w:rPr>
            </w:pPr>
            <w:r>
              <w:rPr>
                <w:rFonts w:ascii="Arial" w:cs="Arial" w:eastAsia="Arial" w:hAnsi="Arial"/>
                <w:sz w:val="17"/>
                <w:szCs w:val="17"/>
                <w:color w:val="333333"/>
              </w:rPr>
              <w:t>10,622,496</w:t>
            </w:r>
          </w:p>
        </w:tc>
        <w:tc>
          <w:tcPr>
            <w:tcW w:w="1140" w:type="dxa"/>
            <w:vAlign w:val="bottom"/>
            <w:shd w:val="clear" w:color="auto" w:fill="CCEEFF"/>
          </w:tcPr>
          <w:p>
            <w:pPr>
              <w:jc w:val="right"/>
              <w:ind w:right="218"/>
              <w:spacing w:after="0"/>
              <w:rPr>
                <w:sz w:val="20"/>
                <w:szCs w:val="20"/>
                <w:color w:val="auto"/>
              </w:rPr>
            </w:pPr>
            <w:r>
              <w:rPr>
                <w:rFonts w:ascii="Arial" w:cs="Arial" w:eastAsia="Arial" w:hAnsi="Arial"/>
                <w:sz w:val="17"/>
                <w:szCs w:val="17"/>
                <w:color w:val="333333"/>
              </w:rPr>
              <w:t>7,794,347</w:t>
            </w:r>
          </w:p>
        </w:tc>
        <w:tc>
          <w:tcPr>
            <w:tcW w:w="1740" w:type="dxa"/>
            <w:vAlign w:val="bottom"/>
            <w:shd w:val="clear" w:color="auto" w:fill="CCEEFF"/>
          </w:tcPr>
          <w:p>
            <w:pPr>
              <w:jc w:val="right"/>
              <w:ind w:right="602"/>
              <w:spacing w:after="0"/>
              <w:rPr>
                <w:sz w:val="20"/>
                <w:szCs w:val="20"/>
                <w:color w:val="auto"/>
              </w:rPr>
            </w:pPr>
            <w:r>
              <w:rPr>
                <w:rFonts w:ascii="Arial" w:cs="Arial" w:eastAsia="Arial" w:hAnsi="Arial"/>
                <w:sz w:val="17"/>
                <w:szCs w:val="17"/>
                <w:color w:val="333333"/>
              </w:rPr>
              <w:t>10,145,772</w:t>
            </w: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333333"/>
                <w:w w:val="87"/>
              </w:rPr>
              <w:t>7,558,366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333333"/>
              </w:rPr>
              <w:t>Effect of dilutive securities, common share equivalents</w:t>
            </w:r>
          </w:p>
        </w:tc>
        <w:tc>
          <w:tcPr>
            <w:tcW w:w="1780" w:type="dxa"/>
            <w:vAlign w:val="bottom"/>
            <w:tcBorders>
              <w:bottom w:val="single" w:sz="8" w:color="auto"/>
            </w:tcBorders>
          </w:tcPr>
          <w:p>
            <w:pPr>
              <w:jc w:val="right"/>
              <w:ind w:right="462"/>
              <w:spacing w:after="0"/>
              <w:rPr>
                <w:sz w:val="20"/>
                <w:szCs w:val="20"/>
                <w:color w:val="auto"/>
              </w:rPr>
            </w:pPr>
            <w:r>
              <w:rPr>
                <w:rFonts w:ascii="Arial" w:cs="Arial" w:eastAsia="Arial" w:hAnsi="Arial"/>
                <w:sz w:val="17"/>
                <w:szCs w:val="17"/>
                <w:color w:val="333333"/>
              </w:rPr>
              <w:t>200,081</w:t>
            </w:r>
          </w:p>
        </w:tc>
        <w:tc>
          <w:tcPr>
            <w:tcW w:w="1140" w:type="dxa"/>
            <w:vAlign w:val="bottom"/>
            <w:tcBorders>
              <w:bottom w:val="single" w:sz="8" w:color="auto"/>
            </w:tcBorders>
          </w:tcPr>
          <w:p>
            <w:pPr>
              <w:jc w:val="right"/>
              <w:ind w:right="218"/>
              <w:spacing w:after="0"/>
              <w:rPr>
                <w:sz w:val="20"/>
                <w:szCs w:val="20"/>
                <w:color w:val="auto"/>
              </w:rPr>
            </w:pPr>
            <w:r>
              <w:rPr>
                <w:rFonts w:ascii="Arial" w:cs="Arial" w:eastAsia="Arial" w:hAnsi="Arial"/>
                <w:sz w:val="17"/>
                <w:szCs w:val="17"/>
                <w:color w:val="333333"/>
              </w:rPr>
              <w:t>58,937</w:t>
            </w:r>
          </w:p>
        </w:tc>
        <w:tc>
          <w:tcPr>
            <w:tcW w:w="1740" w:type="dxa"/>
            <w:vAlign w:val="bottom"/>
            <w:tcBorders>
              <w:bottom w:val="single" w:sz="8" w:color="auto"/>
            </w:tcBorders>
          </w:tcPr>
          <w:p>
            <w:pPr>
              <w:jc w:val="right"/>
              <w:ind w:right="602"/>
              <w:spacing w:after="0"/>
              <w:rPr>
                <w:sz w:val="20"/>
                <w:szCs w:val="20"/>
                <w:color w:val="auto"/>
              </w:rPr>
            </w:pPr>
            <w:r>
              <w:rPr>
                <w:rFonts w:ascii="Arial" w:cs="Arial" w:eastAsia="Arial" w:hAnsi="Arial"/>
                <w:sz w:val="17"/>
                <w:szCs w:val="17"/>
                <w:color w:val="333333"/>
              </w:rPr>
              <w:t>191,441</w:t>
            </w: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333333"/>
              </w:rPr>
              <w:t>48,865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333333"/>
              </w:rPr>
              <w:t>Weighted average number of shares outstanding,</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333333"/>
              </w:rPr>
              <w:t>used for computing diluted earnings per share</w:t>
            </w:r>
          </w:p>
        </w:tc>
        <w:tc>
          <w:tcPr>
            <w:tcW w:w="178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7"/>
                <w:szCs w:val="17"/>
                <w:color w:val="333333"/>
              </w:rPr>
              <w:t>10,822,577</w:t>
            </w:r>
          </w:p>
        </w:tc>
        <w:tc>
          <w:tcPr>
            <w:tcW w:w="114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7"/>
                <w:szCs w:val="17"/>
                <w:color w:val="333333"/>
              </w:rPr>
              <w:t>7,853,284</w:t>
            </w:r>
          </w:p>
        </w:tc>
        <w:tc>
          <w:tcPr>
            <w:tcW w:w="1740" w:type="dxa"/>
            <w:vAlign w:val="bottom"/>
            <w:tcBorders>
              <w:bottom w:val="single" w:sz="8" w:color="auto"/>
            </w:tcBorders>
            <w:shd w:val="clear" w:color="auto" w:fill="CCEEFF"/>
          </w:tcPr>
          <w:p>
            <w:pPr>
              <w:jc w:val="right"/>
              <w:ind w:right="602"/>
              <w:spacing w:after="0"/>
              <w:rPr>
                <w:sz w:val="20"/>
                <w:szCs w:val="20"/>
                <w:color w:val="auto"/>
              </w:rPr>
            </w:pPr>
            <w:r>
              <w:rPr>
                <w:rFonts w:ascii="Arial" w:cs="Arial" w:eastAsia="Arial" w:hAnsi="Arial"/>
                <w:sz w:val="17"/>
                <w:szCs w:val="17"/>
                <w:color w:val="333333"/>
              </w:rPr>
              <w:t>10,337,213</w:t>
            </w:r>
          </w:p>
        </w:tc>
        <w:tc>
          <w:tcPr>
            <w:tcW w:w="8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333333"/>
                <w:w w:val="87"/>
              </w:rPr>
              <w:t>7,607,231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Litigation</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From time to time, the Company is involved in various legal proceedings in the ordinary course of business. For example, to the extent a claim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Office Lease</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a party to a non-cancellable operating lease, dated March 27, 2015, for its office facility for KICO located in Valley Stream, New York. In June 2016, the Company entered into a lease modification agreement. The original lease had a term of seven years and nine months. The lease modification increased the space occupied by KICO and extended the lease term to seven years and nine months to be measured from the additional premises commencement date. The additional premises commencement date was September 19, 2016, and additional rent was payable beginning March 19, 2017. The original lease commencement date was July 1, 2015 and rent commencement began January 1, 2016.</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to the base rental costs, occupancy lease agreements generally provide for rent escalations resulting from increased assessments from real estate taxes and other charges. Rent expense under the lease is recognized on a straight-line basis over the lease term. At June 30, 2017, cumulative rent expense exceeded cumulative rent payments by $87,857. This difference is recorded as deferred rent and is included in accounts payable, accrued expenses and other liabilities in the accompanying condensed consolidated balance sheets.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As of June 30, 2017, aggregate future minimum rental commitments under the Company’s modified lease agreement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060" w:type="dxa"/>
            <w:vAlign w:val="bottom"/>
          </w:tcPr>
          <w:p>
            <w:pPr>
              <w:spacing w:after="0"/>
              <w:rPr>
                <w:sz w:val="20"/>
                <w:szCs w:val="20"/>
                <w:color w:val="auto"/>
              </w:rPr>
            </w:pPr>
            <w:r>
              <w:rPr>
                <w:rFonts w:ascii="Arial" w:cs="Arial" w:eastAsia="Arial" w:hAnsi="Arial"/>
                <w:sz w:val="14"/>
                <w:szCs w:val="14"/>
                <w:b w:val="1"/>
                <w:bCs w:val="1"/>
                <w:color w:val="auto"/>
              </w:rPr>
              <w:t>For the Year</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10060" w:type="dxa"/>
            <w:vAlign w:val="bottom"/>
          </w:tcPr>
          <w:p>
            <w:pPr>
              <w:spacing w:after="0"/>
              <w:rPr>
                <w:sz w:val="20"/>
                <w:szCs w:val="20"/>
                <w:color w:val="auto"/>
              </w:rPr>
            </w:pPr>
            <w:r>
              <w:rPr>
                <w:rFonts w:ascii="Arial" w:cs="Arial" w:eastAsia="Arial" w:hAnsi="Arial"/>
                <w:sz w:val="14"/>
                <w:szCs w:val="14"/>
                <w:b w:val="1"/>
                <w:bCs w:val="1"/>
                <w:color w:val="auto"/>
              </w:rPr>
              <w:t>Ending</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Total</w:t>
            </w:r>
          </w:p>
        </w:tc>
      </w:tr>
      <w:tr>
        <w:trPr>
          <w:trHeight w:val="209"/>
        </w:trPr>
        <w:tc>
          <w:tcPr>
            <w:tcW w:w="10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2017 (six months)</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79,959</w:t>
            </w:r>
          </w:p>
        </w:tc>
      </w:tr>
      <w:tr>
        <w:trPr>
          <w:trHeight w:val="209"/>
        </w:trPr>
        <w:tc>
          <w:tcPr>
            <w:tcW w:w="10060" w:type="dxa"/>
            <w:vAlign w:val="bottom"/>
          </w:tcPr>
          <w:p>
            <w:pPr>
              <w:ind w:left="40"/>
              <w:spacing w:after="0"/>
              <w:rPr>
                <w:sz w:val="20"/>
                <w:szCs w:val="20"/>
                <w:color w:val="auto"/>
              </w:rPr>
            </w:pPr>
            <w:r>
              <w:rPr>
                <w:rFonts w:ascii="Arial" w:cs="Arial" w:eastAsia="Arial" w:hAnsi="Arial"/>
                <w:sz w:val="17"/>
                <w:szCs w:val="17"/>
                <w:color w:val="auto"/>
              </w:rPr>
              <w:t>2018</w:t>
            </w:r>
          </w:p>
        </w:tc>
        <w:tc>
          <w:tcPr>
            <w:tcW w:w="3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7"/>
                <w:szCs w:val="17"/>
                <w:color w:val="auto"/>
              </w:rPr>
              <w:t>164,117</w:t>
            </w:r>
          </w:p>
        </w:tc>
      </w:tr>
      <w:tr>
        <w:trPr>
          <w:trHeight w:val="209"/>
        </w:trPr>
        <w:tc>
          <w:tcPr>
            <w:tcW w:w="10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2019</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169,861</w:t>
            </w:r>
          </w:p>
        </w:tc>
      </w:tr>
      <w:tr>
        <w:trPr>
          <w:trHeight w:val="209"/>
        </w:trPr>
        <w:tc>
          <w:tcPr>
            <w:tcW w:w="10060" w:type="dxa"/>
            <w:vAlign w:val="bottom"/>
          </w:tcPr>
          <w:p>
            <w:pPr>
              <w:ind w:left="40"/>
              <w:spacing w:after="0"/>
              <w:rPr>
                <w:sz w:val="20"/>
                <w:szCs w:val="20"/>
                <w:color w:val="auto"/>
              </w:rPr>
            </w:pPr>
            <w:r>
              <w:rPr>
                <w:rFonts w:ascii="Arial" w:cs="Arial" w:eastAsia="Arial" w:hAnsi="Arial"/>
                <w:sz w:val="17"/>
                <w:szCs w:val="17"/>
                <w:color w:val="auto"/>
              </w:rPr>
              <w:t>2020</w:t>
            </w:r>
          </w:p>
        </w:tc>
        <w:tc>
          <w:tcPr>
            <w:tcW w:w="38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7"/>
                <w:szCs w:val="17"/>
                <w:color w:val="auto"/>
              </w:rPr>
              <w:t>175,806</w:t>
            </w:r>
          </w:p>
        </w:tc>
      </w:tr>
      <w:tr>
        <w:trPr>
          <w:trHeight w:val="209"/>
        </w:trPr>
        <w:tc>
          <w:tcPr>
            <w:tcW w:w="10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2021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181,959</w:t>
            </w:r>
          </w:p>
        </w:tc>
      </w:tr>
      <w:tr>
        <w:trPr>
          <w:trHeight w:val="215"/>
        </w:trPr>
        <w:tc>
          <w:tcPr>
            <w:tcW w:w="10060" w:type="dxa"/>
            <w:vAlign w:val="bottom"/>
          </w:tcPr>
          <w:p>
            <w:pPr>
              <w:ind w:left="180"/>
              <w:spacing w:after="0"/>
              <w:rPr>
                <w:sz w:val="20"/>
                <w:szCs w:val="20"/>
                <w:color w:val="auto"/>
              </w:rPr>
            </w:pPr>
            <w:r>
              <w:rPr>
                <w:rFonts w:ascii="Arial" w:cs="Arial" w:eastAsia="Arial" w:hAnsi="Arial"/>
                <w:sz w:val="17"/>
                <w:szCs w:val="17"/>
                <w:color w:val="auto"/>
              </w:rPr>
              <w:t>Thereafter</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432,392</w:t>
            </w:r>
          </w:p>
        </w:tc>
      </w:tr>
      <w:tr>
        <w:trPr>
          <w:trHeight w:val="249"/>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1,204,094</w:t>
            </w:r>
          </w:p>
        </w:tc>
      </w:tr>
    </w:tbl>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Rent expense for the three months ended June 30, 2017 and 2016 amounted to $41,342 and $26,126, respectively. Rent expense for the six months ended June 30, 2017 and 2016 amounted to $82,684 and $52,252 respectively. Rent expense is included in the condensed consolidated statements of income and comprehensive income within other underwriting expenses.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Subsequent Events</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has evaluated events that occurred subsequent to June 30, 2017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KICO became a member of the Federal Home Loan Bank of New York (“FHLBNY”).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 and Paid</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August 9, 2017, the Company’s Board of Directors approved a quarterly dividend of $.08 per share payable in cash on September 15, 2017 to stockholders of record as of the close of business on August 31,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Reinsurance</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KICO entered into new annual reinsurance treaties with different terms effective July 1, 2017. See Note 6, Property and Casualty Insurance Activity – Reinsurance.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5" w:name="page36"/>
    <w:bookmarkEnd w:id="35"/>
    <w:p>
      <w:pPr>
        <w:ind w:right="1920"/>
        <w:spacing w:after="0" w:line="463" w:lineRule="auto"/>
        <w:rPr>
          <w:sz w:val="20"/>
          <w:szCs w:val="20"/>
          <w:color w:val="auto"/>
        </w:rPr>
      </w:pPr>
      <w:r>
        <w:rPr>
          <w:rFonts w:ascii="Arial" w:cs="Arial" w:eastAsia="Arial" w:hAnsi="Arial"/>
          <w:sz w:val="17"/>
          <w:szCs w:val="17"/>
          <w:b w:val="1"/>
          <w:bCs w:val="1"/>
          <w:u w:val="single" w:color="auto"/>
          <w:color w:val="auto"/>
        </w:rPr>
        <w:t>ITEM 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MANAGEMENT’S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b w:val="1"/>
          <w:bCs w:val="1"/>
          <w:color w:val="auto"/>
        </w:rPr>
        <w:t xml:space="preserve"> Overview</w:t>
      </w:r>
    </w:p>
    <w:p>
      <w:pPr>
        <w:spacing w:after="0" w:line="22"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We offer property and casualty insurance products to individuals and small businesses in New York State and other markets through our wholly owned subsidiary, Kingstone Insurance Company (“KICO”). KICO’s insureds are located primarily in downstate New York, consisting of New York City, Long Island and Westchester County. We are also licensed in the States of New Jersey, Connecticut, Pennsylvania, Rhode Island and Texas. We began writing homeowners business in New Jersey on May 4, 2017. Although New Jersey is now a growing expansion market for us, KICO currently writes substantially all of its business in New York.</w:t>
      </w:r>
    </w:p>
    <w:p>
      <w:pPr>
        <w:spacing w:after="0" w:line="87" w:lineRule="exact"/>
        <w:rPr>
          <w:sz w:val="20"/>
          <w:szCs w:val="20"/>
          <w:color w:val="auto"/>
        </w:rPr>
      </w:pPr>
    </w:p>
    <w:p>
      <w:pPr>
        <w:jc w:val="both"/>
        <w:ind w:firstLine="628"/>
        <w:spacing w:after="0" w:line="278" w:lineRule="auto"/>
        <w:rPr>
          <w:sz w:val="20"/>
          <w:szCs w:val="20"/>
          <w:color w:val="auto"/>
        </w:rPr>
      </w:pPr>
      <w:r>
        <w:rPr>
          <w:rFonts w:ascii="Arial" w:cs="Arial" w:eastAsia="Arial" w:hAnsi="Arial"/>
          <w:sz w:val="16"/>
          <w:szCs w:val="16"/>
          <w:color w:val="auto"/>
        </w:rPr>
        <w:t>In November 2016, we commenced a plan of action to upgrade KICO’s A. M. Best rating. In April 2017, A.M. Best upgraded the Financial Strength Rating (FSR) of KICO to A- (Excellent) from B++ (Good). We believe that an A.M. Best rating of A- will open new growth opportunities for KICO. The plan called for us to raise capital with the intent to contribute a portion of the proceeds to KICO and to reduce KICO’s reliance on quota share reinsurance. On January 31, 2017, we closed on an underwritten public offering of 2,500,000 shares of our common stock. On February 14, 2017, we closed on the underwriters’ purchase option for an additional 192,500 shares of our common stock. The public offering price for the 2,692,500 shares sold was $12.00 per share. The aggregate net proceeds to us were approximately $30,137,000. On March 1, 2017, we used $23,000,000 of the net proceeds from the offering to contribute capital to KICO, to support its ratings upgrade plan and additional growth. The remainder of the net proceeds will be used for general corporate purposes. In March 2017, KICO bound its personal lines quota share treaty effective July 1, 2017, reducing the quota share rate to 20% from the current 40%.</w:t>
      </w:r>
    </w:p>
    <w:p>
      <w:pPr>
        <w:spacing w:after="0" w:line="179" w:lineRule="exact"/>
        <w:rPr>
          <w:sz w:val="20"/>
          <w:szCs w:val="20"/>
          <w:color w:val="auto"/>
        </w:rPr>
      </w:pPr>
    </w:p>
    <w:p>
      <w:pPr>
        <w:jc w:val="both"/>
        <w:ind w:firstLine="628"/>
        <w:spacing w:after="0" w:line="306" w:lineRule="auto"/>
        <w:rPr>
          <w:sz w:val="20"/>
          <w:szCs w:val="20"/>
          <w:color w:val="auto"/>
        </w:rPr>
      </w:pPr>
      <w:r>
        <w:rPr>
          <w:rFonts w:ascii="Arial" w:cs="Arial" w:eastAsia="Arial" w:hAnsi="Arial"/>
          <w:sz w:val="15"/>
          <w:szCs w:val="15"/>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for a one year period. Earned premiums represent premiums received from insureds, which are recognized as revenue over the period of time that insurance coverage is provided (i.e., ratably over the one year life of the policy). A significant period of time normally elapses between the receipt of insurance premiums and the payment of insurance claims. During this time, KICO invests the premiums, earns investment income and generates net realized and unrealized investment gains and losses on investments.</w:t>
      </w:r>
    </w:p>
    <w:p>
      <w:pPr>
        <w:spacing w:after="0" w:line="91"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87"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Other operating expenses include our corporate expenses as a holding company. These expenses include legal and auditing fees, executive employment costs, and other costs directly associated with being a public company.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Product Lines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active product lines include the following:</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Personal lines: </w:t>
      </w:r>
      <w:r>
        <w:rPr>
          <w:rFonts w:ascii="Arial" w:cs="Arial" w:eastAsia="Arial" w:hAnsi="Arial"/>
          <w:sz w:val="17"/>
          <w:szCs w:val="17"/>
          <w:color w:val="auto"/>
        </w:rPr>
        <w:t>Our largest line of business is personal lines, consisting of homeowners, dwelling fire, cooperative/condominium, renters, and personal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umbrella policies.</w:t>
      </w:r>
    </w:p>
    <w:p>
      <w:pPr>
        <w:spacing w:after="0" w:line="105" w:lineRule="exact"/>
        <w:rPr>
          <w:sz w:val="20"/>
          <w:szCs w:val="20"/>
          <w:color w:val="auto"/>
        </w:rPr>
      </w:pPr>
    </w:p>
    <w:p>
      <w:pPr>
        <w:jc w:val="both"/>
        <w:ind w:firstLine="683"/>
        <w:spacing w:after="0" w:line="265"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We offer businessowners policies, which consist primarily of small business retail, service, and office risks without a residential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exposure. We also write artisan’s liability policies for small independent contractors with seven or fewer employees. In addition, we write special multi-peril policies for larger and more specialized businessowners risks, including those with limited residential exposures. We also offer commercial umbrella policies written above our supporting commercial lines policies.</w:t>
      </w:r>
    </w:p>
    <w:p>
      <w:pPr>
        <w:spacing w:after="0" w:line="11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Livery physical damage: </w:t>
      </w:r>
      <w:r>
        <w:rPr>
          <w:rFonts w:ascii="Arial" w:cs="Arial" w:eastAsia="Arial" w:hAnsi="Arial"/>
          <w:sz w:val="17"/>
          <w:szCs w:val="17"/>
          <w:color w:val="auto"/>
        </w:rPr>
        <w:t>We write for-hire vehicle physical damage only policies for livery and car service vehicles and taxicabs. These policies insure 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physical damage portion of insurance for such vehicles, with no liability coverage included.</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Other: </w:t>
      </w:r>
      <w:r>
        <w:rPr>
          <w:rFonts w:ascii="Arial" w:cs="Arial" w:eastAsia="Arial" w:hAnsi="Arial"/>
          <w:sz w:val="17"/>
          <w:szCs w:val="17"/>
          <w:color w:val="auto"/>
        </w:rPr>
        <w:t>We write canine legal liability policies and also have a small participation in mandatory state joint underwriting associations.</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Measures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utilize the following key measures in analyzing the results of our insurance underwriting business:</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b w:val="1"/>
          <w:bCs w:val="1"/>
          <w:i w:val="1"/>
          <w:iCs w:val="1"/>
          <w:color w:val="auto"/>
        </w:rPr>
        <w:t xml:space="preserve">Net loss ratio: </w:t>
      </w:r>
      <w:r>
        <w:rPr>
          <w:rFonts w:ascii="Arial" w:cs="Arial" w:eastAsia="Arial" w:hAnsi="Arial"/>
          <w:sz w:val="17"/>
          <w:szCs w:val="17"/>
          <w:color w:val="auto"/>
        </w:rPr>
        <w:t>The net loss ratio is a measure of the underwriting profitability of an insurance company’s business. Expressed as a percentage, this is the ratio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net losses and loss adjustment expenses (“LAE”) incurred to net premiums earned.</w:t>
      </w:r>
    </w:p>
    <w:p>
      <w:pPr>
        <w:spacing w:after="0" w:line="105"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 administering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14"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b w:val="1"/>
          <w:bCs w:val="1"/>
          <w:i w:val="1"/>
          <w:iCs w:val="1"/>
          <w:color w:val="auto"/>
        </w:rPr>
        <w:t xml:space="preserve">Net combined ratio: </w:t>
      </w:r>
      <w:r>
        <w:rPr>
          <w:rFonts w:ascii="Arial" w:cs="Arial" w:eastAsia="Arial" w:hAnsi="Arial"/>
          <w:sz w:val="17"/>
          <w:szCs w:val="17"/>
          <w:color w:val="auto"/>
        </w:rPr>
        <w:t>The net combined ratio is a measure of an insurance company’s overall underwriting profit. This is the sum of the net loss and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underwriting expense ratios. If the net combined ratio is at or above 100 percent, an insurance company cannot be profitable without investment income, and may not be profitable if investment income is insufficient.</w:t>
      </w:r>
    </w:p>
    <w:p>
      <w:pPr>
        <w:spacing w:after="0" w:line="114"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b w:val="1"/>
          <w:bCs w:val="1"/>
          <w:i w:val="1"/>
          <w:iCs w:val="1"/>
          <w:color w:val="auto"/>
        </w:rPr>
        <w:t xml:space="preserve">Underwriting income: </w:t>
      </w:r>
      <w:r>
        <w:rPr>
          <w:rFonts w:ascii="Arial" w:cs="Arial" w:eastAsia="Arial" w:hAnsi="Arial"/>
          <w:sz w:val="17"/>
          <w:szCs w:val="17"/>
          <w:color w:val="auto"/>
        </w:rPr>
        <w:t>Underwriting income is net pre-tax income attributable to our insurance underwriting business before investment activity. It excludes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62"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Our condensed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consolidated financial statements and related notes. In preparing these condensed consolidated financial statements, our management has utilized information available including our past history, industry standards and the current economic environment, among other factors, in forming its estimates and judgments of certain amounts included in the consolidated financial statements, giving due consideration to materiality. It is possible that the ultimate outcome as anticipated by our management in formulating its estimates inherent in these financial statements might not materialize. However, application of the critical accounting policies involves the exercise of judgment and use of assumptions as to future uncertainties and, as a result, actual results could differ from these estimates. In addition, other companies may utilize different estimates, which may impact the comparability of our results of operations to those of companies in similar businesses.</w:t>
      </w:r>
    </w:p>
    <w:p>
      <w:pPr>
        <w:spacing w:after="0" w:line="109" w:lineRule="exact"/>
        <w:rPr>
          <w:sz w:val="20"/>
          <w:szCs w:val="20"/>
          <w:color w:val="auto"/>
        </w:rPr>
      </w:pPr>
    </w:p>
    <w:p>
      <w:pPr>
        <w:jc w:val="both"/>
        <w:ind w:firstLine="314"/>
        <w:spacing w:after="0" w:line="286" w:lineRule="auto"/>
        <w:rPr>
          <w:sz w:val="20"/>
          <w:szCs w:val="20"/>
          <w:color w:val="auto"/>
        </w:rPr>
      </w:pPr>
      <w:r>
        <w:rPr>
          <w:rFonts w:ascii="Arial" w:cs="Arial" w:eastAsia="Arial" w:hAnsi="Arial"/>
          <w:sz w:val="16"/>
          <w:szCs w:val="16"/>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Six Months Ended June 30, 2017 Compared to Six Months Ended June 30, 2016</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6"/>
                <w:szCs w:val="16"/>
                <w:color w:val="auto"/>
              </w:rPr>
            </w:pPr>
          </w:p>
        </w:tc>
        <w:tc>
          <w:tcPr>
            <w:tcW w:w="1020" w:type="dxa"/>
            <w:vAlign w:val="bottom"/>
          </w:tcPr>
          <w:p>
            <w:pPr>
              <w:ind w:left="16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6"/>
                <w:szCs w:val="16"/>
                <w:color w:val="auto"/>
              </w:rPr>
            </w:pPr>
          </w:p>
        </w:tc>
        <w:tc>
          <w:tcPr>
            <w:tcW w:w="1040" w:type="dxa"/>
            <w:vAlign w:val="bottom"/>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42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Revenues</w:t>
            </w:r>
          </w:p>
        </w:tc>
        <w:tc>
          <w:tcPr>
            <w:tcW w:w="1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Direct written premiums</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56,584</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49,204</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7,380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160"/>
              <w:spacing w:after="0"/>
              <w:rPr>
                <w:sz w:val="20"/>
                <w:szCs w:val="20"/>
                <w:color w:val="auto"/>
              </w:rPr>
            </w:pPr>
            <w:r>
              <w:rPr>
                <w:rFonts w:ascii="Arial" w:cs="Arial" w:eastAsia="Arial" w:hAnsi="Arial"/>
                <w:sz w:val="17"/>
                <w:szCs w:val="17"/>
                <w:color w:val="auto"/>
              </w:rPr>
              <w:t>Assumed written premiums</w:t>
            </w:r>
          </w:p>
        </w:tc>
        <w:tc>
          <w:tcPr>
            <w:tcW w:w="1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6</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16</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360" w:type="dxa"/>
            <w:vAlign w:val="bottom"/>
          </w:tcPr>
          <w:p>
            <w:pPr>
              <w:jc w:val="right"/>
              <w:spacing w:after="0"/>
              <w:rPr>
                <w:sz w:val="20"/>
                <w:szCs w:val="20"/>
                <w:color w:val="auto"/>
              </w:rPr>
            </w:pPr>
            <w:r>
              <w:rPr>
                <w:rFonts w:ascii="Arial" w:cs="Arial" w:eastAsia="Arial" w:hAnsi="Arial"/>
                <w:sz w:val="17"/>
                <w:szCs w:val="17"/>
                <w:color w:val="auto"/>
              </w:rPr>
              <w:t>(62.5)%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56,590</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49,220</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7,370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160"/>
              <w:spacing w:after="0"/>
              <w:rPr>
                <w:sz w:val="20"/>
                <w:szCs w:val="20"/>
                <w:color w:val="auto"/>
              </w:rPr>
            </w:pPr>
            <w:r>
              <w:rPr>
                <w:rFonts w:ascii="Arial" w:cs="Arial" w:eastAsia="Arial" w:hAnsi="Arial"/>
                <w:sz w:val="17"/>
                <w:szCs w:val="17"/>
                <w:color w:val="auto"/>
              </w:rPr>
              <w:t>Ceded written premiums</w:t>
            </w: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Ceded to quota share treaties</w:t>
            </w: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14,308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12,381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1,927</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480"/>
              <w:spacing w:after="0"/>
              <w:rPr>
                <w:sz w:val="20"/>
                <w:szCs w:val="20"/>
                <w:color w:val="auto"/>
              </w:rPr>
            </w:pPr>
            <w:r>
              <w:rPr>
                <w:rFonts w:ascii="Arial" w:cs="Arial" w:eastAsia="Arial" w:hAnsi="Arial"/>
                <w:sz w:val="17"/>
                <w:szCs w:val="17"/>
                <w:color w:val="auto"/>
              </w:rPr>
              <w:t>Ceded to excess of loss treaties</w:t>
            </w: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636</w:t>
            </w:r>
          </w:p>
        </w:tc>
        <w:tc>
          <w:tcPr>
            <w:tcW w:w="36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649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w:t>
            </w:r>
          </w:p>
        </w:tc>
        <w:tc>
          <w:tcPr>
            <w:tcW w:w="136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ceded to catastrophe treaties</w:t>
            </w:r>
          </w:p>
        </w:tc>
        <w:tc>
          <w:tcPr>
            <w:tcW w:w="17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5,184</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4,575</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609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220" w:type="dxa"/>
            <w:vAlign w:val="bottom"/>
          </w:tcPr>
          <w:p>
            <w:pPr>
              <w:ind w:left="160"/>
              <w:spacing w:after="0"/>
              <w:rPr>
                <w:sz w:val="20"/>
                <w:szCs w:val="20"/>
                <w:color w:val="auto"/>
              </w:rPr>
            </w:pPr>
            <w:r>
              <w:rPr>
                <w:rFonts w:ascii="Arial" w:cs="Arial" w:eastAsia="Arial" w:hAnsi="Arial"/>
                <w:sz w:val="17"/>
                <w:szCs w:val="17"/>
                <w:color w:val="auto"/>
              </w:rPr>
              <w:t>Total ceded written premiums</w:t>
            </w:r>
          </w:p>
        </w:tc>
        <w:tc>
          <w:tcPr>
            <w:tcW w:w="17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20,128</w:t>
            </w: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17,605</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2,523</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220" w:type="dxa"/>
            <w:vAlign w:val="bottom"/>
          </w:tcPr>
          <w:p>
            <w:pPr>
              <w:ind w:left="160"/>
              <w:spacing w:after="0"/>
              <w:rPr>
                <w:sz w:val="20"/>
                <w:szCs w:val="20"/>
                <w:color w:val="auto"/>
              </w:rPr>
            </w:pPr>
            <w:r>
              <w:rPr>
                <w:rFonts w:ascii="Arial" w:cs="Arial" w:eastAsia="Arial" w:hAnsi="Arial"/>
                <w:sz w:val="17"/>
                <w:szCs w:val="17"/>
                <w:color w:val="auto"/>
              </w:rPr>
              <w:t>Net written premiums</w:t>
            </w:r>
          </w:p>
        </w:tc>
        <w:tc>
          <w:tcPr>
            <w:tcW w:w="17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36,462</w:t>
            </w: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31,615</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4,847</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160"/>
              <w:spacing w:after="0"/>
              <w:rPr>
                <w:sz w:val="20"/>
                <w:szCs w:val="20"/>
                <w:color w:val="auto"/>
              </w:rPr>
            </w:pPr>
            <w:r>
              <w:rPr>
                <w:rFonts w:ascii="Arial" w:cs="Arial" w:eastAsia="Arial" w:hAnsi="Arial"/>
                <w:sz w:val="17"/>
                <w:szCs w:val="17"/>
                <w:color w:val="auto"/>
              </w:rPr>
              <w:t>Change in unearned premiums</w:t>
            </w: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Direct and assumed</w:t>
            </w: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(4,040)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(2,570)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320"/>
              <w:spacing w:after="0"/>
              <w:rPr>
                <w:sz w:val="20"/>
                <w:szCs w:val="20"/>
                <w:color w:val="auto"/>
              </w:rPr>
            </w:pPr>
            <w:r>
              <w:rPr>
                <w:rFonts w:ascii="Arial" w:cs="Arial" w:eastAsia="Arial" w:hAnsi="Arial"/>
                <w:sz w:val="17"/>
                <w:szCs w:val="17"/>
                <w:color w:val="auto"/>
              </w:rPr>
              <w:t>Ceded to quota share treaties</w:t>
            </w:r>
          </w:p>
        </w:tc>
        <w:tc>
          <w:tcPr>
            <w:tcW w:w="1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902</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498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404</w:t>
            </w:r>
          </w:p>
        </w:tc>
        <w:tc>
          <w:tcPr>
            <w:tcW w:w="1360" w:type="dxa"/>
            <w:vAlign w:val="bottom"/>
          </w:tcPr>
          <w:p>
            <w:pPr>
              <w:jc w:val="right"/>
              <w:spacing w:after="0"/>
              <w:rPr>
                <w:sz w:val="20"/>
                <w:szCs w:val="20"/>
                <w:color w:val="auto"/>
              </w:rPr>
            </w:pPr>
            <w:r>
              <w:rPr>
                <w:rFonts w:ascii="Arial" w:cs="Arial" w:eastAsia="Arial" w:hAnsi="Arial"/>
                <w:sz w:val="17"/>
                <w:szCs w:val="17"/>
                <w:color w:val="auto"/>
              </w:rPr>
              <w:t>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Change in net unearned premiums</w:t>
            </w:r>
          </w:p>
        </w:tc>
        <w:tc>
          <w:tcPr>
            <w:tcW w:w="17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(3,138)</w:t>
            </w: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(2,072)</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Premiums earned</w:t>
            </w: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320"/>
              <w:spacing w:after="0"/>
              <w:rPr>
                <w:sz w:val="20"/>
                <w:szCs w:val="20"/>
                <w:color w:val="auto"/>
              </w:rPr>
            </w:pPr>
            <w:r>
              <w:rPr>
                <w:rFonts w:ascii="Arial" w:cs="Arial" w:eastAsia="Arial" w:hAnsi="Arial"/>
                <w:sz w:val="17"/>
                <w:szCs w:val="17"/>
                <w:color w:val="auto"/>
              </w:rPr>
              <w:t>Direct and assumed</w:t>
            </w: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52,549</w:t>
            </w:r>
          </w:p>
        </w:tc>
        <w:tc>
          <w:tcPr>
            <w:tcW w:w="36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46,650</w:t>
            </w:r>
          </w:p>
        </w:tc>
        <w:tc>
          <w:tcPr>
            <w:tcW w:w="30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5,899</w:t>
            </w:r>
          </w:p>
        </w:tc>
        <w:tc>
          <w:tcPr>
            <w:tcW w:w="1360" w:type="dxa"/>
            <w:vAlign w:val="bottom"/>
          </w:tcPr>
          <w:p>
            <w:pPr>
              <w:jc w:val="right"/>
              <w:spacing w:after="0"/>
              <w:rPr>
                <w:sz w:val="20"/>
                <w:szCs w:val="20"/>
                <w:color w:val="auto"/>
              </w:rPr>
            </w:pPr>
            <w:r>
              <w:rPr>
                <w:rFonts w:ascii="Arial" w:cs="Arial" w:eastAsia="Arial" w:hAnsi="Arial"/>
                <w:sz w:val="17"/>
                <w:szCs w:val="17"/>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Ceded to quota share treaties</w:t>
            </w:r>
          </w:p>
        </w:tc>
        <w:tc>
          <w:tcPr>
            <w:tcW w:w="17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(19,226)</w:t>
            </w:r>
          </w:p>
        </w:tc>
        <w:tc>
          <w:tcPr>
            <w:tcW w:w="3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(17,107)</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160"/>
              <w:spacing w:after="0"/>
              <w:rPr>
                <w:sz w:val="20"/>
                <w:szCs w:val="20"/>
                <w:color w:val="auto"/>
              </w:rPr>
            </w:pPr>
            <w:r>
              <w:rPr>
                <w:rFonts w:ascii="Arial" w:cs="Arial" w:eastAsia="Arial" w:hAnsi="Arial"/>
                <w:sz w:val="17"/>
                <w:szCs w:val="17"/>
                <w:color w:val="auto"/>
              </w:rPr>
              <w:t>Net premiums earned</w:t>
            </w: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33,323</w:t>
            </w:r>
          </w:p>
        </w:tc>
        <w:tc>
          <w:tcPr>
            <w:tcW w:w="36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29,543</w:t>
            </w:r>
          </w:p>
        </w:tc>
        <w:tc>
          <w:tcPr>
            <w:tcW w:w="30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3,780</w:t>
            </w:r>
          </w:p>
        </w:tc>
        <w:tc>
          <w:tcPr>
            <w:tcW w:w="1360" w:type="dxa"/>
            <w:vAlign w:val="bottom"/>
          </w:tcPr>
          <w:p>
            <w:pPr>
              <w:jc w:val="right"/>
              <w:spacing w:after="0"/>
              <w:rPr>
                <w:sz w:val="20"/>
                <w:szCs w:val="20"/>
                <w:color w:val="auto"/>
              </w:rPr>
            </w:pPr>
            <w:r>
              <w:rPr>
                <w:rFonts w:ascii="Arial" w:cs="Arial" w:eastAsia="Arial" w:hAnsi="Arial"/>
                <w:sz w:val="17"/>
                <w:szCs w:val="17"/>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Ceding commission revenue</w:t>
            </w: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6,490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5,339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1,151</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160"/>
              <w:spacing w:after="0"/>
              <w:rPr>
                <w:sz w:val="20"/>
                <w:szCs w:val="20"/>
                <w:color w:val="auto"/>
              </w:rPr>
            </w:pPr>
            <w:r>
              <w:rPr>
                <w:rFonts w:ascii="Arial" w:cs="Arial" w:eastAsia="Arial" w:hAnsi="Arial"/>
                <w:sz w:val="17"/>
                <w:szCs w:val="17"/>
                <w:color w:val="auto"/>
              </w:rPr>
              <w:t>Net investment income</w:t>
            </w: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1,884</w:t>
            </w:r>
          </w:p>
        </w:tc>
        <w:tc>
          <w:tcPr>
            <w:tcW w:w="36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1,577</w:t>
            </w:r>
          </w:p>
        </w:tc>
        <w:tc>
          <w:tcPr>
            <w:tcW w:w="30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307</w:t>
            </w:r>
          </w:p>
        </w:tc>
        <w:tc>
          <w:tcPr>
            <w:tcW w:w="1360" w:type="dxa"/>
            <w:vAlign w:val="bottom"/>
          </w:tcPr>
          <w:p>
            <w:pPr>
              <w:jc w:val="right"/>
              <w:spacing w:after="0"/>
              <w:rPr>
                <w:sz w:val="20"/>
                <w:szCs w:val="20"/>
                <w:color w:val="auto"/>
              </w:rPr>
            </w:pPr>
            <w:r>
              <w:rPr>
                <w:rFonts w:ascii="Arial" w:cs="Arial" w:eastAsia="Arial" w:hAnsi="Arial"/>
                <w:sz w:val="17"/>
                <w:szCs w:val="17"/>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realized gain on investments</w:t>
            </w: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364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160"/>
              <w:spacing w:after="0"/>
              <w:rPr>
                <w:sz w:val="20"/>
                <w:szCs w:val="20"/>
                <w:color w:val="auto"/>
              </w:rPr>
            </w:pPr>
            <w:r>
              <w:rPr>
                <w:rFonts w:ascii="Arial" w:cs="Arial" w:eastAsia="Arial" w:hAnsi="Arial"/>
                <w:sz w:val="17"/>
                <w:szCs w:val="17"/>
                <w:color w:val="auto"/>
              </w:rPr>
              <w:t>Other income</w:t>
            </w:r>
          </w:p>
        </w:tc>
        <w:tc>
          <w:tcPr>
            <w:tcW w:w="1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598</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533</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65</w:t>
            </w:r>
          </w:p>
        </w:tc>
        <w:tc>
          <w:tcPr>
            <w:tcW w:w="1360" w:type="dxa"/>
            <w:vAlign w:val="bottom"/>
          </w:tcPr>
          <w:p>
            <w:pPr>
              <w:jc w:val="right"/>
              <w:spacing w:after="0"/>
              <w:rPr>
                <w:sz w:val="20"/>
                <w:szCs w:val="20"/>
                <w:color w:val="auto"/>
              </w:rPr>
            </w:pPr>
            <w:r>
              <w:rPr>
                <w:rFonts w:ascii="Arial" w:cs="Arial" w:eastAsia="Arial" w:hAnsi="Arial"/>
                <w:sz w:val="17"/>
                <w:szCs w:val="17"/>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76"/>
              <w:spacing w:after="0"/>
              <w:rPr>
                <w:sz w:val="20"/>
                <w:szCs w:val="20"/>
                <w:color w:val="auto"/>
              </w:rPr>
            </w:pPr>
            <w:r>
              <w:rPr>
                <w:rFonts w:ascii="Arial" w:cs="Arial" w:eastAsia="Arial" w:hAnsi="Arial"/>
                <w:sz w:val="17"/>
                <w:szCs w:val="17"/>
                <w:color w:val="auto"/>
              </w:rPr>
              <w:t>42,371</w:t>
            </w:r>
          </w:p>
        </w:tc>
        <w:tc>
          <w:tcPr>
            <w:tcW w:w="36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76"/>
              <w:spacing w:after="0"/>
              <w:rPr>
                <w:sz w:val="20"/>
                <w:szCs w:val="20"/>
                <w:color w:val="auto"/>
              </w:rPr>
            </w:pPr>
            <w:r>
              <w:rPr>
                <w:rFonts w:ascii="Arial" w:cs="Arial" w:eastAsia="Arial" w:hAnsi="Arial"/>
                <w:sz w:val="17"/>
                <w:szCs w:val="17"/>
                <w:color w:val="auto"/>
              </w:rPr>
              <w:t>37,356</w:t>
            </w:r>
          </w:p>
        </w:tc>
        <w:tc>
          <w:tcPr>
            <w:tcW w:w="30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color w:val="auto"/>
              </w:rPr>
              <w:t>5,015</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220" w:type="dxa"/>
            <w:vAlign w:val="bottom"/>
            <w:tcBorders>
              <w:bottom w:val="single" w:sz="8" w:color="CCEEFF"/>
            </w:tcBorders>
            <w:shd w:val="clear" w:color="auto" w:fill="CCEEFF"/>
          </w:tcPr>
          <w:p>
            <w:pPr>
              <w:spacing w:after="0"/>
              <w:rPr>
                <w:sz w:val="9"/>
                <w:szCs w:val="9"/>
                <w:color w:val="auto"/>
              </w:rPr>
            </w:pPr>
          </w:p>
        </w:tc>
        <w:tc>
          <w:tcPr>
            <w:tcW w:w="172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vMerge w:val="continue"/>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vMerge w:val="continue"/>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vMerge w:val="continue"/>
            <w:shd w:val="clear" w:color="auto" w:fill="CCEEFF"/>
          </w:tcPr>
          <w:p>
            <w:pPr>
              <w:spacing w:after="0"/>
              <w:rPr>
                <w:sz w:val="9"/>
                <w:szCs w:val="9"/>
                <w:color w:val="auto"/>
              </w:rPr>
            </w:pPr>
          </w:p>
        </w:tc>
        <w:tc>
          <w:tcPr>
            <w:tcW w:w="1360" w:type="dxa"/>
            <w:vAlign w:val="bottom"/>
            <w:tcBorders>
              <w:bottom w:val="single" w:sz="8" w:color="CCEEFF"/>
            </w:tcBorders>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2"/>
        </w:trPr>
        <w:tc>
          <w:tcPr>
            <w:tcW w:w="4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85"/>
              <w:spacing w:after="0"/>
              <w:rPr>
                <w:sz w:val="20"/>
                <w:szCs w:val="20"/>
                <w:color w:val="auto"/>
              </w:rPr>
            </w:pPr>
            <w:r>
              <w:rPr>
                <w:rFonts w:ascii="Arial" w:cs="Arial" w:eastAsia="Arial" w:hAnsi="Arial"/>
                <w:sz w:val="13"/>
                <w:szCs w:val="13"/>
                <w:color w:val="auto"/>
              </w:rPr>
              <w:t>36</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6"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6"/>
                <w:szCs w:val="16"/>
                <w:color w:val="auto"/>
              </w:rPr>
            </w:pPr>
          </w:p>
        </w:tc>
        <w:tc>
          <w:tcPr>
            <w:tcW w:w="1000" w:type="dxa"/>
            <w:vAlign w:val="bottom"/>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6"/>
                <w:szCs w:val="16"/>
                <w:color w:val="auto"/>
              </w:rPr>
            </w:pPr>
          </w:p>
        </w:tc>
        <w:tc>
          <w:tcPr>
            <w:tcW w:w="1040" w:type="dxa"/>
            <w:vAlign w:val="bottom"/>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revenues</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42,371</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37,356</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5,015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Direct and assumed:</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23,174</w:t>
            </w:r>
          </w:p>
        </w:tc>
        <w:tc>
          <w:tcPr>
            <w:tcW w:w="38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20,037</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3,137</w:t>
            </w:r>
          </w:p>
        </w:tc>
        <w:tc>
          <w:tcPr>
            <w:tcW w:w="1360" w:type="dxa"/>
            <w:vAlign w:val="bottom"/>
          </w:tcPr>
          <w:p>
            <w:pPr>
              <w:jc w:val="right"/>
              <w:spacing w:after="0"/>
              <w:rPr>
                <w:sz w:val="20"/>
                <w:szCs w:val="20"/>
                <w:color w:val="auto"/>
              </w:rPr>
            </w:pPr>
            <w:r>
              <w:rPr>
                <w:rFonts w:ascii="Arial" w:cs="Arial" w:eastAsia="Arial" w:hAnsi="Arial"/>
                <w:sz w:val="17"/>
                <w:szCs w:val="17"/>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Losses from catastrophes (1)</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2,337</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Total direct and assumed loss and loss adjustment expenses</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23,174</w:t>
            </w: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22,374</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800</w:t>
            </w: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Ceded loss and loss adjustment expenses: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7,426</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6,169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1,257</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Losses from catastrophes (1)</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935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(935)</w:t>
            </w:r>
          </w:p>
        </w:tc>
        <w:tc>
          <w:tcPr>
            <w:tcW w:w="1360" w:type="dxa"/>
            <w:vAlign w:val="bottom"/>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ceded loss and loss adjustment expenses</w:t>
            </w: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7,426</w:t>
            </w: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7,104</w:t>
            </w: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322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loss and loss adjustment expenses: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3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15,748</w:t>
            </w:r>
          </w:p>
        </w:tc>
        <w:tc>
          <w:tcPr>
            <w:tcW w:w="38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13,868</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1,880</w:t>
            </w:r>
          </w:p>
        </w:tc>
        <w:tc>
          <w:tcPr>
            <w:tcW w:w="1360" w:type="dxa"/>
            <w:vAlign w:val="bottom"/>
          </w:tcPr>
          <w:p>
            <w:pPr>
              <w:jc w:val="right"/>
              <w:spacing w:after="0"/>
              <w:rPr>
                <w:sz w:val="20"/>
                <w:szCs w:val="20"/>
                <w:color w:val="auto"/>
              </w:rPr>
            </w:pPr>
            <w:r>
              <w:rPr>
                <w:rFonts w:ascii="Arial" w:cs="Arial" w:eastAsia="Arial" w:hAnsi="Arial"/>
                <w:sz w:val="17"/>
                <w:szCs w:val="17"/>
                <w:color w:val="auto"/>
              </w:rPr>
              <w:t>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Losses from catastrophes (1)</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1,402</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Net loss and loss adjustment expenses</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15,748</w:t>
            </w: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15,270</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478</w:t>
            </w: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3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9,991</w:t>
            </w:r>
          </w:p>
        </w:tc>
        <w:tc>
          <w:tcPr>
            <w:tcW w:w="38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8,796</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1,195</w:t>
            </w:r>
          </w:p>
        </w:tc>
        <w:tc>
          <w:tcPr>
            <w:tcW w:w="1360" w:type="dxa"/>
            <w:vAlign w:val="bottom"/>
          </w:tcPr>
          <w:p>
            <w:pPr>
              <w:jc w:val="right"/>
              <w:spacing w:after="0"/>
              <w:rPr>
                <w:sz w:val="20"/>
                <w:szCs w:val="20"/>
                <w:color w:val="auto"/>
              </w:rPr>
            </w:pPr>
            <w:r>
              <w:rPr>
                <w:rFonts w:ascii="Arial" w:cs="Arial" w:eastAsia="Arial" w:hAnsi="Arial"/>
                <w:sz w:val="17"/>
                <w:szCs w:val="17"/>
                <w:color w:val="auto"/>
              </w:rPr>
              <w:t>13.6%</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8,412</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6,943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1,469</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3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1,662</w:t>
            </w:r>
          </w:p>
        </w:tc>
        <w:tc>
          <w:tcPr>
            <w:tcW w:w="38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762</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900</w:t>
            </w:r>
          </w:p>
        </w:tc>
        <w:tc>
          <w:tcPr>
            <w:tcW w:w="1360" w:type="dxa"/>
            <w:vAlign w:val="bottom"/>
          </w:tcPr>
          <w:p>
            <w:pPr>
              <w:jc w:val="right"/>
              <w:spacing w:after="0"/>
              <w:rPr>
                <w:sz w:val="20"/>
                <w:szCs w:val="20"/>
                <w:color w:val="auto"/>
              </w:rPr>
            </w:pPr>
            <w:r>
              <w:rPr>
                <w:rFonts w:ascii="Arial" w:cs="Arial" w:eastAsia="Arial" w:hAnsi="Arial"/>
                <w:sz w:val="17"/>
                <w:szCs w:val="17"/>
                <w:color w:val="auto"/>
              </w:rPr>
              <w:t>118.1%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645</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573</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72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Total expenses</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36,458</w:t>
            </w: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32,344</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4,114</w:t>
            </w: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Income from operations before taxes</w:t>
            </w:r>
          </w:p>
        </w:tc>
        <w:tc>
          <w:tcPr>
            <w:tcW w:w="3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5,913</w:t>
            </w:r>
          </w:p>
        </w:tc>
        <w:tc>
          <w:tcPr>
            <w:tcW w:w="380" w:type="dxa"/>
            <w:vAlign w:val="bottom"/>
          </w:tcPr>
          <w:p>
            <w:pPr>
              <w:spacing w:after="0"/>
              <w:rPr>
                <w:sz w:val="18"/>
                <w:szCs w:val="18"/>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5,012</w:t>
            </w:r>
          </w:p>
        </w:tc>
        <w:tc>
          <w:tcPr>
            <w:tcW w:w="34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901</w:t>
            </w:r>
          </w:p>
        </w:tc>
        <w:tc>
          <w:tcPr>
            <w:tcW w:w="1360" w:type="dxa"/>
            <w:vAlign w:val="bottom"/>
          </w:tcPr>
          <w:p>
            <w:pPr>
              <w:jc w:val="right"/>
              <w:spacing w:after="0"/>
              <w:rPr>
                <w:sz w:val="20"/>
                <w:szCs w:val="20"/>
                <w:color w:val="auto"/>
              </w:rPr>
            </w:pPr>
            <w:r>
              <w:rPr>
                <w:rFonts w:ascii="Arial" w:cs="Arial" w:eastAsia="Arial" w:hAnsi="Arial"/>
                <w:sz w:val="17"/>
                <w:szCs w:val="17"/>
                <w:color w:val="auto"/>
              </w:rPr>
              <w:t>18.0%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Provision for income tax</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1,932</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1,629</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303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3,981</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3,383</w:t>
            </w:r>
          </w:p>
        </w:tc>
        <w:tc>
          <w:tcPr>
            <w:tcW w:w="3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598</w:t>
            </w:r>
          </w:p>
        </w:tc>
        <w:tc>
          <w:tcPr>
            <w:tcW w:w="1360" w:type="dxa"/>
            <w:vAlign w:val="bottom"/>
          </w:tcPr>
          <w:p>
            <w:pPr>
              <w:jc w:val="right"/>
              <w:spacing w:after="0"/>
              <w:rPr>
                <w:sz w:val="20"/>
                <w:szCs w:val="20"/>
                <w:color w:val="auto"/>
              </w:rPr>
            </w:pPr>
            <w:r>
              <w:rPr>
                <w:rFonts w:ascii="Arial" w:cs="Arial" w:eastAsia="Arial" w:hAnsi="Arial"/>
                <w:sz w:val="17"/>
                <w:szCs w:val="17"/>
                <w:color w:val="auto"/>
              </w:rPr>
              <w:t>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60" w:firstLine="5"/>
        <w:spacing w:after="0" w:line="311" w:lineRule="auto"/>
        <w:tabs>
          <w:tab w:leader="none" w:pos="244" w:val="left"/>
        </w:tabs>
        <w:numPr>
          <w:ilvl w:val="0"/>
          <w:numId w:val="9"/>
        </w:numPr>
        <w:rPr>
          <w:rFonts w:ascii="Arial" w:cs="Arial" w:eastAsia="Arial" w:hAnsi="Arial"/>
          <w:sz w:val="15"/>
          <w:szCs w:val="15"/>
          <w:color w:val="auto"/>
        </w:rPr>
      </w:pPr>
      <w:r>
        <w:rPr>
          <w:rFonts w:ascii="Arial" w:cs="Arial" w:eastAsia="Arial" w:hAnsi="Arial"/>
          <w:sz w:val="15"/>
          <w:szCs w:val="15"/>
          <w:color w:val="auto"/>
        </w:rPr>
        <w:t>For the six months ended June 30, 2016, includes the effects of severe winter weather (which we define as a catastrophe).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4"/>
        </w:trPr>
        <w:tc>
          <w:tcPr>
            <w:tcW w:w="5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jc w:val="right"/>
              <w:ind w:right="80"/>
              <w:spacing w:after="0" w:line="144" w:lineRule="exact"/>
              <w:rPr>
                <w:sz w:val="20"/>
                <w:szCs w:val="20"/>
                <w:color w:val="auto"/>
              </w:rPr>
            </w:pPr>
            <w:r>
              <w:rPr>
                <w:rFonts w:ascii="Arial" w:cs="Arial" w:eastAsia="Arial" w:hAnsi="Arial"/>
                <w:sz w:val="14"/>
                <w:szCs w:val="14"/>
                <w:b w:val="1"/>
                <w:bCs w:val="1"/>
                <w:color w:val="auto"/>
                <w:w w:val="96"/>
              </w:rPr>
              <w:t>Percentage Point</w:t>
            </w: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6820" w:type="dxa"/>
            <w:vAlign w:val="bottom"/>
            <w:gridSpan w:val="2"/>
          </w:tcPr>
          <w:p>
            <w:pPr>
              <w:ind w:left="6480"/>
              <w:spacing w:after="0"/>
              <w:rPr>
                <w:sz w:val="20"/>
                <w:szCs w:val="20"/>
                <w:color w:val="auto"/>
              </w:rPr>
            </w:pPr>
            <w:r>
              <w:rPr>
                <w:rFonts w:ascii="Arial" w:cs="Arial" w:eastAsia="Arial" w:hAnsi="Arial"/>
                <w:sz w:val="14"/>
                <w:szCs w:val="14"/>
                <w:b w:val="1"/>
                <w:bCs w:val="1"/>
                <w:color w:val="auto"/>
              </w:rPr>
              <w:t>2017</w:t>
            </w:r>
          </w:p>
        </w:tc>
        <w:tc>
          <w:tcPr>
            <w:tcW w:w="760" w:type="dxa"/>
            <w:vAlign w:val="bottom"/>
          </w:tcPr>
          <w:p>
            <w:pPr>
              <w:spacing w:after="0"/>
              <w:rPr>
                <w:sz w:val="15"/>
                <w:szCs w:val="15"/>
                <w:color w:val="auto"/>
              </w:rPr>
            </w:pPr>
          </w:p>
        </w:tc>
        <w:tc>
          <w:tcPr>
            <w:tcW w:w="1200" w:type="dxa"/>
            <w:vAlign w:val="bottom"/>
          </w:tcPr>
          <w:p>
            <w:pPr>
              <w:ind w:left="280"/>
              <w:spacing w:after="0"/>
              <w:rPr>
                <w:sz w:val="20"/>
                <w:szCs w:val="20"/>
                <w:color w:val="auto"/>
              </w:rPr>
            </w:pPr>
            <w:r>
              <w:rPr>
                <w:rFonts w:ascii="Arial" w:cs="Arial" w:eastAsia="Arial" w:hAnsi="Arial"/>
                <w:sz w:val="14"/>
                <w:szCs w:val="14"/>
                <w:b w:val="1"/>
                <w:bCs w:val="1"/>
                <w:color w:val="auto"/>
              </w:rPr>
              <w:t>2016</w:t>
            </w:r>
          </w:p>
        </w:tc>
        <w:tc>
          <w:tcPr>
            <w:tcW w:w="1280" w:type="dxa"/>
            <w:vAlign w:val="bottom"/>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Percent Change</w:t>
            </w:r>
          </w:p>
        </w:tc>
      </w:tr>
      <w:tr>
        <w:trPr>
          <w:trHeight w:val="416"/>
        </w:trPr>
        <w:tc>
          <w:tcPr>
            <w:tcW w:w="6820" w:type="dxa"/>
            <w:vAlign w:val="bottom"/>
            <w:tcBorders>
              <w:top w:val="single" w:sz="8" w:color="auto"/>
            </w:tcBorders>
            <w:gridSpan w:val="2"/>
          </w:tcPr>
          <w:p>
            <w:pPr>
              <w:spacing w:after="0"/>
              <w:rPr>
                <w:sz w:val="20"/>
                <w:szCs w:val="20"/>
                <w:color w:val="auto"/>
              </w:rPr>
            </w:pPr>
            <w:r>
              <w:rPr>
                <w:rFonts w:ascii="Arial" w:cs="Arial" w:eastAsia="Arial" w:hAnsi="Arial"/>
                <w:sz w:val="17"/>
                <w:szCs w:val="17"/>
                <w:b w:val="1"/>
                <w:bCs w:val="1"/>
                <w:color w:val="auto"/>
              </w:rPr>
              <w:t>Key ratios:</w:t>
            </w:r>
          </w:p>
        </w:tc>
        <w:tc>
          <w:tcPr>
            <w:tcW w:w="7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2"/>
        </w:trPr>
        <w:tc>
          <w:tcPr>
            <w:tcW w:w="68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loss ratio</w:t>
            </w:r>
          </w:p>
        </w:tc>
        <w:tc>
          <w:tcPr>
            <w:tcW w:w="7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99"/>
              </w:rPr>
              <w:t>47.3%</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60" w:type="dxa"/>
            <w:vAlign w:val="bottom"/>
          </w:tcPr>
          <w:p>
            <w:pPr>
              <w:spacing w:after="0"/>
              <w:rPr>
                <w:sz w:val="18"/>
                <w:szCs w:val="18"/>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7"/>
                <w:szCs w:val="17"/>
                <w:color w:val="auto"/>
              </w:rPr>
              <w:t>Net underwriting expense ratio</w:t>
            </w:r>
          </w:p>
        </w:tc>
        <w:tc>
          <w:tcPr>
            <w:tcW w:w="8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99"/>
              </w:rPr>
              <w:t>34.1%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rPr>
              <w:t>0.7</w:t>
            </w:r>
          </w:p>
        </w:tc>
        <w:tc>
          <w:tcPr>
            <w:tcW w:w="1360" w:type="dxa"/>
            <w:vAlign w:val="bottom"/>
          </w:tcPr>
          <w:p>
            <w:pPr>
              <w:jc w:val="right"/>
              <w:spacing w:after="0"/>
              <w:rPr>
                <w:sz w:val="20"/>
                <w:szCs w:val="20"/>
                <w:color w:val="auto"/>
              </w:rPr>
            </w:pPr>
            <w:r>
              <w:rPr>
                <w:rFonts w:ascii="Arial" w:cs="Arial" w:eastAsia="Arial" w:hAnsi="Arial"/>
                <w:sz w:val="17"/>
                <w:szCs w:val="17"/>
                <w:color w:val="auto"/>
              </w:rPr>
              <w:t>2.1%</w:t>
            </w:r>
          </w:p>
        </w:tc>
        <w:tc>
          <w:tcPr>
            <w:tcW w:w="60" w:type="dxa"/>
            <w:vAlign w:val="bottom"/>
          </w:tcPr>
          <w:p>
            <w:pPr>
              <w:spacing w:after="0"/>
              <w:rPr>
                <w:sz w:val="18"/>
                <w:szCs w:val="18"/>
                <w:color w:val="auto"/>
              </w:rPr>
            </w:pPr>
          </w:p>
        </w:tc>
      </w:tr>
      <w:tr>
        <w:trPr>
          <w:trHeight w:val="249"/>
        </w:trPr>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combined ratio</w:t>
            </w:r>
          </w:p>
        </w:tc>
        <w:tc>
          <w:tcPr>
            <w:tcW w:w="8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99"/>
              </w:rPr>
              <w:t>81.4%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60" w:type="dxa"/>
            <w:vAlign w:val="bottom"/>
          </w:tcPr>
          <w:p>
            <w:pPr>
              <w:spacing w:after="0"/>
              <w:rPr>
                <w:sz w:val="21"/>
                <w:szCs w:val="2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158" w:lineRule="exact"/>
        <w:rPr>
          <w:sz w:val="20"/>
          <w:szCs w:val="20"/>
          <w:color w:val="auto"/>
        </w:rPr>
      </w:pPr>
    </w:p>
    <w:p>
      <w:pPr>
        <w:jc w:val="both"/>
        <w:ind w:right="60" w:firstLine="628"/>
        <w:spacing w:after="0" w:line="263" w:lineRule="auto"/>
        <w:rPr>
          <w:sz w:val="20"/>
          <w:szCs w:val="20"/>
          <w:color w:val="auto"/>
        </w:rPr>
      </w:pPr>
      <w:r>
        <w:rPr>
          <w:rFonts w:ascii="Arial" w:cs="Arial" w:eastAsia="Arial" w:hAnsi="Arial"/>
          <w:sz w:val="17"/>
          <w:szCs w:val="17"/>
          <w:color w:val="auto"/>
        </w:rPr>
        <w:t>Direct written premiums during the six months ended June 30, 2017 (“2017”) were $56,584,000 compared to $49,204,000 during the six months ended June 30, 2016 (“2016”). The increase of $7,380,000, or 15%, was primarily due to an increase in policies in-force during 2017 as compared to 2016, and from writing policies with higher average premiums. We wrote more new policies as a result of continued demand for our products in the markets that we serve. We believe that a portion of our growth in new policies is attributable to our upgraded A.M. Best rating of A- that we received in April 2017. Policies in-force increased by 11.8% as of June 30, 2017 compared to June 30, 2016.</w:t>
      </w:r>
    </w:p>
    <w:p>
      <w:pPr>
        <w:spacing w:after="0" w:line="32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571" w:right="17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158"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Net written premiums increased $4,847,000, or 15.3%, to $36,462,000 in 2017 from $31,615,000 in 2016. Net written premiums include direct and assumed premiums, less the amount of written premiums ceded under our reinsurance treaties (quota share, excess of loss, and catastrophe). During 2017, our personal lines business was subject to a 40% quota share treaty. A reduction to the quota share percentage or elimination of a quota share treaty will reduce our ceded written premiums, which will result in a corresponding increase to our net written premiums. In March 2017, we bound a new personal lines quota share treaty effective July 1, 2017, reducing the quota share rate to 20%.</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Excess of loss reinsurance treaty</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An increase in written premiums will also increase the premiums ceded under our excess of loss treaties, which incrementally reduces our net written premiums. In 2017, our ceded excess of loss reinsurance premiums decreased by $13,000 over the comparable ceded premiums for 2016. The decrease was due to more favorable reinsurance rates in 2017, partially offset by an increase in premiums subject to excess of loss reinsurance.</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Catastrophe reinsurance treaty</w:t>
      </w:r>
    </w:p>
    <w:p>
      <w:pPr>
        <w:spacing w:after="0" w:line="15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In 2017, our catastrophe reinsurance premiums increased by $609,000 over the comparable ceded premiums for 2016.</w:t>
      </w:r>
    </w:p>
    <w:p>
      <w:pPr>
        <w:spacing w:after="0" w:line="183" w:lineRule="exact"/>
        <w:rPr>
          <w:sz w:val="20"/>
          <w:szCs w:val="20"/>
          <w:color w:val="auto"/>
        </w:rPr>
      </w:pPr>
    </w:p>
    <w:p>
      <w:pPr>
        <w:jc w:val="both"/>
        <w:ind w:firstLine="628"/>
        <w:spacing w:after="0" w:line="351" w:lineRule="auto"/>
        <w:rPr>
          <w:sz w:val="20"/>
          <w:szCs w:val="20"/>
          <w:color w:val="auto"/>
        </w:rPr>
      </w:pPr>
      <w:r>
        <w:rPr>
          <w:rFonts w:ascii="Arial" w:cs="Arial" w:eastAsia="Arial" w:hAnsi="Arial"/>
          <w:sz w:val="15"/>
          <w:szCs w:val="15"/>
          <w:color w:val="auto"/>
        </w:rPr>
        <w:t>With the inception of our personal lines quota share treaty being on a “net” basis effective July 1, 2015, our catastrophe premiums are paid based on total direct written premiums subject to the catastrophe reinsurance treaty, not just those retained after quota share reinsurance as was the case under the prior “gross” basis.</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Net premiums earned</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premiums earned increased $3,780,000, or 12.8%, to $33,323,000 in 2017 from $29,543,000 in 2016. As premiums written earn ratably over a twelve months period, net premiums earned in 2017 increased due to the growth in net written premiums for the twelve months ended June 30, 2017 compared to the twelve months ended June 30, 2016.</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 following table details the quota share provisional ceding commission rates in effect during 2017 and 2016. This table should be referred to in conjunction with the discussion for ceding commission revenue that follows.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0" w:name="page41"/>
    <w:bookmarkEnd w:id="40"/>
    <w:p>
      <w:pPr>
        <w:jc w:val="center"/>
        <w:ind w:left="7400"/>
        <w:spacing w:after="0"/>
        <w:rPr>
          <w:sz w:val="20"/>
          <w:szCs w:val="20"/>
          <w:color w:val="auto"/>
        </w:rPr>
      </w:pPr>
      <w:r>
        <w:rPr>
          <w:rFonts w:ascii="Arial" w:cs="Arial" w:eastAsia="Arial" w:hAnsi="Arial"/>
          <w:sz w:val="14"/>
          <w:szCs w:val="14"/>
          <w:b w:val="1"/>
          <w:bCs w:val="1"/>
          <w:color w:val="auto"/>
        </w:rPr>
        <w:t>Six months ended</w:t>
      </w:r>
    </w:p>
    <w:p>
      <w:pPr>
        <w:spacing w:after="0" w:line="5"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69"/>
        </w:trPr>
        <w:tc>
          <w:tcPr>
            <w:tcW w:w="7400" w:type="dxa"/>
            <w:vAlign w:val="bottom"/>
          </w:tcPr>
          <w:p>
            <w:pPr>
              <w:spacing w:after="0"/>
              <w:rPr>
                <w:sz w:val="14"/>
                <w:szCs w:val="14"/>
                <w:color w:val="auto"/>
              </w:rPr>
            </w:pPr>
          </w:p>
        </w:tc>
        <w:tc>
          <w:tcPr>
            <w:tcW w:w="2000" w:type="dxa"/>
            <w:vAlign w:val="bottom"/>
            <w:tcBorders>
              <w:top w:val="single" w:sz="8" w:color="auto"/>
              <w:bottom w:val="single" w:sz="8" w:color="auto"/>
            </w:tcBorders>
          </w:tcPr>
          <w:p>
            <w:pPr>
              <w:jc w:val="right"/>
              <w:ind w:right="804"/>
              <w:spacing w:after="0"/>
              <w:rPr>
                <w:sz w:val="20"/>
                <w:szCs w:val="20"/>
                <w:color w:val="auto"/>
              </w:rPr>
            </w:pPr>
            <w:r>
              <w:rPr>
                <w:rFonts w:ascii="Arial" w:cs="Arial" w:eastAsia="Arial" w:hAnsi="Arial"/>
                <w:sz w:val="14"/>
                <w:szCs w:val="14"/>
                <w:b w:val="1"/>
                <w:bCs w:val="1"/>
                <w:color w:val="auto"/>
              </w:rPr>
              <w:t>2017</w:t>
            </w:r>
          </w:p>
        </w:tc>
        <w:tc>
          <w:tcPr>
            <w:tcW w:w="202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4"/>
                <w:szCs w:val="14"/>
                <w:b w:val="1"/>
                <w:bCs w:val="1"/>
                <w:color w:val="auto"/>
              </w:rPr>
              <w:t>2016</w:t>
            </w:r>
          </w:p>
        </w:tc>
      </w:tr>
      <w:tr>
        <w:trPr>
          <w:trHeight w:val="157"/>
        </w:trPr>
        <w:tc>
          <w:tcPr>
            <w:tcW w:w="7400" w:type="dxa"/>
            <w:vAlign w:val="bottom"/>
            <w:shd w:val="clear" w:color="auto" w:fill="CCEEFF"/>
          </w:tcPr>
          <w:p>
            <w:pPr>
              <w:spacing w:after="0"/>
              <w:rPr>
                <w:sz w:val="13"/>
                <w:szCs w:val="13"/>
                <w:color w:val="auto"/>
              </w:rPr>
            </w:pPr>
          </w:p>
        </w:tc>
        <w:tc>
          <w:tcPr>
            <w:tcW w:w="2000" w:type="dxa"/>
            <w:vAlign w:val="bottom"/>
            <w:shd w:val="clear" w:color="auto" w:fill="CCEEFF"/>
          </w:tcPr>
          <w:p>
            <w:pPr>
              <w:ind w:left="320"/>
              <w:spacing w:after="0" w:line="157" w:lineRule="exact"/>
              <w:rPr>
                <w:sz w:val="20"/>
                <w:szCs w:val="20"/>
                <w:color w:val="auto"/>
              </w:rPr>
            </w:pPr>
            <w:r>
              <w:rPr>
                <w:rFonts w:ascii="Arial" w:cs="Arial" w:eastAsia="Arial" w:hAnsi="Arial"/>
                <w:sz w:val="14"/>
                <w:szCs w:val="14"/>
                <w:b w:val="1"/>
                <w:bCs w:val="1"/>
                <w:color w:val="auto"/>
              </w:rPr>
              <w:t>("2016/2017 Treaty")</w:t>
            </w:r>
          </w:p>
        </w:tc>
        <w:tc>
          <w:tcPr>
            <w:tcW w:w="202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b w:val="1"/>
                <w:bCs w:val="1"/>
                <w:color w:val="auto"/>
              </w:rPr>
              <w:t>("2015/2016 Treaty")</w:t>
            </w:r>
          </w:p>
        </w:tc>
      </w:tr>
      <w:tr>
        <w:trPr>
          <w:trHeight w:val="209"/>
        </w:trPr>
        <w:tc>
          <w:tcPr>
            <w:tcW w:w="7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09"/>
        </w:trPr>
        <w:tc>
          <w:tcPr>
            <w:tcW w:w="740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Provisional ceding commission rate on quota share treaty</w:t>
            </w:r>
          </w:p>
        </w:tc>
        <w:tc>
          <w:tcPr>
            <w:tcW w:w="20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7400" w:type="dxa"/>
            <w:vAlign w:val="bottom"/>
          </w:tcPr>
          <w:p>
            <w:pPr>
              <w:ind w:left="160"/>
              <w:spacing w:after="0"/>
              <w:rPr>
                <w:sz w:val="20"/>
                <w:szCs w:val="20"/>
                <w:color w:val="auto"/>
              </w:rPr>
            </w:pPr>
            <w:r>
              <w:rPr>
                <w:rFonts w:ascii="Arial" w:cs="Arial" w:eastAsia="Arial" w:hAnsi="Arial"/>
                <w:sz w:val="17"/>
                <w:szCs w:val="17"/>
                <w:color w:val="auto"/>
              </w:rPr>
              <w:t>Personal lines</w:t>
            </w:r>
          </w:p>
        </w:tc>
        <w:tc>
          <w:tcPr>
            <w:tcW w:w="2000" w:type="dxa"/>
            <w:vAlign w:val="bottom"/>
          </w:tcPr>
          <w:p>
            <w:pPr>
              <w:jc w:val="right"/>
              <w:ind w:right="804"/>
              <w:spacing w:after="0"/>
              <w:rPr>
                <w:sz w:val="20"/>
                <w:szCs w:val="20"/>
                <w:color w:val="auto"/>
              </w:rPr>
            </w:pPr>
            <w:r>
              <w:rPr>
                <w:rFonts w:ascii="Arial" w:cs="Arial" w:eastAsia="Arial" w:hAnsi="Arial"/>
                <w:sz w:val="17"/>
                <w:szCs w:val="17"/>
                <w:color w:val="auto"/>
              </w:rPr>
              <w:t>52%</w:t>
            </w:r>
          </w:p>
        </w:tc>
        <w:tc>
          <w:tcPr>
            <w:tcW w:w="2020" w:type="dxa"/>
            <w:vAlign w:val="bottom"/>
          </w:tcPr>
          <w:p>
            <w:pPr>
              <w:jc w:val="right"/>
              <w:ind w:right="744"/>
              <w:spacing w:after="0"/>
              <w:rPr>
                <w:sz w:val="20"/>
                <w:szCs w:val="20"/>
                <w:color w:val="auto"/>
              </w:rPr>
            </w:pPr>
            <w:r>
              <w:rPr>
                <w:rFonts w:ascii="Arial" w:cs="Arial" w:eastAsia="Arial" w:hAnsi="Arial"/>
                <w:sz w:val="17"/>
                <w:szCs w:val="17"/>
                <w:color w:val="auto"/>
              </w:rPr>
              <w:t>55%</w:t>
            </w:r>
          </w:p>
        </w:tc>
      </w:tr>
    </w:tbl>
    <w:p>
      <w:pPr>
        <w:spacing w:after="0" w:line="19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6"/>
                <w:szCs w:val="16"/>
                <w:color w:val="auto"/>
              </w:rPr>
            </w:pPr>
          </w:p>
        </w:tc>
        <w:tc>
          <w:tcPr>
            <w:tcW w:w="1020" w:type="dxa"/>
            <w:vAlign w:val="bottom"/>
          </w:tcPr>
          <w:p>
            <w:pPr>
              <w:jc w:val="right"/>
              <w:ind w:right="478"/>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6"/>
                <w:szCs w:val="16"/>
                <w:color w:val="auto"/>
              </w:rPr>
            </w:pPr>
          </w:p>
        </w:tc>
        <w:tc>
          <w:tcPr>
            <w:tcW w:w="1020" w:type="dxa"/>
            <w:vAlign w:val="bottom"/>
          </w:tcPr>
          <w:p>
            <w:pPr>
              <w:ind w:left="16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ind w:left="4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Provisional ceding commissions earned</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6,768</w:t>
            </w:r>
          </w:p>
        </w:tc>
        <w:tc>
          <w:tcPr>
            <w:tcW w:w="3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6,322</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446</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(278)</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(983)</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705</w:t>
            </w:r>
          </w:p>
        </w:tc>
        <w:tc>
          <w:tcPr>
            <w:tcW w:w="1360" w:type="dxa"/>
            <w:vAlign w:val="bottom"/>
          </w:tcPr>
          <w:p>
            <w:pPr>
              <w:jc w:val="right"/>
              <w:spacing w:after="0"/>
              <w:rPr>
                <w:sz w:val="20"/>
                <w:szCs w:val="20"/>
                <w:color w:val="auto"/>
              </w:rPr>
            </w:pPr>
            <w:r>
              <w:rPr>
                <w:rFonts w:ascii="Arial" w:cs="Arial" w:eastAsia="Arial" w:hAnsi="Arial"/>
                <w:sz w:val="17"/>
                <w:szCs w:val="17"/>
                <w:color w:val="auto"/>
              </w:rPr>
              <w:t>(71.7)%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ceding commission revenue</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6,490</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7"/>
                <w:szCs w:val="17"/>
                <w:color w:val="auto"/>
              </w:rPr>
              <w:t>5,339</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1,151</w:t>
            </w:r>
          </w:p>
        </w:tc>
        <w:tc>
          <w:tcPr>
            <w:tcW w:w="1360" w:type="dxa"/>
            <w:vAlign w:val="bottom"/>
          </w:tcPr>
          <w:p>
            <w:pPr>
              <w:jc w:val="right"/>
              <w:spacing w:after="0"/>
              <w:rPr>
                <w:sz w:val="20"/>
                <w:szCs w:val="20"/>
                <w:color w:val="auto"/>
              </w:rPr>
            </w:pPr>
            <w:r>
              <w:rPr>
                <w:rFonts w:ascii="Arial" w:cs="Arial" w:eastAsia="Arial" w:hAnsi="Arial"/>
                <w:sz w:val="17"/>
                <w:szCs w:val="17"/>
                <w:color w:val="auto"/>
              </w:rPr>
              <w:t>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Ceding commission revenue was $6,490,000 in 2017 compared to $5,339,000 in 2016. The increase of $1,151,000, or 21.6%, was due to an increase in provisional ceding commissions earned and a reduction in negative contingent ceding commissions earned.</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15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We receive a provisional ceding commission based on ceded written premiums. In 2017 our provisional ceding rate was 52% effective July 1, 2016 under the 2016/2017 Treaty. In 2016 our provisional ceding rate was 55% effective July 1, 2015 under the 2015/2016 Treaty. The $446,000 increase in provisional ceding commissions earned is due to an increase in personal lines direct written premiums subject to the quota share, partially offset by the decrease in our provisional ceding commission rate as discussed above.</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158"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personal lines quota share treaties detailed in the table above that were in effect during 2017 are subject to change based on losses incurred from claims with accident dates beginning July 1, 2016. The amount of contingent ceding commissions we are eligible to receive under our prior years’ quota share treaties is subject to change based on losses incurred related to claims with accident dates before July 1, 2016 under those treaties.</w:t>
      </w:r>
    </w:p>
    <w:p>
      <w:pPr>
        <w:spacing w:after="0" w:line="119"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The 2016/2017 Treaty and 2015/2016 Treaty structure limits the amount of contingent ceding commissions that we can receive by setting the provisional commission rate higher than the rates we received in prior years. As a result of the higher upfront provisional ceding commissions that we receive, there is only a limited opportunity to earn contingent ceding commissions under these treaties. Under our “net” treaty structure, catastrophe losses in excess of the $5,000,000 retention will fall outside of the quota share treaty and such losses will not have an impact on contingent ceding commissions, as was the case under previous “gross” treaties. The “net” structure eliminates the adverse impact that catastrophe losses can have on contingent ceding commissions. See “Reinsurance” below for changes to our personal lines quota share treaty to take effect on July 1, 2017.</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auto"/>
        </w:rPr>
        <w:t>Net Investment Income</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investment income was $1,884,000 in 2017 compared to $1,577,000 in 2016. The increase of $307,000, or 19.5%, was due to an increase in average invested assets in 2017. The average investment yield on invested assets was 3.80% as of June 30, 2017 compared to 3.74% as of June 30, 2016. The pre-tax equivalent investment yield on invested assets was 4.00% and 4.04% as of June 30, 2017 and 2016, respectively.</w:t>
      </w:r>
    </w:p>
    <w:p>
      <w:pPr>
        <w:spacing w:after="0" w:line="114"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Cash and invested assets were $143,450,000 as of June 30, 2017, compared to $104,072,000 as of June 30, 2016. The $39,378,000 increase in cash and invested assets resulted primarily from the net proceeds of $30,137,000 that we received in January and February of 2017 from our public offering and increased operating cash flows for the period after June 30, 2016. The net proceeds of the public offering were invested in cash equivalents until we received approval from the New York State Department of Financial Services to contribute $23,000,000 to KICO.</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Other income was $598,000 in 2017 compared to $533,000 in 2016. The increase of $65,000, or 12.2%, was primarily due to an increase in installment and finance fees earned in our insurance underwriting business.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and LAE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Net loss and LAE was $15,748,000 in 2017 compared to $15,270,000 in 2016. The net loss ratio was 47.3% in 2017 compared to 51.7% in 2016, a decrease of 4.4 percentage points.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2" w:name="page43"/>
    <w:bookmarkEnd w:id="42"/>
    <w:p>
      <w:pPr>
        <w:ind w:left="640"/>
        <w:spacing w:after="0"/>
        <w:rPr>
          <w:sz w:val="20"/>
          <w:szCs w:val="20"/>
          <w:color w:val="auto"/>
        </w:rPr>
      </w:pPr>
      <w:r>
        <w:rPr>
          <w:rFonts w:ascii="Arial" w:cs="Arial" w:eastAsia="Arial" w:hAnsi="Arial"/>
          <w:sz w:val="17"/>
          <w:szCs w:val="17"/>
          <w:color w:val="auto"/>
        </w:rPr>
        <w:t>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147320</wp:posOffset>
            </wp:positionV>
            <wp:extent cx="4410075" cy="4102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10075" cy="410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28"/>
        <w:spacing w:after="0" w:line="299" w:lineRule="auto"/>
        <w:rPr>
          <w:sz w:val="20"/>
          <w:szCs w:val="20"/>
          <w:color w:val="auto"/>
        </w:rPr>
      </w:pPr>
      <w:r>
        <w:rPr>
          <w:rFonts w:ascii="Arial" w:cs="Arial" w:eastAsia="Arial" w:hAnsi="Arial"/>
          <w:sz w:val="15"/>
          <w:szCs w:val="15"/>
          <w:color w:val="auto"/>
        </w:rPr>
        <w:t>During 2017, the net loss ratio decreased compared to 2016 due to a combination of several factors. First, due to a relatively mild winter season, there was a reduction in the impact of severe winter weather. We record a catastrophe impact for this component if losses incurred from winter weather claims exceed those expected in an average winter. Since 2017 exhibited milder than average winter weather, we did not record a catastrophe impact from severe winter weather. In 2016 through two quarters we recorded a 4.8 point impact, which resulted in a decrease of 4.8 points year to date related to the impact of severe winter weather. Second, we have recorded 0.6 points of favorable prior year loss development in 2017 compared to 0.4 points of favorable prior year development in 2016, or an increase in the favorable impact of 0.2 points year to date. Finally, the core loss ratio excluding the impact of severe winter weather and prior year development is 47.9% in 2017, compared to 47.3% in 2016, an increase of 0.6 points. The increase is driven by higher claim severity observed in the second quarter of 2017 compared to the second quarter of 2016. See table below under “Additional Financial Information” summarizing net loss ratios by line of business.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Commercial Auto Line of Business</w:t>
      </w:r>
    </w:p>
    <w:p>
      <w:pPr>
        <w:spacing w:after="0" w:line="158"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3" w:name="page44"/>
    <w:bookmarkEnd w:id="43"/>
    <w:p>
      <w:pPr>
        <w:jc w:val="both"/>
        <w:ind w:firstLine="628"/>
        <w:spacing w:after="0" w:line="281" w:lineRule="auto"/>
        <w:rPr>
          <w:sz w:val="20"/>
          <w:szCs w:val="20"/>
          <w:color w:val="auto"/>
        </w:rPr>
      </w:pPr>
      <w:r>
        <w:rPr>
          <w:rFonts w:ascii="Arial" w:cs="Arial" w:eastAsia="Arial" w:hAnsi="Arial"/>
          <w:sz w:val="17"/>
          <w:szCs w:val="17"/>
          <w:color w:val="auto"/>
        </w:rPr>
        <w:t>The decision to exit this line of business has significantly reduced the adverse impact that associated commercial auto liability claims will have on our overall results. The following table displays the impact that this decision has had on our loss and LAE reserves over time: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Commercial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74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Commercial Auto</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Auto as 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jc w:val="center"/>
              <w:ind w:right="60"/>
              <w:spacing w:after="0" w:line="144"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380" w:type="dxa"/>
            <w:vAlign w:val="bottom"/>
          </w:tcPr>
          <w:p>
            <w:pPr>
              <w:jc w:val="right"/>
              <w:ind w:right="100"/>
              <w:spacing w:after="0" w:line="157" w:lineRule="exact"/>
              <w:rPr>
                <w:sz w:val="20"/>
                <w:szCs w:val="20"/>
                <w:color w:val="auto"/>
              </w:rPr>
            </w:pPr>
            <w:r>
              <w:rPr>
                <w:rFonts w:ascii="Arial" w:cs="Arial" w:eastAsia="Arial" w:hAnsi="Arial"/>
                <w:sz w:val="14"/>
                <w:szCs w:val="14"/>
                <w:b w:val="1"/>
                <w:bCs w:val="1"/>
                <w:color w:val="auto"/>
              </w:rPr>
              <w:t>Number of Open</w:t>
            </w:r>
          </w:p>
        </w:tc>
        <w:tc>
          <w:tcPr>
            <w:tcW w:w="240" w:type="dxa"/>
            <w:vAlign w:val="bottom"/>
          </w:tcPr>
          <w:p>
            <w:pPr>
              <w:spacing w:after="0"/>
              <w:rPr>
                <w:sz w:val="13"/>
                <w:szCs w:val="13"/>
                <w:color w:val="auto"/>
              </w:rPr>
            </w:pPr>
          </w:p>
        </w:tc>
        <w:tc>
          <w:tcPr>
            <w:tcW w:w="1120" w:type="dxa"/>
            <w:vAlign w:val="bottom"/>
          </w:tcPr>
          <w:p>
            <w:pPr>
              <w:jc w:val="right"/>
              <w:ind w:right="159"/>
              <w:spacing w:after="0" w:line="157" w:lineRule="exact"/>
              <w:rPr>
                <w:sz w:val="20"/>
                <w:szCs w:val="20"/>
                <w:color w:val="auto"/>
              </w:rPr>
            </w:pPr>
            <w:r>
              <w:rPr>
                <w:rFonts w:ascii="Arial" w:cs="Arial" w:eastAsia="Arial" w:hAnsi="Arial"/>
                <w:sz w:val="14"/>
                <w:szCs w:val="14"/>
                <w:b w:val="1"/>
                <w:bCs w:val="1"/>
                <w:color w:val="auto"/>
                <w:w w:val="92"/>
              </w:rPr>
              <w:t>Loss and LAE</w:t>
            </w:r>
          </w:p>
        </w:tc>
        <w:tc>
          <w:tcPr>
            <w:tcW w:w="240" w:type="dxa"/>
            <w:vAlign w:val="bottom"/>
          </w:tcPr>
          <w:p>
            <w:pPr>
              <w:spacing w:after="0"/>
              <w:rPr>
                <w:sz w:val="13"/>
                <w:szCs w:val="13"/>
                <w:color w:val="auto"/>
              </w:rPr>
            </w:pPr>
          </w:p>
        </w:tc>
        <w:tc>
          <w:tcPr>
            <w:tcW w:w="1180" w:type="dxa"/>
            <w:vAlign w:val="bottom"/>
          </w:tcPr>
          <w:p>
            <w:pPr>
              <w:jc w:val="right"/>
              <w:ind w:right="199"/>
              <w:spacing w:after="0" w:line="157" w:lineRule="exact"/>
              <w:rPr>
                <w:sz w:val="20"/>
                <w:szCs w:val="20"/>
                <w:color w:val="auto"/>
              </w:rPr>
            </w:pPr>
            <w:r>
              <w:rPr>
                <w:rFonts w:ascii="Arial" w:cs="Arial" w:eastAsia="Arial" w:hAnsi="Arial"/>
                <w:sz w:val="14"/>
                <w:szCs w:val="14"/>
                <w:b w:val="1"/>
                <w:bCs w:val="1"/>
                <w:color w:val="auto"/>
                <w:w w:val="89"/>
              </w:rPr>
              <w:t>Total Loss and</w:t>
            </w:r>
          </w:p>
        </w:tc>
        <w:tc>
          <w:tcPr>
            <w:tcW w:w="134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1"/>
              </w:rPr>
              <w:t>Total Loss and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Pr>
          <w:p>
            <w:pPr>
              <w:ind w:left="2800"/>
              <w:spacing w:after="0"/>
              <w:rPr>
                <w:sz w:val="20"/>
                <w:szCs w:val="20"/>
                <w:color w:val="auto"/>
              </w:rPr>
            </w:pPr>
            <w:r>
              <w:rPr>
                <w:rFonts w:ascii="Arial" w:cs="Arial" w:eastAsia="Arial" w:hAnsi="Arial"/>
                <w:sz w:val="14"/>
                <w:szCs w:val="14"/>
                <w:b w:val="1"/>
                <w:bCs w:val="1"/>
                <w:color w:val="auto"/>
              </w:rPr>
              <w:t>As of</w:t>
            </w:r>
          </w:p>
        </w:tc>
        <w:tc>
          <w:tcPr>
            <w:tcW w:w="1380" w:type="dxa"/>
            <w:vAlign w:val="bottom"/>
          </w:tcPr>
          <w:p>
            <w:pPr>
              <w:jc w:val="right"/>
              <w:ind w:right="400"/>
              <w:spacing w:after="0"/>
              <w:rPr>
                <w:sz w:val="20"/>
                <w:szCs w:val="20"/>
                <w:color w:val="auto"/>
              </w:rPr>
            </w:pPr>
            <w:r>
              <w:rPr>
                <w:rFonts w:ascii="Arial" w:cs="Arial" w:eastAsia="Arial" w:hAnsi="Arial"/>
                <w:sz w:val="14"/>
                <w:szCs w:val="14"/>
                <w:b w:val="1"/>
                <w:bCs w:val="1"/>
                <w:color w:val="auto"/>
              </w:rPr>
              <w:t>Claims</w:t>
            </w:r>
          </w:p>
        </w:tc>
        <w:tc>
          <w:tcPr>
            <w:tcW w:w="240" w:type="dxa"/>
            <w:vAlign w:val="bottom"/>
          </w:tcPr>
          <w:p>
            <w:pPr>
              <w:spacing w:after="0"/>
              <w:rPr>
                <w:sz w:val="15"/>
                <w:szCs w:val="15"/>
                <w:color w:val="auto"/>
              </w:rPr>
            </w:pPr>
          </w:p>
        </w:tc>
        <w:tc>
          <w:tcPr>
            <w:tcW w:w="1120" w:type="dxa"/>
            <w:vAlign w:val="bottom"/>
          </w:tcPr>
          <w:p>
            <w:pPr>
              <w:jc w:val="right"/>
              <w:ind w:right="319"/>
              <w:spacing w:after="0"/>
              <w:rPr>
                <w:sz w:val="20"/>
                <w:szCs w:val="20"/>
                <w:color w:val="auto"/>
              </w:rPr>
            </w:pPr>
            <w:r>
              <w:rPr>
                <w:rFonts w:ascii="Arial" w:cs="Arial" w:eastAsia="Arial" w:hAnsi="Arial"/>
                <w:sz w:val="14"/>
                <w:szCs w:val="14"/>
                <w:b w:val="1"/>
                <w:bCs w:val="1"/>
                <w:color w:val="auto"/>
              </w:rPr>
              <w:t>Reserves</w:t>
            </w:r>
          </w:p>
        </w:tc>
        <w:tc>
          <w:tcPr>
            <w:tcW w:w="240" w:type="dxa"/>
            <w:vAlign w:val="bottom"/>
          </w:tcPr>
          <w:p>
            <w:pPr>
              <w:spacing w:after="0"/>
              <w:rPr>
                <w:sz w:val="15"/>
                <w:szCs w:val="15"/>
                <w:color w:val="auto"/>
              </w:rPr>
            </w:pPr>
          </w:p>
        </w:tc>
        <w:tc>
          <w:tcPr>
            <w:tcW w:w="1180" w:type="dxa"/>
            <w:vAlign w:val="bottom"/>
          </w:tcPr>
          <w:p>
            <w:pPr>
              <w:jc w:val="right"/>
              <w:ind w:right="199"/>
              <w:spacing w:after="0"/>
              <w:rPr>
                <w:sz w:val="20"/>
                <w:szCs w:val="20"/>
                <w:color w:val="auto"/>
              </w:rPr>
            </w:pPr>
            <w:r>
              <w:rPr>
                <w:rFonts w:ascii="Arial" w:cs="Arial" w:eastAsia="Arial" w:hAnsi="Arial"/>
                <w:sz w:val="14"/>
                <w:szCs w:val="14"/>
                <w:b w:val="1"/>
                <w:bCs w:val="1"/>
                <w:color w:val="auto"/>
                <w:w w:val="93"/>
              </w:rPr>
              <w:t>LAE Reserves</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LAE Reserves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 thousands except number of open claims and percentages)</w:t>
            </w: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2013</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170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9,185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34,503</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December 31, 2014</w:t>
            </w:r>
          </w:p>
        </w:tc>
        <w:tc>
          <w:tcPr>
            <w:tcW w:w="1380" w:type="dxa"/>
            <w:vAlign w:val="bottom"/>
          </w:tcPr>
          <w:p>
            <w:pPr>
              <w:jc w:val="right"/>
              <w:ind w:right="60"/>
              <w:spacing w:after="0"/>
              <w:rPr>
                <w:sz w:val="20"/>
                <w:szCs w:val="20"/>
                <w:color w:val="auto"/>
              </w:rPr>
            </w:pPr>
            <w:r>
              <w:rPr>
                <w:rFonts w:ascii="Arial" w:cs="Arial" w:eastAsia="Arial" w:hAnsi="Arial"/>
                <w:sz w:val="17"/>
                <w:szCs w:val="17"/>
                <w:color w:val="auto"/>
              </w:rPr>
              <w:t>114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8,126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99"/>
              <w:spacing w:after="0"/>
              <w:rPr>
                <w:sz w:val="20"/>
                <w:szCs w:val="20"/>
                <w:color w:val="auto"/>
              </w:rPr>
            </w:pPr>
            <w:r>
              <w:rPr>
                <w:rFonts w:ascii="Arial" w:cs="Arial" w:eastAsia="Arial" w:hAnsi="Arial"/>
                <w:sz w:val="17"/>
                <w:szCs w:val="17"/>
                <w:color w:val="auto"/>
              </w:rPr>
              <w:t>39,613</w:t>
            </w:r>
          </w:p>
        </w:tc>
        <w:tc>
          <w:tcPr>
            <w:tcW w:w="1320" w:type="dxa"/>
            <w:vAlign w:val="bottom"/>
          </w:tcPr>
          <w:p>
            <w:pPr>
              <w:jc w:val="right"/>
              <w:spacing w:after="0"/>
              <w:rPr>
                <w:sz w:val="20"/>
                <w:szCs w:val="20"/>
                <w:color w:val="auto"/>
              </w:rPr>
            </w:pPr>
            <w:r>
              <w:rPr>
                <w:rFonts w:ascii="Arial" w:cs="Arial" w:eastAsia="Arial" w:hAnsi="Arial"/>
                <w:sz w:val="17"/>
                <w:szCs w:val="17"/>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2015</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68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4,971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39,877</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December 31, 2016</w:t>
            </w:r>
          </w:p>
        </w:tc>
        <w:tc>
          <w:tcPr>
            <w:tcW w:w="1380" w:type="dxa"/>
            <w:vAlign w:val="bottom"/>
          </w:tcPr>
          <w:p>
            <w:pPr>
              <w:jc w:val="right"/>
              <w:ind w:right="60"/>
              <w:spacing w:after="0"/>
              <w:rPr>
                <w:sz w:val="20"/>
                <w:szCs w:val="20"/>
                <w:color w:val="auto"/>
              </w:rPr>
            </w:pPr>
            <w:r>
              <w:rPr>
                <w:rFonts w:ascii="Arial" w:cs="Arial" w:eastAsia="Arial" w:hAnsi="Arial"/>
                <w:sz w:val="17"/>
                <w:szCs w:val="17"/>
                <w:color w:val="auto"/>
              </w:rPr>
              <w:t>34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2,434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99"/>
              <w:spacing w:after="0"/>
              <w:rPr>
                <w:sz w:val="20"/>
                <w:szCs w:val="20"/>
                <w:color w:val="auto"/>
              </w:rPr>
            </w:pPr>
            <w:r>
              <w:rPr>
                <w:rFonts w:ascii="Arial" w:cs="Arial" w:eastAsia="Arial" w:hAnsi="Arial"/>
                <w:sz w:val="17"/>
                <w:szCs w:val="17"/>
                <w:color w:val="auto"/>
              </w:rPr>
              <w:t>41,737</w:t>
            </w:r>
          </w:p>
        </w:tc>
        <w:tc>
          <w:tcPr>
            <w:tcW w:w="1320" w:type="dxa"/>
            <w:vAlign w:val="bottom"/>
          </w:tcPr>
          <w:p>
            <w:pPr>
              <w:jc w:val="right"/>
              <w:spacing w:after="0"/>
              <w:rPr>
                <w:sz w:val="20"/>
                <w:szCs w:val="20"/>
                <w:color w:val="auto"/>
              </w:rPr>
            </w:pPr>
            <w:r>
              <w:rPr>
                <w:rFonts w:ascii="Arial" w:cs="Arial" w:eastAsia="Arial" w:hAnsi="Arial"/>
                <w:sz w:val="17"/>
                <w:szCs w:val="17"/>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June 30, 2017</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23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2,289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44,197</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Commercial auto liability loss and LAE reserves account for a rapidly decreasing percentage of our total loss and LAE reserves, and as of June 30, 2017 comprise 5.2% of our total loss and LAE reserves. This line of business was historically subject to a high level of uncertainty and volatility in claim emergence and loss development. The exit from this line therefore significantly decreases the uncertainty surrounding our overall reserve levels and reduces the associated volatility in financial results.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158" w:lineRule="exact"/>
        <w:rPr>
          <w:sz w:val="20"/>
          <w:szCs w:val="20"/>
          <w:color w:val="auto"/>
        </w:rPr>
      </w:pPr>
    </w:p>
    <w:p>
      <w:pPr>
        <w:jc w:val="both"/>
        <w:ind w:firstLine="628"/>
        <w:spacing w:after="0" w:line="286" w:lineRule="auto"/>
        <w:rPr>
          <w:sz w:val="20"/>
          <w:szCs w:val="20"/>
          <w:color w:val="auto"/>
        </w:rPr>
      </w:pPr>
      <w:r>
        <w:rPr>
          <w:rFonts w:ascii="Arial" w:cs="Arial" w:eastAsia="Arial" w:hAnsi="Arial"/>
          <w:sz w:val="16"/>
          <w:szCs w:val="16"/>
          <w:color w:val="auto"/>
        </w:rPr>
        <w:t>Commission expense was $9,991,000 in 2017 or 19.0% of direct earned premiums. Commission expense was $8,796,000 in 2016 or 18.9% of direct earned premiums. The increase of $1,195,000 is due to the increase in direct earned premiums in 2017 as compared to 2016. The higher average commission rate in 2017 is due to growth in premiums written by certain producers, which made them eligible for an increase in commission rates in 2017. In addition, average commission rates increased due to a change in the mix of business to lines of business with higher commission rates.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Other underwriting expenses were $8,412,000 in 2017 compared to $6,943,000 in 2016. The increase of $1,469,000, or 21.2%, was primarily due to expenses directly and indirectly related to growth in direct written premiums. We are also incurring expenses related to our efforts to expand into the other states in which we recently obtained licensing (“Expansion Expenses”).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Expansion Expenses were $498,000 in 2017 compared to $112,000 in 2016. The increase of $386,000 includes the costs of salaries and employment costs, professional fees, IT and data services specifically attributable to the expansion into new states.</w:t>
      </w:r>
    </w:p>
    <w:p>
      <w:pPr>
        <w:spacing w:after="0" w:line="107"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Salaries and employment costs, excluding Expansion Expenses costs discussed above, were $3,505,000 in 2017 compared to $3,190,000 in 2016. The increase of $315,000, or 9.9%, was less than the 12.8% increase in overall net premiums earned, which is not yet materially affected by our expansion business. Our employee bonus plan is aligned with our combined ratio. The lower the combined ratio, the greater the bonus percentage that our employees receive on their annual salaries. The combined ratio has decreased by 3.7 percentage points in 2017, resulting in a $159,000 increase in the 2017 accrued bonus. The remaining increase in employment costs was due to hiring of additional staff to service our current level of business and anticipated growth in volume as well as annual rate increases in salaries.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4" w:name="page45"/>
    <w:bookmarkEnd w:id="44"/>
    <w:p>
      <w:pPr>
        <w:jc w:val="both"/>
        <w:ind w:firstLine="628"/>
        <w:spacing w:after="0" w:line="269" w:lineRule="auto"/>
        <w:rPr>
          <w:sz w:val="20"/>
          <w:szCs w:val="20"/>
          <w:color w:val="auto"/>
        </w:rPr>
      </w:pPr>
      <w:r>
        <w:rPr>
          <w:rFonts w:ascii="Arial" w:cs="Arial" w:eastAsia="Arial" w:hAnsi="Arial"/>
          <w:sz w:val="17"/>
          <w:szCs w:val="17"/>
          <w:color w:val="auto"/>
        </w:rPr>
        <w:t>Other underwriting expenses as a percentage of net premiums earned was 25.3% in 2017 compared to 23.5% in 2016. The table below provides an analysis of the significant components of the 1.8 percentage point increase. Our net underwriting expense ratio in 2017 was 34.1% compared with 33.4% in 2016. The following table shows the individual components of our net underwriting expense ratio for the periods indicated: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9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1920" w:type="dxa"/>
            <w:vAlign w:val="bottom"/>
            <w:tcBorders>
              <w:bottom w:val="single" w:sz="8" w:color="auto"/>
            </w:tcBorders>
          </w:tcPr>
          <w:p>
            <w:pPr>
              <w:jc w:val="right"/>
              <w:ind w:right="1018"/>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w w:val="83"/>
              </w:rPr>
              <w:t>2016</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Point Change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Ceding commission revenue - provisional</w:t>
            </w:r>
          </w:p>
        </w:tc>
        <w:tc>
          <w:tcPr>
            <w:tcW w:w="1920" w:type="dxa"/>
            <w:vAlign w:val="bottom"/>
            <w:shd w:val="clear" w:color="auto" w:fill="CCEEFF"/>
          </w:tcPr>
          <w:p>
            <w:pPr>
              <w:jc w:val="right"/>
              <w:ind w:right="458"/>
              <w:spacing w:after="0"/>
              <w:rPr>
                <w:sz w:val="20"/>
                <w:szCs w:val="20"/>
                <w:color w:val="auto"/>
              </w:rPr>
            </w:pPr>
            <w:r>
              <w:rPr>
                <w:rFonts w:ascii="Arial" w:cs="Arial" w:eastAsia="Arial" w:hAnsi="Arial"/>
                <w:sz w:val="17"/>
                <w:szCs w:val="17"/>
                <w:color w:val="auto"/>
              </w:rPr>
              <w:t>(20.3)%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(21.4)%</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Ceding commission revenue - contingent</w:t>
            </w:r>
          </w:p>
        </w:tc>
        <w:tc>
          <w:tcPr>
            <w:tcW w:w="1920" w:type="dxa"/>
            <w:vAlign w:val="bottom"/>
          </w:tcPr>
          <w:p>
            <w:pPr>
              <w:jc w:val="right"/>
              <w:ind w:right="598"/>
              <w:spacing w:after="0"/>
              <w:rPr>
                <w:sz w:val="20"/>
                <w:szCs w:val="20"/>
                <w:color w:val="auto"/>
              </w:rPr>
            </w:pPr>
            <w:r>
              <w:rPr>
                <w:rFonts w:ascii="Arial" w:cs="Arial" w:eastAsia="Arial" w:hAnsi="Arial"/>
                <w:sz w:val="17"/>
                <w:szCs w:val="17"/>
                <w:color w:val="auto"/>
              </w:rPr>
              <w:t>0.8</w:t>
            </w: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920" w:type="dxa"/>
            <w:vAlign w:val="bottom"/>
            <w:shd w:val="clear" w:color="auto" w:fill="CCEEFF"/>
          </w:tcPr>
          <w:p>
            <w:pPr>
              <w:jc w:val="right"/>
              <w:ind w:right="558"/>
              <w:spacing w:after="0"/>
              <w:rPr>
                <w:sz w:val="20"/>
                <w:szCs w:val="20"/>
                <w:color w:val="auto"/>
              </w:rPr>
            </w:pPr>
            <w:r>
              <w:rPr>
                <w:rFonts w:ascii="Arial" w:cs="Arial" w:eastAsia="Arial" w:hAnsi="Arial"/>
                <w:sz w:val="17"/>
                <w:szCs w:val="17"/>
                <w:color w:val="auto"/>
              </w:rPr>
              <w:t>(1.7)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Acquistion costs and other underwriting expenses:</w:t>
            </w: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Commission expense</w:t>
            </w:r>
          </w:p>
        </w:tc>
        <w:tc>
          <w:tcPr>
            <w:tcW w:w="192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rPr>
              <w:t>30.0</w:t>
            </w: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29.8</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920" w:type="dxa"/>
            <w:vAlign w:val="bottom"/>
            <w:tcBorders>
              <w:bottom w:val="single" w:sz="8" w:color="auto"/>
            </w:tcBorders>
          </w:tcPr>
          <w:p>
            <w:pPr>
              <w:jc w:val="right"/>
              <w:ind w:right="598"/>
              <w:spacing w:after="0"/>
              <w:rPr>
                <w:sz w:val="20"/>
                <w:szCs w:val="20"/>
                <w:color w:val="auto"/>
              </w:rPr>
            </w:pPr>
            <w:r>
              <w:rPr>
                <w:rFonts w:ascii="Arial" w:cs="Arial" w:eastAsia="Arial" w:hAnsi="Arial"/>
                <w:sz w:val="17"/>
                <w:szCs w:val="17"/>
                <w:color w:val="auto"/>
              </w:rPr>
              <w:t>8.8</w:t>
            </w: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9.9</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underwriting expenses</w:t>
            </w:r>
          </w:p>
        </w:tc>
        <w:tc>
          <w:tcPr>
            <w:tcW w:w="1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ind w:left="300"/>
              <w:spacing w:after="0"/>
              <w:rPr>
                <w:sz w:val="20"/>
                <w:szCs w:val="20"/>
                <w:color w:val="auto"/>
              </w:rPr>
            </w:pPr>
            <w:r>
              <w:rPr>
                <w:rFonts w:ascii="Arial" w:cs="Arial" w:eastAsia="Arial" w:hAnsi="Arial"/>
                <w:sz w:val="17"/>
                <w:szCs w:val="17"/>
                <w:color w:val="auto"/>
              </w:rPr>
              <w:t>Employment costs attributable to core NY business</w:t>
            </w:r>
          </w:p>
        </w:tc>
        <w:tc>
          <w:tcPr>
            <w:tcW w:w="1920" w:type="dxa"/>
            <w:vAlign w:val="bottom"/>
          </w:tcPr>
          <w:p>
            <w:pPr>
              <w:jc w:val="right"/>
              <w:ind w:right="598"/>
              <w:spacing w:after="0"/>
              <w:rPr>
                <w:sz w:val="20"/>
                <w:szCs w:val="20"/>
                <w:color w:val="auto"/>
              </w:rPr>
            </w:pPr>
            <w:r>
              <w:rPr>
                <w:rFonts w:ascii="Arial" w:cs="Arial" w:eastAsia="Arial" w:hAnsi="Arial"/>
                <w:sz w:val="17"/>
                <w:szCs w:val="17"/>
                <w:color w:val="auto"/>
              </w:rPr>
              <w:t>10.5</w:t>
            </w: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10.8</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Expansion Expenses</w:t>
            </w:r>
          </w:p>
        </w:tc>
        <w:tc>
          <w:tcPr>
            <w:tcW w:w="1920" w:type="dxa"/>
            <w:vAlign w:val="bottom"/>
            <w:shd w:val="clear" w:color="auto" w:fill="CCEEFF"/>
          </w:tcPr>
          <w:p>
            <w:pPr>
              <w:jc w:val="right"/>
              <w:ind w:right="598"/>
              <w:spacing w:after="0"/>
              <w:rPr>
                <w:sz w:val="20"/>
                <w:szCs w:val="20"/>
                <w:color w:val="auto"/>
              </w:rPr>
            </w:pPr>
            <w:r>
              <w:rPr>
                <w:rFonts w:ascii="Arial" w:cs="Arial" w:eastAsia="Arial" w:hAnsi="Arial"/>
                <w:sz w:val="17"/>
                <w:szCs w:val="17"/>
                <w:color w:val="auto"/>
              </w:rPr>
              <w:t>1.5</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0.4</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ind w:left="300"/>
              <w:spacing w:after="0"/>
              <w:rPr>
                <w:sz w:val="20"/>
                <w:szCs w:val="20"/>
                <w:color w:val="auto"/>
              </w:rPr>
            </w:pPr>
            <w:r>
              <w:rPr>
                <w:rFonts w:ascii="Arial" w:cs="Arial" w:eastAsia="Arial" w:hAnsi="Arial"/>
                <w:sz w:val="17"/>
                <w:szCs w:val="17"/>
                <w:color w:val="auto"/>
              </w:rPr>
              <w:t>IT expenses</w:t>
            </w:r>
          </w:p>
        </w:tc>
        <w:tc>
          <w:tcPr>
            <w:tcW w:w="1920" w:type="dxa"/>
            <w:vAlign w:val="bottom"/>
          </w:tcPr>
          <w:p>
            <w:pPr>
              <w:jc w:val="right"/>
              <w:ind w:right="598"/>
              <w:spacing w:after="0"/>
              <w:rPr>
                <w:sz w:val="20"/>
                <w:szCs w:val="20"/>
                <w:color w:val="auto"/>
              </w:rPr>
            </w:pPr>
            <w:r>
              <w:rPr>
                <w:rFonts w:ascii="Arial" w:cs="Arial" w:eastAsia="Arial" w:hAnsi="Arial"/>
                <w:sz w:val="17"/>
                <w:szCs w:val="17"/>
                <w:color w:val="auto"/>
              </w:rPr>
              <w:t>2.1</w:t>
            </w:r>
          </w:p>
        </w:tc>
        <w:tc>
          <w:tcPr>
            <w:tcW w:w="820" w:type="dxa"/>
            <w:vAlign w:val="bottom"/>
          </w:tcPr>
          <w:p>
            <w:pPr>
              <w:jc w:val="right"/>
              <w:ind w:right="56"/>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8"/>
                <w:szCs w:val="18"/>
                <w:color w:val="auto"/>
              </w:rPr>
            </w:pPr>
          </w:p>
        </w:tc>
        <w:tc>
          <w:tcPr>
            <w:tcW w:w="1220" w:type="dxa"/>
            <w:vAlign w:val="bottom"/>
          </w:tcPr>
          <w:p>
            <w:pPr>
              <w:jc w:val="right"/>
              <w:ind w:right="57"/>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Adjustment to state premium tax rate</w:t>
            </w:r>
          </w:p>
        </w:tc>
        <w:tc>
          <w:tcPr>
            <w:tcW w:w="1920" w:type="dxa"/>
            <w:vAlign w:val="bottom"/>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Pr>
          <w:p>
            <w:pPr>
              <w:ind w:left="300"/>
              <w:spacing w:after="0"/>
              <w:rPr>
                <w:sz w:val="20"/>
                <w:szCs w:val="20"/>
                <w:color w:val="auto"/>
              </w:rPr>
            </w:pPr>
            <w:r>
              <w:rPr>
                <w:rFonts w:ascii="Arial" w:cs="Arial" w:eastAsia="Arial" w:hAnsi="Arial"/>
                <w:sz w:val="17"/>
                <w:szCs w:val="17"/>
                <w:color w:val="auto"/>
              </w:rPr>
              <w:t>Other expenses</w:t>
            </w:r>
          </w:p>
        </w:tc>
        <w:tc>
          <w:tcPr>
            <w:tcW w:w="1920" w:type="dxa"/>
            <w:vAlign w:val="bottom"/>
            <w:tcBorders>
              <w:bottom w:val="single" w:sz="8" w:color="auto"/>
            </w:tcBorders>
          </w:tcPr>
          <w:p>
            <w:pPr>
              <w:jc w:val="right"/>
              <w:ind w:right="598"/>
              <w:spacing w:after="0"/>
              <w:rPr>
                <w:sz w:val="20"/>
                <w:szCs w:val="20"/>
                <w:color w:val="auto"/>
              </w:rPr>
            </w:pPr>
            <w:r>
              <w:rPr>
                <w:rFonts w:ascii="Arial" w:cs="Arial" w:eastAsia="Arial" w:hAnsi="Arial"/>
                <w:sz w:val="17"/>
                <w:szCs w:val="17"/>
                <w:color w:val="auto"/>
              </w:rPr>
              <w:t>11.2</w:t>
            </w: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11.1</w:t>
            </w:r>
          </w:p>
        </w:tc>
        <w:tc>
          <w:tcPr>
            <w:tcW w:w="140" w:type="dxa"/>
            <w:vAlign w:val="bottom"/>
          </w:tcPr>
          <w:p>
            <w:pPr>
              <w:spacing w:after="0"/>
              <w:rPr>
                <w:sz w:val="18"/>
                <w:szCs w:val="18"/>
                <w:color w:val="auto"/>
              </w:rPr>
            </w:pPr>
          </w:p>
        </w:tc>
        <w:tc>
          <w:tcPr>
            <w:tcW w:w="1220" w:type="dxa"/>
            <w:vAlign w:val="bottom"/>
          </w:tcPr>
          <w:p>
            <w:pPr>
              <w:jc w:val="right"/>
              <w:ind w:right="57"/>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other underwriting expenses</w:t>
            </w:r>
          </w:p>
        </w:tc>
        <w:tc>
          <w:tcPr>
            <w:tcW w:w="192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rPr>
              <w:t>25.3</w:t>
            </w: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23.5</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Net underwriting expense ratio</w:t>
            </w:r>
          </w:p>
        </w:tc>
        <w:tc>
          <w:tcPr>
            <w:tcW w:w="1920" w:type="dxa"/>
            <w:vAlign w:val="bottom"/>
            <w:shd w:val="clear" w:color="auto" w:fill="CCEEFF"/>
          </w:tcPr>
          <w:p>
            <w:pPr>
              <w:jc w:val="right"/>
              <w:ind w:right="458"/>
              <w:spacing w:after="0"/>
              <w:rPr>
                <w:sz w:val="20"/>
                <w:szCs w:val="20"/>
                <w:color w:val="auto"/>
              </w:rPr>
            </w:pPr>
            <w:r>
              <w:rPr>
                <w:rFonts w:ascii="Arial" w:cs="Arial" w:eastAsia="Arial" w:hAnsi="Arial"/>
                <w:sz w:val="17"/>
                <w:szCs w:val="17"/>
                <w:color w:val="auto"/>
              </w:rPr>
              <w:t>34.1%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33.4%</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158"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Other operating expenses, related to the expenses of our holding company, were $1,662,000 in 2017 compared to $762,000 in 2016. The increase in 2017 of $900,000, or 118.1%, was primarily due to increases in executive bonus compensation, executive compensation due to annual rate increases and hiring of additional staff, equity compensation, and professional fees. The increase in executive bonus compensation includes $473,000 of accrued long-term bonus compensation pursuant to the three year employment agreement effective January 1, 2017 with our Chief Executive Officer. In 2016 there was no long-term bonus compensation plan in place.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158"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Depreciation and amortization was $645,000 in 2017 compared to $573,000 in 2016. The increase of $72,000, or 12.6%, in depreciation and amortization was primarily due to depreciation of our new system platform for handling business being written in expansion states. The increase was also impacted by newly purchased assets used to upgrade our systems infrastructure and the Kingston, New York home office building from which we operate.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Expense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Income tax expense in 2017 was $1,932,000, which resulted in an effective tax rate of 32.7%. Income tax expense in 2016 was $1,629,000, which resulted in an effective tax rate of 32.5%. Income before taxes was $5,913,000 in 2017 compared to $5,012,000 in 2016.</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auto"/>
        </w:rPr>
        <w:t>Net Income</w:t>
      </w:r>
    </w:p>
    <w:p>
      <w:pPr>
        <w:spacing w:after="0" w:line="15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Net income was $3,981,000 in 2017 compared to $3,383,000 in 2016. The increase in net income of $598,000, or 17.7%, was due to the circumstances described above that caused the increase in our net premiums earned, ceding commission revenue, net investment income, other income and a decrease in our net loss ratio, partially offset by a decrease in net realized gains on investments, and increases in other underwriting expenses related to premium growth, other operating expenses, and depreciation and amortization.</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Three Months Ended June 30, 2017 Compared to Three Months Ended June 30, 2016</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w w:val="96"/>
              </w:rPr>
              <w:t>Three months ended June 30,</w:t>
            </w:r>
          </w:p>
        </w:tc>
        <w:tc>
          <w:tcPr>
            <w:tcW w:w="1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6"/>
                <w:szCs w:val="16"/>
                <w:color w:val="auto"/>
              </w:rPr>
            </w:pPr>
          </w:p>
        </w:tc>
        <w:tc>
          <w:tcPr>
            <w:tcW w:w="1060" w:type="dxa"/>
            <w:vAlign w:val="bottom"/>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6"/>
                <w:szCs w:val="16"/>
                <w:color w:val="auto"/>
              </w:rPr>
            </w:pPr>
          </w:p>
        </w:tc>
        <w:tc>
          <w:tcPr>
            <w:tcW w:w="1040" w:type="dxa"/>
            <w:vAlign w:val="bottom"/>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42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Revenues</w:t>
            </w:r>
          </w:p>
        </w:tc>
        <w:tc>
          <w:tcPr>
            <w:tcW w:w="1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Direct written premiums</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30,458</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26,161</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4,297</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20" w:type="dxa"/>
            <w:vAlign w:val="bottom"/>
          </w:tcPr>
          <w:p>
            <w:pPr>
              <w:spacing w:after="0"/>
              <w:rPr>
                <w:sz w:val="18"/>
                <w:szCs w:val="18"/>
                <w:color w:val="auto"/>
              </w:rPr>
            </w:pPr>
          </w:p>
        </w:tc>
      </w:tr>
      <w:tr>
        <w:trPr>
          <w:trHeight w:val="215"/>
        </w:trPr>
        <w:tc>
          <w:tcPr>
            <w:tcW w:w="4220" w:type="dxa"/>
            <w:vAlign w:val="bottom"/>
          </w:tcPr>
          <w:p>
            <w:pPr>
              <w:ind w:left="160"/>
              <w:spacing w:after="0"/>
              <w:rPr>
                <w:sz w:val="20"/>
                <w:szCs w:val="20"/>
                <w:color w:val="auto"/>
              </w:rPr>
            </w:pPr>
            <w:r>
              <w:rPr>
                <w:rFonts w:ascii="Arial" w:cs="Arial" w:eastAsia="Arial" w:hAnsi="Arial"/>
                <w:sz w:val="17"/>
                <w:szCs w:val="17"/>
                <w:color w:val="auto"/>
              </w:rPr>
              <w:t>Assumed written premiums</w:t>
            </w:r>
          </w:p>
        </w:tc>
        <w:tc>
          <w:tcPr>
            <w:tcW w:w="1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360" w:type="dxa"/>
            <w:vAlign w:val="bottom"/>
          </w:tcPr>
          <w:p>
            <w:pPr>
              <w:jc w:val="right"/>
              <w:spacing w:after="0"/>
              <w:rPr>
                <w:sz w:val="20"/>
                <w:szCs w:val="20"/>
                <w:color w:val="auto"/>
              </w:rPr>
            </w:pPr>
            <w:r>
              <w:rPr>
                <w:rFonts w:ascii="Arial" w:cs="Arial" w:eastAsia="Arial" w:hAnsi="Arial"/>
                <w:sz w:val="17"/>
                <w:szCs w:val="17"/>
                <w:color w:val="auto"/>
              </w:rPr>
              <w:t>(81.8)%</w:t>
            </w:r>
          </w:p>
        </w:tc>
        <w:tc>
          <w:tcPr>
            <w:tcW w:w="20" w:type="dxa"/>
            <w:vAlign w:val="bottom"/>
          </w:tcPr>
          <w:p>
            <w:pPr>
              <w:spacing w:after="0"/>
              <w:rPr>
                <w:sz w:val="18"/>
                <w:szCs w:val="18"/>
                <w:color w:val="auto"/>
              </w:rPr>
            </w:pPr>
          </w:p>
        </w:tc>
      </w:tr>
      <w:tr>
        <w:trPr>
          <w:trHeight w:val="215"/>
        </w:trPr>
        <w:tc>
          <w:tcPr>
            <w:tcW w:w="42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30,460</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26,172</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4,288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20" w:type="dxa"/>
            <w:vAlign w:val="bottom"/>
          </w:tcPr>
          <w:p>
            <w:pPr>
              <w:spacing w:after="0"/>
              <w:rPr>
                <w:sz w:val="18"/>
                <w:szCs w:val="18"/>
                <w:color w:val="auto"/>
              </w:rPr>
            </w:pPr>
          </w:p>
        </w:tc>
      </w:tr>
      <w:tr>
        <w:trPr>
          <w:trHeight w:val="209"/>
        </w:trPr>
        <w:tc>
          <w:tcPr>
            <w:tcW w:w="4220" w:type="dxa"/>
            <w:vAlign w:val="bottom"/>
          </w:tcPr>
          <w:p>
            <w:pPr>
              <w:ind w:left="160"/>
              <w:spacing w:after="0"/>
              <w:rPr>
                <w:sz w:val="20"/>
                <w:szCs w:val="20"/>
                <w:color w:val="auto"/>
              </w:rPr>
            </w:pPr>
            <w:r>
              <w:rPr>
                <w:rFonts w:ascii="Arial" w:cs="Arial" w:eastAsia="Arial" w:hAnsi="Arial"/>
                <w:sz w:val="17"/>
                <w:szCs w:val="17"/>
                <w:color w:val="auto"/>
              </w:rPr>
              <w:t>Ceded written premiums</w:t>
            </w: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2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Ceded to quota share treaties</w:t>
            </w: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7,766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6,558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1,208</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20" w:type="dxa"/>
            <w:vAlign w:val="bottom"/>
          </w:tcPr>
          <w:p>
            <w:pPr>
              <w:spacing w:after="0"/>
              <w:rPr>
                <w:sz w:val="18"/>
                <w:szCs w:val="18"/>
                <w:color w:val="auto"/>
              </w:rPr>
            </w:pPr>
          </w:p>
        </w:tc>
      </w:tr>
      <w:tr>
        <w:trPr>
          <w:trHeight w:val="209"/>
        </w:trPr>
        <w:tc>
          <w:tcPr>
            <w:tcW w:w="4220" w:type="dxa"/>
            <w:vAlign w:val="bottom"/>
          </w:tcPr>
          <w:p>
            <w:pPr>
              <w:ind w:left="480"/>
              <w:spacing w:after="0"/>
              <w:rPr>
                <w:sz w:val="20"/>
                <w:szCs w:val="20"/>
                <w:color w:val="auto"/>
              </w:rPr>
            </w:pPr>
            <w:r>
              <w:rPr>
                <w:rFonts w:ascii="Arial" w:cs="Arial" w:eastAsia="Arial" w:hAnsi="Arial"/>
                <w:sz w:val="17"/>
                <w:szCs w:val="17"/>
                <w:color w:val="auto"/>
              </w:rPr>
              <w:t>Ceded to excess of loss treaties</w:t>
            </w: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325</w:t>
            </w:r>
          </w:p>
        </w:tc>
        <w:tc>
          <w:tcPr>
            <w:tcW w:w="32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330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136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r>
      <w:tr>
        <w:trPr>
          <w:trHeight w:val="215"/>
        </w:trPr>
        <w:tc>
          <w:tcPr>
            <w:tcW w:w="4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ceded to catastrophe treaties</w:t>
            </w:r>
          </w:p>
        </w:tc>
        <w:tc>
          <w:tcPr>
            <w:tcW w:w="17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2,642</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2,331</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311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20" w:type="dxa"/>
            <w:vAlign w:val="bottom"/>
          </w:tcPr>
          <w:p>
            <w:pPr>
              <w:spacing w:after="0"/>
              <w:rPr>
                <w:sz w:val="18"/>
                <w:szCs w:val="18"/>
                <w:color w:val="auto"/>
              </w:rPr>
            </w:pPr>
          </w:p>
        </w:tc>
      </w:tr>
      <w:tr>
        <w:trPr>
          <w:trHeight w:val="268"/>
        </w:trPr>
        <w:tc>
          <w:tcPr>
            <w:tcW w:w="4220" w:type="dxa"/>
            <w:vAlign w:val="bottom"/>
          </w:tcPr>
          <w:p>
            <w:pPr>
              <w:ind w:left="160"/>
              <w:spacing w:after="0"/>
              <w:rPr>
                <w:sz w:val="20"/>
                <w:szCs w:val="20"/>
                <w:color w:val="auto"/>
              </w:rPr>
            </w:pPr>
            <w:r>
              <w:rPr>
                <w:rFonts w:ascii="Arial" w:cs="Arial" w:eastAsia="Arial" w:hAnsi="Arial"/>
                <w:sz w:val="17"/>
                <w:szCs w:val="17"/>
                <w:color w:val="auto"/>
              </w:rPr>
              <w:t>Total ceded written premiums</w:t>
            </w:r>
          </w:p>
        </w:tc>
        <w:tc>
          <w:tcPr>
            <w:tcW w:w="17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10,733</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9,219</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1,514</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16.4%</w:t>
            </w:r>
          </w:p>
        </w:tc>
      </w:tr>
      <w:tr>
        <w:trPr>
          <w:trHeight w:val="209"/>
        </w:trPr>
        <w:tc>
          <w:tcPr>
            <w:tcW w:w="4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68"/>
        </w:trPr>
        <w:tc>
          <w:tcPr>
            <w:tcW w:w="4220" w:type="dxa"/>
            <w:vAlign w:val="bottom"/>
          </w:tcPr>
          <w:p>
            <w:pPr>
              <w:ind w:left="160"/>
              <w:spacing w:after="0"/>
              <w:rPr>
                <w:sz w:val="20"/>
                <w:szCs w:val="20"/>
                <w:color w:val="auto"/>
              </w:rPr>
            </w:pPr>
            <w:r>
              <w:rPr>
                <w:rFonts w:ascii="Arial" w:cs="Arial" w:eastAsia="Arial" w:hAnsi="Arial"/>
                <w:sz w:val="17"/>
                <w:szCs w:val="17"/>
                <w:color w:val="auto"/>
              </w:rPr>
              <w:t>Net written premiums</w:t>
            </w:r>
          </w:p>
        </w:tc>
        <w:tc>
          <w:tcPr>
            <w:tcW w:w="17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19,727</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16,953</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2,774</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16.4%</w:t>
            </w:r>
          </w:p>
        </w:tc>
      </w:tr>
      <w:tr>
        <w:trPr>
          <w:trHeight w:val="209"/>
        </w:trPr>
        <w:tc>
          <w:tcPr>
            <w:tcW w:w="4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220" w:type="dxa"/>
            <w:vAlign w:val="bottom"/>
          </w:tcPr>
          <w:p>
            <w:pPr>
              <w:ind w:left="160"/>
              <w:spacing w:after="0"/>
              <w:rPr>
                <w:sz w:val="20"/>
                <w:szCs w:val="20"/>
                <w:color w:val="auto"/>
              </w:rPr>
            </w:pPr>
            <w:r>
              <w:rPr>
                <w:rFonts w:ascii="Arial" w:cs="Arial" w:eastAsia="Arial" w:hAnsi="Arial"/>
                <w:sz w:val="17"/>
                <w:szCs w:val="17"/>
                <w:color w:val="auto"/>
              </w:rPr>
              <w:t>Change in unearned premiums</w:t>
            </w: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Direct and assumed</w:t>
            </w: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(3,713)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(2,447)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20" w:type="dxa"/>
            <w:vAlign w:val="bottom"/>
          </w:tcPr>
          <w:p>
            <w:pPr>
              <w:spacing w:after="0"/>
              <w:rPr>
                <w:sz w:val="18"/>
                <w:szCs w:val="18"/>
                <w:color w:val="auto"/>
              </w:rPr>
            </w:pPr>
          </w:p>
        </w:tc>
      </w:tr>
      <w:tr>
        <w:trPr>
          <w:trHeight w:val="215"/>
        </w:trPr>
        <w:tc>
          <w:tcPr>
            <w:tcW w:w="4220" w:type="dxa"/>
            <w:vAlign w:val="bottom"/>
          </w:tcPr>
          <w:p>
            <w:pPr>
              <w:ind w:left="320"/>
              <w:spacing w:after="0"/>
              <w:rPr>
                <w:sz w:val="20"/>
                <w:szCs w:val="20"/>
                <w:color w:val="auto"/>
              </w:rPr>
            </w:pPr>
            <w:r>
              <w:rPr>
                <w:rFonts w:ascii="Arial" w:cs="Arial" w:eastAsia="Arial" w:hAnsi="Arial"/>
                <w:sz w:val="17"/>
                <w:szCs w:val="17"/>
                <w:color w:val="auto"/>
              </w:rPr>
              <w:t>Ceded to quota share treaties</w:t>
            </w:r>
          </w:p>
        </w:tc>
        <w:tc>
          <w:tcPr>
            <w:tcW w:w="1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939</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505</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434</w:t>
            </w:r>
          </w:p>
        </w:tc>
        <w:tc>
          <w:tcPr>
            <w:tcW w:w="1360" w:type="dxa"/>
            <w:vAlign w:val="bottom"/>
          </w:tcPr>
          <w:p>
            <w:pPr>
              <w:jc w:val="right"/>
              <w:spacing w:after="0"/>
              <w:rPr>
                <w:sz w:val="20"/>
                <w:szCs w:val="20"/>
                <w:color w:val="auto"/>
              </w:rPr>
            </w:pPr>
            <w:r>
              <w:rPr>
                <w:rFonts w:ascii="Arial" w:cs="Arial" w:eastAsia="Arial" w:hAnsi="Arial"/>
                <w:sz w:val="17"/>
                <w:szCs w:val="17"/>
                <w:color w:val="auto"/>
              </w:rPr>
              <w:t>85.9%</w:t>
            </w:r>
          </w:p>
        </w:tc>
        <w:tc>
          <w:tcPr>
            <w:tcW w:w="20" w:type="dxa"/>
            <w:vAlign w:val="bottom"/>
          </w:tcPr>
          <w:p>
            <w:pPr>
              <w:spacing w:after="0"/>
              <w:rPr>
                <w:sz w:val="18"/>
                <w:szCs w:val="18"/>
                <w:color w:val="auto"/>
              </w:rPr>
            </w:pPr>
          </w:p>
        </w:tc>
      </w:tr>
      <w:tr>
        <w:trPr>
          <w:trHeight w:val="268"/>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Change in net unearned premiums</w:t>
            </w:r>
          </w:p>
        </w:tc>
        <w:tc>
          <w:tcPr>
            <w:tcW w:w="17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(2,774)</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(1,942)</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20" w:type="dxa"/>
            <w:vAlign w:val="bottom"/>
          </w:tcPr>
          <w:p>
            <w:pPr>
              <w:spacing w:after="0"/>
              <w:rPr>
                <w:sz w:val="23"/>
                <w:szCs w:val="23"/>
                <w:color w:val="auto"/>
              </w:rPr>
            </w:pPr>
          </w:p>
        </w:tc>
      </w:tr>
      <w:tr>
        <w:trPr>
          <w:trHeight w:val="209"/>
        </w:trPr>
        <w:tc>
          <w:tcPr>
            <w:tcW w:w="4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Premiums earned</w:t>
            </w: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220" w:type="dxa"/>
            <w:vAlign w:val="bottom"/>
          </w:tcPr>
          <w:p>
            <w:pPr>
              <w:ind w:left="320"/>
              <w:spacing w:after="0"/>
              <w:rPr>
                <w:sz w:val="20"/>
                <w:szCs w:val="20"/>
                <w:color w:val="auto"/>
              </w:rPr>
            </w:pPr>
            <w:r>
              <w:rPr>
                <w:rFonts w:ascii="Arial" w:cs="Arial" w:eastAsia="Arial" w:hAnsi="Arial"/>
                <w:sz w:val="17"/>
                <w:szCs w:val="17"/>
                <w:color w:val="auto"/>
              </w:rPr>
              <w:t>Direct and assumed</w:t>
            </w:r>
          </w:p>
        </w:tc>
        <w:tc>
          <w:tcPr>
            <w:tcW w:w="1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26,748</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23,724</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3,024</w:t>
            </w:r>
          </w:p>
        </w:tc>
        <w:tc>
          <w:tcPr>
            <w:tcW w:w="1360" w:type="dxa"/>
            <w:vAlign w:val="bottom"/>
          </w:tcPr>
          <w:p>
            <w:pPr>
              <w:jc w:val="right"/>
              <w:spacing w:after="0"/>
              <w:rPr>
                <w:sz w:val="20"/>
                <w:szCs w:val="20"/>
                <w:color w:val="auto"/>
              </w:rPr>
            </w:pPr>
            <w:r>
              <w:rPr>
                <w:rFonts w:ascii="Arial" w:cs="Arial" w:eastAsia="Arial" w:hAnsi="Arial"/>
                <w:sz w:val="17"/>
                <w:szCs w:val="17"/>
                <w:color w:val="auto"/>
              </w:rPr>
              <w:t>12.7%</w:t>
            </w:r>
          </w:p>
        </w:tc>
        <w:tc>
          <w:tcPr>
            <w:tcW w:w="20" w:type="dxa"/>
            <w:vAlign w:val="bottom"/>
          </w:tcPr>
          <w:p>
            <w:pPr>
              <w:spacing w:after="0"/>
              <w:rPr>
                <w:sz w:val="18"/>
                <w:szCs w:val="18"/>
                <w:color w:val="auto"/>
              </w:rPr>
            </w:pPr>
          </w:p>
        </w:tc>
      </w:tr>
      <w:tr>
        <w:trPr>
          <w:trHeight w:val="268"/>
        </w:trPr>
        <w:tc>
          <w:tcPr>
            <w:tcW w:w="4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Ceded to quota share treaties</w:t>
            </w:r>
          </w:p>
        </w:tc>
        <w:tc>
          <w:tcPr>
            <w:tcW w:w="17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(9,794)</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(8,713)</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20" w:type="dxa"/>
            <w:vAlign w:val="bottom"/>
          </w:tcPr>
          <w:p>
            <w:pPr>
              <w:spacing w:after="0"/>
              <w:rPr>
                <w:sz w:val="23"/>
                <w:szCs w:val="23"/>
                <w:color w:val="auto"/>
              </w:rPr>
            </w:pPr>
          </w:p>
        </w:tc>
      </w:tr>
      <w:tr>
        <w:trPr>
          <w:trHeight w:val="209"/>
        </w:trPr>
        <w:tc>
          <w:tcPr>
            <w:tcW w:w="4220" w:type="dxa"/>
            <w:vAlign w:val="bottom"/>
          </w:tcPr>
          <w:p>
            <w:pPr>
              <w:ind w:left="160"/>
              <w:spacing w:after="0"/>
              <w:rPr>
                <w:sz w:val="20"/>
                <w:szCs w:val="20"/>
                <w:color w:val="auto"/>
              </w:rPr>
            </w:pPr>
            <w:r>
              <w:rPr>
                <w:rFonts w:ascii="Arial" w:cs="Arial" w:eastAsia="Arial" w:hAnsi="Arial"/>
                <w:sz w:val="17"/>
                <w:szCs w:val="17"/>
                <w:color w:val="auto"/>
              </w:rPr>
              <w:t>Net premiums earned</w:t>
            </w: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16,954</w:t>
            </w:r>
          </w:p>
        </w:tc>
        <w:tc>
          <w:tcPr>
            <w:tcW w:w="32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15,011</w:t>
            </w:r>
          </w:p>
        </w:tc>
        <w:tc>
          <w:tcPr>
            <w:tcW w:w="30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1,943</w:t>
            </w:r>
          </w:p>
        </w:tc>
        <w:tc>
          <w:tcPr>
            <w:tcW w:w="1360" w:type="dxa"/>
            <w:vAlign w:val="bottom"/>
          </w:tcPr>
          <w:p>
            <w:pPr>
              <w:jc w:val="right"/>
              <w:spacing w:after="0"/>
              <w:rPr>
                <w:sz w:val="20"/>
                <w:szCs w:val="20"/>
                <w:color w:val="auto"/>
              </w:rPr>
            </w:pPr>
            <w:r>
              <w:rPr>
                <w:rFonts w:ascii="Arial" w:cs="Arial" w:eastAsia="Arial" w:hAnsi="Arial"/>
                <w:sz w:val="17"/>
                <w:szCs w:val="17"/>
                <w:color w:val="auto"/>
              </w:rPr>
              <w:t>12.9%</w:t>
            </w:r>
          </w:p>
        </w:tc>
        <w:tc>
          <w:tcPr>
            <w:tcW w:w="20" w:type="dxa"/>
            <w:vAlign w:val="bottom"/>
          </w:tcPr>
          <w:p>
            <w:pPr>
              <w:spacing w:after="0"/>
              <w:rPr>
                <w:sz w:val="18"/>
                <w:szCs w:val="18"/>
                <w:color w:val="auto"/>
              </w:rPr>
            </w:pPr>
          </w:p>
        </w:tc>
      </w:tr>
      <w:tr>
        <w:trPr>
          <w:trHeight w:val="209"/>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Ceding commission revenue</w:t>
            </w: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3,306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2,569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737</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20" w:type="dxa"/>
            <w:vAlign w:val="bottom"/>
          </w:tcPr>
          <w:p>
            <w:pPr>
              <w:spacing w:after="0"/>
              <w:rPr>
                <w:sz w:val="18"/>
                <w:szCs w:val="18"/>
                <w:color w:val="auto"/>
              </w:rPr>
            </w:pPr>
          </w:p>
        </w:tc>
      </w:tr>
      <w:tr>
        <w:trPr>
          <w:trHeight w:val="209"/>
        </w:trPr>
        <w:tc>
          <w:tcPr>
            <w:tcW w:w="4220" w:type="dxa"/>
            <w:vAlign w:val="bottom"/>
          </w:tcPr>
          <w:p>
            <w:pPr>
              <w:ind w:left="160"/>
              <w:spacing w:after="0"/>
              <w:rPr>
                <w:sz w:val="20"/>
                <w:szCs w:val="20"/>
                <w:color w:val="auto"/>
              </w:rPr>
            </w:pPr>
            <w:r>
              <w:rPr>
                <w:rFonts w:ascii="Arial" w:cs="Arial" w:eastAsia="Arial" w:hAnsi="Arial"/>
                <w:sz w:val="17"/>
                <w:szCs w:val="17"/>
                <w:color w:val="auto"/>
              </w:rPr>
              <w:t>Net investment income</w:t>
            </w: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76"/>
              <w:spacing w:after="0"/>
              <w:rPr>
                <w:sz w:val="20"/>
                <w:szCs w:val="20"/>
                <w:color w:val="auto"/>
              </w:rPr>
            </w:pPr>
            <w:r>
              <w:rPr>
                <w:rFonts w:ascii="Arial" w:cs="Arial" w:eastAsia="Arial" w:hAnsi="Arial"/>
                <w:sz w:val="17"/>
                <w:szCs w:val="17"/>
                <w:color w:val="auto"/>
              </w:rPr>
              <w:t>1,026</w:t>
            </w:r>
          </w:p>
        </w:tc>
        <w:tc>
          <w:tcPr>
            <w:tcW w:w="320" w:type="dxa"/>
            <w:vAlign w:val="bottom"/>
          </w:tcPr>
          <w:p>
            <w:pPr>
              <w:spacing w:after="0"/>
              <w:rPr>
                <w:sz w:val="18"/>
                <w:szCs w:val="18"/>
                <w:color w:val="auto"/>
              </w:rPr>
            </w:pPr>
          </w:p>
        </w:tc>
        <w:tc>
          <w:tcPr>
            <w:tcW w:w="1060" w:type="dxa"/>
            <w:vAlign w:val="bottom"/>
          </w:tcPr>
          <w:p>
            <w:pPr>
              <w:jc w:val="right"/>
              <w:ind w:right="76"/>
              <w:spacing w:after="0"/>
              <w:rPr>
                <w:sz w:val="20"/>
                <w:szCs w:val="20"/>
                <w:color w:val="auto"/>
              </w:rPr>
            </w:pPr>
            <w:r>
              <w:rPr>
                <w:rFonts w:ascii="Arial" w:cs="Arial" w:eastAsia="Arial" w:hAnsi="Arial"/>
                <w:sz w:val="17"/>
                <w:szCs w:val="17"/>
                <w:color w:val="auto"/>
              </w:rPr>
              <w:t>764</w:t>
            </w:r>
          </w:p>
        </w:tc>
        <w:tc>
          <w:tcPr>
            <w:tcW w:w="30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7"/>
                <w:szCs w:val="17"/>
                <w:color w:val="auto"/>
              </w:rPr>
              <w:t>262</w:t>
            </w:r>
          </w:p>
        </w:tc>
        <w:tc>
          <w:tcPr>
            <w:tcW w:w="1360" w:type="dxa"/>
            <w:vAlign w:val="bottom"/>
          </w:tcPr>
          <w:p>
            <w:pPr>
              <w:jc w:val="right"/>
              <w:spacing w:after="0"/>
              <w:rPr>
                <w:sz w:val="20"/>
                <w:szCs w:val="20"/>
                <w:color w:val="auto"/>
              </w:rPr>
            </w:pPr>
            <w:r>
              <w:rPr>
                <w:rFonts w:ascii="Arial" w:cs="Arial" w:eastAsia="Arial" w:hAnsi="Arial"/>
                <w:sz w:val="17"/>
                <w:szCs w:val="17"/>
                <w:color w:val="auto"/>
              </w:rPr>
              <w:t>34.3%</w:t>
            </w:r>
          </w:p>
        </w:tc>
        <w:tc>
          <w:tcPr>
            <w:tcW w:w="20" w:type="dxa"/>
            <w:vAlign w:val="bottom"/>
          </w:tcPr>
          <w:p>
            <w:pPr>
              <w:spacing w:after="0"/>
              <w:rPr>
                <w:sz w:val="18"/>
                <w:szCs w:val="18"/>
                <w:color w:val="auto"/>
              </w:rPr>
            </w:pPr>
          </w:p>
        </w:tc>
      </w:tr>
      <w:tr>
        <w:trPr>
          <w:trHeight w:val="209"/>
        </w:trPr>
        <w:tc>
          <w:tcPr>
            <w:tcW w:w="4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realized gain on investments</w:t>
            </w: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130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283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20" w:type="dxa"/>
            <w:vAlign w:val="bottom"/>
          </w:tcPr>
          <w:p>
            <w:pPr>
              <w:spacing w:after="0"/>
              <w:rPr>
                <w:sz w:val="18"/>
                <w:szCs w:val="18"/>
                <w:color w:val="auto"/>
              </w:rPr>
            </w:pPr>
          </w:p>
        </w:tc>
      </w:tr>
      <w:tr>
        <w:trPr>
          <w:trHeight w:val="215"/>
        </w:trPr>
        <w:tc>
          <w:tcPr>
            <w:tcW w:w="4220" w:type="dxa"/>
            <w:vAlign w:val="bottom"/>
          </w:tcPr>
          <w:p>
            <w:pPr>
              <w:ind w:left="160"/>
              <w:spacing w:after="0"/>
              <w:rPr>
                <w:sz w:val="20"/>
                <w:szCs w:val="20"/>
                <w:color w:val="auto"/>
              </w:rPr>
            </w:pPr>
            <w:r>
              <w:rPr>
                <w:rFonts w:ascii="Arial" w:cs="Arial" w:eastAsia="Arial" w:hAnsi="Arial"/>
                <w:sz w:val="17"/>
                <w:szCs w:val="17"/>
                <w:color w:val="auto"/>
              </w:rPr>
              <w:t>Other income</w:t>
            </w:r>
          </w:p>
        </w:tc>
        <w:tc>
          <w:tcPr>
            <w:tcW w:w="17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308</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285</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23</w:t>
            </w:r>
          </w:p>
        </w:tc>
        <w:tc>
          <w:tcPr>
            <w:tcW w:w="1360" w:type="dxa"/>
            <w:vAlign w:val="bottom"/>
          </w:tcPr>
          <w:p>
            <w:pPr>
              <w:jc w:val="right"/>
              <w:spacing w:after="0"/>
              <w:rPr>
                <w:sz w:val="20"/>
                <w:szCs w:val="20"/>
                <w:color w:val="auto"/>
              </w:rPr>
            </w:pPr>
            <w:r>
              <w:rPr>
                <w:rFonts w:ascii="Arial" w:cs="Arial" w:eastAsia="Arial" w:hAnsi="Arial"/>
                <w:sz w:val="17"/>
                <w:szCs w:val="17"/>
                <w:color w:val="auto"/>
              </w:rPr>
              <w:t>8.1%</w:t>
            </w:r>
          </w:p>
        </w:tc>
        <w:tc>
          <w:tcPr>
            <w:tcW w:w="20" w:type="dxa"/>
            <w:vAlign w:val="bottom"/>
          </w:tcPr>
          <w:p>
            <w:pPr>
              <w:spacing w:after="0"/>
              <w:rPr>
                <w:sz w:val="18"/>
                <w:szCs w:val="18"/>
                <w:color w:val="auto"/>
              </w:rPr>
            </w:pPr>
          </w:p>
        </w:tc>
      </w:tr>
      <w:tr>
        <w:trPr>
          <w:trHeight w:val="268"/>
        </w:trPr>
        <w:tc>
          <w:tcPr>
            <w:tcW w:w="4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17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21,724</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18,912</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2,812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20" w:type="dxa"/>
            <w:vAlign w:val="bottom"/>
          </w:tcPr>
          <w:p>
            <w:pPr>
              <w:spacing w:after="0"/>
              <w:rPr>
                <w:sz w:val="23"/>
                <w:szCs w:val="23"/>
                <w:color w:val="auto"/>
              </w:rPr>
            </w:pPr>
          </w:p>
        </w:tc>
      </w:tr>
      <w:tr>
        <w:trPr>
          <w:trHeight w:val="562"/>
        </w:trPr>
        <w:tc>
          <w:tcPr>
            <w:tcW w:w="4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85"/>
              <w:spacing w:after="0"/>
              <w:rPr>
                <w:sz w:val="20"/>
                <w:szCs w:val="20"/>
                <w:color w:val="auto"/>
              </w:rPr>
            </w:pPr>
            <w:r>
              <w:rPr>
                <w:rFonts w:ascii="Arial" w:cs="Arial" w:eastAsia="Arial" w:hAnsi="Arial"/>
                <w:sz w:val="13"/>
                <w:szCs w:val="13"/>
                <w:color w:val="auto"/>
              </w:rPr>
              <w:t>44</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50"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w w:val="96"/>
              </w:rPr>
              <w:t>Three months ended June 30,</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6"/>
                <w:szCs w:val="16"/>
                <w:color w:val="auto"/>
              </w:rPr>
            </w:pPr>
          </w:p>
        </w:tc>
        <w:tc>
          <w:tcPr>
            <w:tcW w:w="1060" w:type="dxa"/>
            <w:vAlign w:val="bottom"/>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6"/>
                <w:szCs w:val="16"/>
                <w:color w:val="auto"/>
              </w:rPr>
            </w:pPr>
          </w:p>
        </w:tc>
        <w:tc>
          <w:tcPr>
            <w:tcW w:w="1100" w:type="dxa"/>
            <w:vAlign w:val="bottom"/>
          </w:tcPr>
          <w:p>
            <w:pPr>
              <w:jc w:val="right"/>
              <w:ind w:right="53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6"/>
                <w:szCs w:val="16"/>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Change</w:t>
            </w: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revenues</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21,724</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18,912</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2,812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Expenses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Loss and loss adjustment expenses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Direct and assumed</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10,647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8,577</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2,070</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Ceded</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3,192</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2,790</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402</w:t>
            </w:r>
          </w:p>
        </w:tc>
        <w:tc>
          <w:tcPr>
            <w:tcW w:w="1360" w:type="dxa"/>
            <w:vAlign w:val="bottom"/>
          </w:tcPr>
          <w:p>
            <w:pPr>
              <w:jc w:val="right"/>
              <w:spacing w:after="0"/>
              <w:rPr>
                <w:sz w:val="20"/>
                <w:szCs w:val="20"/>
                <w:color w:val="auto"/>
              </w:rPr>
            </w:pPr>
            <w:r>
              <w:rPr>
                <w:rFonts w:ascii="Arial" w:cs="Arial" w:eastAsia="Arial" w:hAnsi="Arial"/>
                <w:sz w:val="17"/>
                <w:szCs w:val="17"/>
                <w:color w:val="auto"/>
              </w:rPr>
              <w:t>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loss and loss adjustment expenses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7,455</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5,787</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1,668</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380" w:type="dxa"/>
            <w:vAlign w:val="bottom"/>
          </w:tcPr>
          <w:p>
            <w:pPr>
              <w:spacing w:after="0"/>
              <w:rPr>
                <w:sz w:val="18"/>
                <w:szCs w:val="18"/>
                <w:color w:val="auto"/>
              </w:rPr>
            </w:pPr>
          </w:p>
        </w:tc>
        <w:tc>
          <w:tcPr>
            <w:tcW w:w="1060" w:type="dxa"/>
            <w:vAlign w:val="bottom"/>
          </w:tcPr>
          <w:p>
            <w:pPr>
              <w:jc w:val="right"/>
              <w:ind w:right="117"/>
              <w:spacing w:after="0"/>
              <w:rPr>
                <w:sz w:val="20"/>
                <w:szCs w:val="20"/>
                <w:color w:val="auto"/>
              </w:rPr>
            </w:pPr>
            <w:r>
              <w:rPr>
                <w:rFonts w:ascii="Arial" w:cs="Arial" w:eastAsia="Arial" w:hAnsi="Arial"/>
                <w:sz w:val="17"/>
                <w:szCs w:val="17"/>
                <w:color w:val="auto"/>
              </w:rPr>
              <w:t>5,101</w:t>
            </w:r>
          </w:p>
        </w:tc>
        <w:tc>
          <w:tcPr>
            <w:tcW w:w="280" w:type="dxa"/>
            <w:vAlign w:val="bottom"/>
          </w:tcPr>
          <w:p>
            <w:pPr>
              <w:spacing w:after="0"/>
              <w:rPr>
                <w:sz w:val="18"/>
                <w:szCs w:val="18"/>
                <w:color w:val="auto"/>
              </w:rPr>
            </w:pP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4,526</w:t>
            </w:r>
          </w:p>
        </w:tc>
        <w:tc>
          <w:tcPr>
            <w:tcW w:w="26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575</w:t>
            </w:r>
          </w:p>
        </w:tc>
        <w:tc>
          <w:tcPr>
            <w:tcW w:w="1360" w:type="dxa"/>
            <w:vAlign w:val="bottom"/>
          </w:tcPr>
          <w:p>
            <w:pPr>
              <w:jc w:val="right"/>
              <w:spacing w:after="0"/>
              <w:rPr>
                <w:sz w:val="20"/>
                <w:szCs w:val="20"/>
                <w:color w:val="auto"/>
              </w:rPr>
            </w:pPr>
            <w:r>
              <w:rPr>
                <w:rFonts w:ascii="Arial" w:cs="Arial" w:eastAsia="Arial" w:hAnsi="Arial"/>
                <w:sz w:val="17"/>
                <w:szCs w:val="17"/>
                <w:color w:val="auto"/>
              </w:rPr>
              <w:t>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4,200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3,596</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604</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380" w:type="dxa"/>
            <w:vAlign w:val="bottom"/>
          </w:tcPr>
          <w:p>
            <w:pPr>
              <w:spacing w:after="0"/>
              <w:rPr>
                <w:sz w:val="18"/>
                <w:szCs w:val="18"/>
                <w:color w:val="auto"/>
              </w:rPr>
            </w:pPr>
          </w:p>
        </w:tc>
        <w:tc>
          <w:tcPr>
            <w:tcW w:w="1060" w:type="dxa"/>
            <w:vAlign w:val="bottom"/>
          </w:tcPr>
          <w:p>
            <w:pPr>
              <w:jc w:val="right"/>
              <w:ind w:right="117"/>
              <w:spacing w:after="0"/>
              <w:rPr>
                <w:sz w:val="20"/>
                <w:szCs w:val="20"/>
                <w:color w:val="auto"/>
              </w:rPr>
            </w:pPr>
            <w:r>
              <w:rPr>
                <w:rFonts w:ascii="Arial" w:cs="Arial" w:eastAsia="Arial" w:hAnsi="Arial"/>
                <w:sz w:val="17"/>
                <w:szCs w:val="17"/>
                <w:color w:val="auto"/>
              </w:rPr>
              <w:t>907</w:t>
            </w:r>
          </w:p>
        </w:tc>
        <w:tc>
          <w:tcPr>
            <w:tcW w:w="280" w:type="dxa"/>
            <w:vAlign w:val="bottom"/>
          </w:tcPr>
          <w:p>
            <w:pPr>
              <w:spacing w:after="0"/>
              <w:rPr>
                <w:sz w:val="18"/>
                <w:szCs w:val="18"/>
                <w:color w:val="auto"/>
              </w:rPr>
            </w:pP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433</w:t>
            </w:r>
          </w:p>
        </w:tc>
        <w:tc>
          <w:tcPr>
            <w:tcW w:w="26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474</w:t>
            </w:r>
          </w:p>
        </w:tc>
        <w:tc>
          <w:tcPr>
            <w:tcW w:w="1360" w:type="dxa"/>
            <w:vAlign w:val="bottom"/>
          </w:tcPr>
          <w:p>
            <w:pPr>
              <w:jc w:val="right"/>
              <w:spacing w:after="0"/>
              <w:rPr>
                <w:sz w:val="20"/>
                <w:szCs w:val="20"/>
                <w:color w:val="auto"/>
              </w:rPr>
            </w:pPr>
            <w:r>
              <w:rPr>
                <w:rFonts w:ascii="Arial" w:cs="Arial" w:eastAsia="Arial" w:hAnsi="Arial"/>
                <w:sz w:val="17"/>
                <w:szCs w:val="17"/>
                <w:color w:val="auto"/>
              </w:rPr>
              <w:t>109.5%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326</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289</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Total expenses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17,989</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14,631</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3,358</w:t>
            </w:r>
          </w:p>
        </w:tc>
        <w:tc>
          <w:tcPr>
            <w:tcW w:w="1360" w:type="dxa"/>
            <w:vAlign w:val="bottom"/>
          </w:tcPr>
          <w:p>
            <w:pPr>
              <w:jc w:val="right"/>
              <w:spacing w:after="0"/>
              <w:rPr>
                <w:sz w:val="20"/>
                <w:szCs w:val="20"/>
                <w:color w:val="auto"/>
              </w:rPr>
            </w:pPr>
            <w:r>
              <w:rPr>
                <w:rFonts w:ascii="Arial" w:cs="Arial" w:eastAsia="Arial" w:hAnsi="Arial"/>
                <w:sz w:val="17"/>
                <w:szCs w:val="17"/>
                <w:color w:val="auto"/>
              </w:rPr>
              <w:t>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Income from operations before taxes</w:t>
            </w:r>
          </w:p>
        </w:tc>
        <w:tc>
          <w:tcPr>
            <w:tcW w:w="380" w:type="dxa"/>
            <w:vAlign w:val="bottom"/>
          </w:tcPr>
          <w:p>
            <w:pPr>
              <w:spacing w:after="0"/>
              <w:rPr>
                <w:sz w:val="18"/>
                <w:szCs w:val="18"/>
                <w:color w:val="auto"/>
              </w:rPr>
            </w:pPr>
          </w:p>
        </w:tc>
        <w:tc>
          <w:tcPr>
            <w:tcW w:w="1060" w:type="dxa"/>
            <w:vAlign w:val="bottom"/>
          </w:tcPr>
          <w:p>
            <w:pPr>
              <w:jc w:val="right"/>
              <w:ind w:right="117"/>
              <w:spacing w:after="0"/>
              <w:rPr>
                <w:sz w:val="20"/>
                <w:szCs w:val="20"/>
                <w:color w:val="auto"/>
              </w:rPr>
            </w:pPr>
            <w:r>
              <w:rPr>
                <w:rFonts w:ascii="Arial" w:cs="Arial" w:eastAsia="Arial" w:hAnsi="Arial"/>
                <w:sz w:val="17"/>
                <w:szCs w:val="17"/>
                <w:color w:val="auto"/>
              </w:rPr>
              <w:t>3,735</w:t>
            </w:r>
          </w:p>
        </w:tc>
        <w:tc>
          <w:tcPr>
            <w:tcW w:w="280" w:type="dxa"/>
            <w:vAlign w:val="bottom"/>
          </w:tcPr>
          <w:p>
            <w:pPr>
              <w:spacing w:after="0"/>
              <w:rPr>
                <w:sz w:val="18"/>
                <w:szCs w:val="18"/>
                <w:color w:val="auto"/>
              </w:rPr>
            </w:pPr>
          </w:p>
        </w:tc>
        <w:tc>
          <w:tcPr>
            <w:tcW w:w="1100" w:type="dxa"/>
            <w:vAlign w:val="bottom"/>
          </w:tcPr>
          <w:p>
            <w:pPr>
              <w:jc w:val="right"/>
              <w:ind w:right="118"/>
              <w:spacing w:after="0"/>
              <w:rPr>
                <w:sz w:val="20"/>
                <w:szCs w:val="20"/>
                <w:color w:val="auto"/>
              </w:rPr>
            </w:pPr>
            <w:r>
              <w:rPr>
                <w:rFonts w:ascii="Arial" w:cs="Arial" w:eastAsia="Arial" w:hAnsi="Arial"/>
                <w:sz w:val="17"/>
                <w:szCs w:val="17"/>
                <w:color w:val="auto"/>
              </w:rPr>
              <w:t>4,281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(546)</w:t>
            </w:r>
          </w:p>
        </w:tc>
        <w:tc>
          <w:tcPr>
            <w:tcW w:w="1360" w:type="dxa"/>
            <w:vAlign w:val="bottom"/>
          </w:tcPr>
          <w:p>
            <w:pPr>
              <w:jc w:val="right"/>
              <w:spacing w:after="0"/>
              <w:rPr>
                <w:sz w:val="20"/>
                <w:szCs w:val="20"/>
                <w:color w:val="auto"/>
              </w:rPr>
            </w:pPr>
            <w:r>
              <w:rPr>
                <w:rFonts w:ascii="Arial" w:cs="Arial" w:eastAsia="Arial" w:hAnsi="Arial"/>
                <w:sz w:val="17"/>
                <w:szCs w:val="17"/>
                <w:color w:val="auto"/>
              </w:rPr>
              <w:t>(12.8)%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Provision for income tax</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1,225</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1,439</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2,510</w:t>
            </w:r>
          </w:p>
        </w:tc>
        <w:tc>
          <w:tcPr>
            <w:tcW w:w="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2,842</w:t>
            </w: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w:t>
            </w:r>
          </w:p>
        </w:tc>
        <w:tc>
          <w:tcPr>
            <w:tcW w:w="1360" w:type="dxa"/>
            <w:vAlign w:val="bottom"/>
          </w:tcPr>
          <w:p>
            <w:pPr>
              <w:jc w:val="right"/>
              <w:spacing w:after="0"/>
              <w:rPr>
                <w:sz w:val="20"/>
                <w:szCs w:val="20"/>
                <w:color w:val="auto"/>
              </w:rPr>
            </w:pPr>
            <w:r>
              <w:rPr>
                <w:rFonts w:ascii="Arial" w:cs="Arial" w:eastAsia="Arial" w:hAnsi="Arial"/>
                <w:sz w:val="17"/>
                <w:szCs w:val="17"/>
                <w:color w:val="auto"/>
              </w:rPr>
              <w:t>(11.7)%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w w:val="96"/>
              </w:rPr>
              <w:t>Three months ended June 30,</w:t>
            </w:r>
          </w:p>
        </w:tc>
        <w:tc>
          <w:tcPr>
            <w:tcW w:w="1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gridSpan w:val="2"/>
          </w:tcPr>
          <w:p>
            <w:pPr>
              <w:jc w:val="right"/>
              <w:ind w:right="77"/>
              <w:spacing w:after="0" w:line="144" w:lineRule="exact"/>
              <w:rPr>
                <w:sz w:val="20"/>
                <w:szCs w:val="20"/>
                <w:color w:val="auto"/>
              </w:rPr>
            </w:pPr>
            <w:r>
              <w:rPr>
                <w:rFonts w:ascii="Arial" w:cs="Arial" w:eastAsia="Arial" w:hAnsi="Arial"/>
                <w:sz w:val="14"/>
                <w:szCs w:val="14"/>
                <w:b w:val="1"/>
                <w:bCs w:val="1"/>
                <w:color w:val="auto"/>
                <w:w w:val="97"/>
              </w:rPr>
              <w:t>Percentage Point</w:t>
            </w:r>
          </w:p>
        </w:tc>
        <w:tc>
          <w:tcPr>
            <w:tcW w:w="1360" w:type="dxa"/>
            <w:vAlign w:val="bottom"/>
          </w:tcPr>
          <w:p>
            <w:pPr>
              <w:ind w:left="440"/>
              <w:spacing w:after="0" w:line="144" w:lineRule="exact"/>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5"/>
                <w:szCs w:val="15"/>
                <w:color w:val="auto"/>
              </w:rPr>
            </w:pPr>
          </w:p>
        </w:tc>
        <w:tc>
          <w:tcPr>
            <w:tcW w:w="1100" w:type="dxa"/>
            <w:vAlign w:val="bottom"/>
          </w:tcPr>
          <w:p>
            <w:pPr>
              <w:jc w:val="right"/>
              <w:ind w:right="53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5"/>
                <w:szCs w:val="15"/>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Change</w:t>
            </w: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416"/>
        </w:trPr>
        <w:tc>
          <w:tcPr>
            <w:tcW w:w="5940" w:type="dxa"/>
            <w:vAlign w:val="bottom"/>
            <w:gridSpan w:val="2"/>
          </w:tcPr>
          <w:p>
            <w:pPr>
              <w:spacing w:after="0"/>
              <w:rPr>
                <w:sz w:val="20"/>
                <w:szCs w:val="20"/>
                <w:color w:val="auto"/>
              </w:rPr>
            </w:pPr>
            <w:r>
              <w:rPr>
                <w:rFonts w:ascii="Arial" w:cs="Arial" w:eastAsia="Arial" w:hAnsi="Arial"/>
                <w:sz w:val="17"/>
                <w:szCs w:val="17"/>
                <w:b w:val="1"/>
                <w:bCs w:val="1"/>
                <w:color w:val="auto"/>
              </w:rPr>
              <w:t>Key ratios:</w:t>
            </w:r>
          </w:p>
        </w:tc>
        <w:tc>
          <w:tcPr>
            <w:tcW w:w="3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loss ratio</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5.4</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underwriting expense ratio</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360" w:type="dxa"/>
            <w:vAlign w:val="bottom"/>
          </w:tcPr>
          <w:p>
            <w:pPr>
              <w:jc w:val="right"/>
              <w:spacing w:after="0"/>
              <w:rPr>
                <w:sz w:val="20"/>
                <w:szCs w:val="20"/>
                <w:color w:val="auto"/>
              </w:rPr>
            </w:pPr>
            <w:r>
              <w:rPr>
                <w:rFonts w:ascii="Arial" w:cs="Arial" w:eastAsia="Arial" w:hAnsi="Arial"/>
                <w:sz w:val="17"/>
                <w:szCs w:val="17"/>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combined ratio</w:t>
            </w: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158" w:lineRule="exact"/>
        <w:rPr>
          <w:sz w:val="20"/>
          <w:szCs w:val="20"/>
          <w:color w:val="auto"/>
        </w:rPr>
      </w:pPr>
    </w:p>
    <w:p>
      <w:pPr>
        <w:jc w:val="both"/>
        <w:ind w:right="60" w:firstLine="628"/>
        <w:spacing w:after="0" w:line="263" w:lineRule="auto"/>
        <w:rPr>
          <w:sz w:val="20"/>
          <w:szCs w:val="20"/>
          <w:color w:val="auto"/>
        </w:rPr>
      </w:pPr>
      <w:r>
        <w:rPr>
          <w:rFonts w:ascii="Arial" w:cs="Arial" w:eastAsia="Arial" w:hAnsi="Arial"/>
          <w:sz w:val="17"/>
          <w:szCs w:val="17"/>
          <w:color w:val="auto"/>
        </w:rPr>
        <w:t>Direct written premiums during the three months ended June 30, 2017 (“Q2-2017”) were $30,458,000 compared to $26,161,000 during the three months ended June 30, 2016 (“Q2-2016”). The increase of $4,297,000, or 16.4%, was primarily due to an increase in policies in-force during Q2-2017 as compared to Q2-2016, and from writing policies with higher average premiums. We wrote more new policies as a result of continued demand for our products in the markets that we serve. We believe that a portion of our growth in new policies is attributable to our upgraded A.M. Best rating of A- that we received in April 2017. Policies in-force increased by 11.8% as of June 30, 2017 compared to June 30, 2016.</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158" w:lineRule="exact"/>
        <w:rPr>
          <w:sz w:val="20"/>
          <w:szCs w:val="20"/>
          <w:color w:val="auto"/>
        </w:rPr>
      </w:pPr>
    </w:p>
    <w:p>
      <w:pPr>
        <w:jc w:val="both"/>
        <w:ind w:right="60" w:firstLine="628"/>
        <w:spacing w:after="0" w:line="263" w:lineRule="auto"/>
        <w:rPr>
          <w:sz w:val="20"/>
          <w:szCs w:val="20"/>
          <w:color w:val="auto"/>
        </w:rPr>
      </w:pPr>
      <w:r>
        <w:rPr>
          <w:rFonts w:ascii="Arial" w:cs="Arial" w:eastAsia="Arial" w:hAnsi="Arial"/>
          <w:sz w:val="17"/>
          <w:szCs w:val="17"/>
          <w:color w:val="auto"/>
        </w:rPr>
        <w:t>Net written premiums increased $2,774,000, or 16.4%, to $19,727,000 in Q2-2017 from $16,953,000 in Q2-2016. Net written premiums include direct and assumed premiums, less the amount of written premiums ceded under our reinsurance treaties (quota share, excess of loss, and catastrophe). During Q2-2017 our personal lines business was currently subject to a 40% quota share treaty. A reduction to the quota share percentage or elimination of a quota share treaty will reduce our ceded written premiums, which will result in a corresponding increase to our net written premiums. In March 2017, we bound a new personal lines quota share treaty effective July 1, 2017, reducing the quota share rate to 20%.</w:t>
      </w:r>
    </w:p>
    <w:p>
      <w:pPr>
        <w:spacing w:after="0" w:line="341"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571" w:right="179" w:bottom="1440" w:gutter="0" w:footer="0" w:header="0"/>
        </w:sectPr>
      </w:pPr>
    </w:p>
    <w:bookmarkStart w:id="47" w:name="page48"/>
    <w:bookmarkEnd w:id="47"/>
    <w:p>
      <w:pPr>
        <w:ind w:left="640"/>
        <w:spacing w:after="0"/>
        <w:rPr>
          <w:sz w:val="20"/>
          <w:szCs w:val="20"/>
          <w:color w:val="auto"/>
        </w:rPr>
      </w:pPr>
      <w:r>
        <w:rPr>
          <w:rFonts w:ascii="Arial" w:cs="Arial" w:eastAsia="Arial" w:hAnsi="Arial"/>
          <w:sz w:val="17"/>
          <w:szCs w:val="17"/>
          <w:i w:val="1"/>
          <w:iCs w:val="1"/>
          <w:color w:val="auto"/>
        </w:rPr>
        <w:t>Excess of loss reinsurance treaty</w:t>
      </w:r>
    </w:p>
    <w:p>
      <w:pPr>
        <w:spacing w:after="0" w:line="158"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An increase in written premiums will also increase the premiums ceded under our excess of loss treaties, which incrementally reduces our net written premiums. In Q2-2017, our ceded excess of loss reinsurance premiums decreased by $5,000 over the comparable ceded premiums for Q2-2016. The decrease was due to more favorable reinsurance rates in Q2-2017, partially offset by an increase in premiums subject to excess of loss reinsurance.</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Catastrophe reinsurance treaty</w:t>
      </w:r>
    </w:p>
    <w:p>
      <w:pPr>
        <w:spacing w:after="0" w:line="15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In Q2-2017, our catastrophe reinsurance premiums increased by $311,000 over the comparable ceded premiums for Q2-2016.</w:t>
      </w:r>
    </w:p>
    <w:p>
      <w:pPr>
        <w:spacing w:after="0" w:line="118" w:lineRule="exact"/>
        <w:rPr>
          <w:sz w:val="20"/>
          <w:szCs w:val="20"/>
          <w:color w:val="auto"/>
        </w:rPr>
      </w:pPr>
    </w:p>
    <w:p>
      <w:pPr>
        <w:jc w:val="both"/>
        <w:ind w:firstLine="628"/>
        <w:spacing w:after="0" w:line="351" w:lineRule="auto"/>
        <w:rPr>
          <w:sz w:val="20"/>
          <w:szCs w:val="20"/>
          <w:color w:val="auto"/>
        </w:rPr>
      </w:pPr>
      <w:r>
        <w:rPr>
          <w:rFonts w:ascii="Arial" w:cs="Arial" w:eastAsia="Arial" w:hAnsi="Arial"/>
          <w:sz w:val="15"/>
          <w:szCs w:val="15"/>
          <w:color w:val="auto"/>
        </w:rPr>
        <w:t>With the inception of our personal lines quota share treaty being on a “net” basis effective July 1, 2015, our catastrophe premiums are paid based on total direct written premiums subject to the catastrophe reinsurance treaty, not just those retained after quota share reinsurance as was the case under the prior “gross” basis.</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Net premiums earned</w:t>
      </w:r>
    </w:p>
    <w:p>
      <w:pPr>
        <w:spacing w:after="0" w:line="158"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premiums earned increased $1,943,000, or 12.9%, to $16,954,000 in Q2-2017 from $15,011,000 in Q2-2016. As premiums written earn ratably over a twelve month period, net premiums earned in Q2-2017 increased due to the growth in net written premiums for the twelve months ended June 30, 2017 compared to the twelve months ended June 30, 2016.</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 following table details the quota share provisional ceding commission rates in effect during Q2-2017 and Q2-2016. This table should be referred to in conjunction with the discussion for ceding commission revenue that follows.</w:t>
      </w:r>
    </w:p>
    <w:p>
      <w:pPr>
        <w:spacing w:after="0" w:line="165"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Three months ended</w:t>
      </w:r>
    </w:p>
    <w:p>
      <w:pPr>
        <w:spacing w:after="0" w:line="5"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69"/>
        </w:trPr>
        <w:tc>
          <w:tcPr>
            <w:tcW w:w="4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2017</w:t>
            </w:r>
          </w:p>
        </w:tc>
        <w:tc>
          <w:tcPr>
            <w:tcW w:w="202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4"/>
                <w:szCs w:val="14"/>
                <w:b w:val="1"/>
                <w:bCs w:val="1"/>
                <w:color w:val="auto"/>
              </w:rPr>
              <w:t>2016</w:t>
            </w:r>
          </w:p>
        </w:tc>
      </w:tr>
      <w:tr>
        <w:trPr>
          <w:trHeight w:val="186"/>
        </w:trPr>
        <w:tc>
          <w:tcPr>
            <w:tcW w:w="49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00" w:type="dxa"/>
            <w:vAlign w:val="bottom"/>
          </w:tcPr>
          <w:p>
            <w:pPr>
              <w:ind w:left="320"/>
              <w:spacing w:after="0"/>
              <w:rPr>
                <w:sz w:val="20"/>
                <w:szCs w:val="20"/>
                <w:color w:val="auto"/>
              </w:rPr>
            </w:pPr>
            <w:r>
              <w:rPr>
                <w:rFonts w:ascii="Arial" w:cs="Arial" w:eastAsia="Arial" w:hAnsi="Arial"/>
                <w:sz w:val="14"/>
                <w:szCs w:val="14"/>
                <w:b w:val="1"/>
                <w:bCs w:val="1"/>
                <w:color w:val="auto"/>
              </w:rPr>
              <w:t>("2016/2017 Treaty")</w:t>
            </w:r>
          </w:p>
        </w:tc>
        <w:tc>
          <w:tcPr>
            <w:tcW w:w="2020" w:type="dxa"/>
            <w:vAlign w:val="bottom"/>
          </w:tcPr>
          <w:p>
            <w:pPr>
              <w:ind w:left="380"/>
              <w:spacing w:after="0"/>
              <w:rPr>
                <w:sz w:val="20"/>
                <w:szCs w:val="20"/>
                <w:color w:val="auto"/>
              </w:rPr>
            </w:pPr>
            <w:r>
              <w:rPr>
                <w:rFonts w:ascii="Arial" w:cs="Arial" w:eastAsia="Arial" w:hAnsi="Arial"/>
                <w:sz w:val="14"/>
                <w:szCs w:val="14"/>
                <w:b w:val="1"/>
                <w:bCs w:val="1"/>
                <w:color w:val="auto"/>
              </w:rPr>
              <w:t>("2015/2016 Treaty")</w:t>
            </w:r>
          </w:p>
        </w:tc>
      </w:tr>
      <w:tr>
        <w:trPr>
          <w:trHeight w:val="388"/>
        </w:trPr>
        <w:tc>
          <w:tcPr>
            <w:tcW w:w="4920" w:type="dxa"/>
            <w:vAlign w:val="bottom"/>
          </w:tcPr>
          <w:p>
            <w:pPr>
              <w:ind w:left="40"/>
              <w:spacing w:after="0"/>
              <w:rPr>
                <w:sz w:val="20"/>
                <w:szCs w:val="20"/>
                <w:color w:val="auto"/>
              </w:rPr>
            </w:pPr>
            <w:r>
              <w:rPr>
                <w:rFonts w:ascii="Arial" w:cs="Arial" w:eastAsia="Arial" w:hAnsi="Arial"/>
                <w:sz w:val="17"/>
                <w:szCs w:val="17"/>
                <w:b w:val="1"/>
                <w:bCs w:val="1"/>
                <w:color w:val="auto"/>
              </w:rPr>
              <w:t>Provisional ceding commission rate on quota share treaty</w:t>
            </w:r>
          </w:p>
        </w:tc>
        <w:tc>
          <w:tcPr>
            <w:tcW w:w="2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0"/>
        </w:trPr>
        <w:tc>
          <w:tcPr>
            <w:tcW w:w="49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Personal lines</w:t>
            </w:r>
          </w:p>
        </w:tc>
        <w:tc>
          <w:tcPr>
            <w:tcW w:w="4480" w:type="dxa"/>
            <w:vAlign w:val="bottom"/>
            <w:gridSpan w:val="2"/>
            <w:shd w:val="clear" w:color="auto" w:fill="CCEEFF"/>
          </w:tcPr>
          <w:p>
            <w:pPr>
              <w:jc w:val="right"/>
              <w:ind w:right="808"/>
              <w:spacing w:after="0"/>
              <w:rPr>
                <w:sz w:val="20"/>
                <w:szCs w:val="20"/>
                <w:color w:val="auto"/>
              </w:rPr>
            </w:pPr>
            <w:r>
              <w:rPr>
                <w:rFonts w:ascii="Arial" w:cs="Arial" w:eastAsia="Arial" w:hAnsi="Arial"/>
                <w:sz w:val="17"/>
                <w:szCs w:val="17"/>
                <w:color w:val="auto"/>
              </w:rPr>
              <w:t>52%</w:t>
            </w:r>
          </w:p>
        </w:tc>
        <w:tc>
          <w:tcPr>
            <w:tcW w:w="2020" w:type="dxa"/>
            <w:vAlign w:val="bottom"/>
            <w:shd w:val="clear" w:color="auto" w:fill="CCEEFF"/>
          </w:tcPr>
          <w:p>
            <w:pPr>
              <w:jc w:val="right"/>
              <w:ind w:right="744"/>
              <w:spacing w:after="0"/>
              <w:rPr>
                <w:sz w:val="20"/>
                <w:szCs w:val="20"/>
                <w:color w:val="auto"/>
              </w:rPr>
            </w:pPr>
            <w:r>
              <w:rPr>
                <w:rFonts w:ascii="Arial" w:cs="Arial" w:eastAsia="Arial" w:hAnsi="Arial"/>
                <w:sz w:val="17"/>
                <w:szCs w:val="17"/>
                <w:color w:val="auto"/>
              </w:rPr>
              <w:t>55%</w:t>
            </w:r>
          </w:p>
        </w:tc>
      </w:tr>
      <w:tr>
        <w:trPr>
          <w:trHeight w:val="562"/>
        </w:trPr>
        <w:tc>
          <w:tcPr>
            <w:tcW w:w="49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1545"/>
              <w:spacing w:after="0"/>
              <w:rPr>
                <w:sz w:val="20"/>
                <w:szCs w:val="20"/>
                <w:color w:val="auto"/>
              </w:rPr>
            </w:pPr>
            <w:r>
              <w:rPr>
                <w:rFonts w:ascii="Arial" w:cs="Arial" w:eastAsia="Arial" w:hAnsi="Arial"/>
                <w:sz w:val="13"/>
                <w:szCs w:val="13"/>
                <w:color w:val="auto"/>
              </w:rPr>
              <w:t>46</w:t>
            </w:r>
          </w:p>
        </w:tc>
        <w:tc>
          <w:tcPr>
            <w:tcW w:w="20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97" w:right="239" w:bottom="1440" w:gutter="0" w:footer="0" w:header="0"/>
        </w:sectPr>
      </w:pPr>
    </w:p>
    <w:bookmarkStart w:id="48" w:name="page49"/>
    <w:bookmarkEnd w:id="48"/>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398"/>
              <w:spacing w:after="0"/>
              <w:rPr>
                <w:sz w:val="20"/>
                <w:szCs w:val="20"/>
                <w:color w:val="auto"/>
              </w:rPr>
            </w:pPr>
            <w:r>
              <w:rPr>
                <w:rFonts w:ascii="Arial" w:cs="Arial" w:eastAsia="Arial" w:hAnsi="Arial"/>
                <w:sz w:val="14"/>
                <w:szCs w:val="14"/>
                <w:b w:val="1"/>
                <w:bCs w:val="1"/>
                <w:color w:val="auto"/>
                <w:w w:val="96"/>
              </w:rPr>
              <w:t>Three months ended June 30,</w:t>
            </w:r>
          </w:p>
        </w:tc>
        <w:tc>
          <w:tcPr>
            <w:tcW w:w="1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6"/>
                <w:szCs w:val="16"/>
                <w:color w:val="auto"/>
              </w:rPr>
            </w:pPr>
          </w:p>
        </w:tc>
        <w:tc>
          <w:tcPr>
            <w:tcW w:w="1020" w:type="dxa"/>
            <w:vAlign w:val="bottom"/>
          </w:tcPr>
          <w:p>
            <w:pPr>
              <w:jc w:val="right"/>
              <w:ind w:right="478"/>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6"/>
                <w:szCs w:val="16"/>
                <w:color w:val="auto"/>
              </w:rPr>
            </w:pPr>
          </w:p>
        </w:tc>
        <w:tc>
          <w:tcPr>
            <w:tcW w:w="1060" w:type="dxa"/>
            <w:vAlign w:val="bottom"/>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Arial" w:cs="Arial" w:eastAsia="Arial" w:hAnsi="Arial"/>
                <w:sz w:val="14"/>
                <w:szCs w:val="14"/>
                <w:b w:val="1"/>
                <w:bCs w:val="1"/>
                <w:color w:val="auto"/>
              </w:rPr>
              <w:t>Change</w:t>
            </w: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Provisional ceding commissions earned</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3,425</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7"/>
                <w:szCs w:val="17"/>
                <w:color w:val="auto"/>
              </w:rPr>
              <w:t>3,223</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202</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Contingent ceding commissions earned</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(119)</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(654)</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535</w:t>
            </w:r>
          </w:p>
        </w:tc>
        <w:tc>
          <w:tcPr>
            <w:tcW w:w="1360" w:type="dxa"/>
            <w:vAlign w:val="bottom"/>
          </w:tcPr>
          <w:p>
            <w:pPr>
              <w:jc w:val="right"/>
              <w:spacing w:after="0"/>
              <w:rPr>
                <w:sz w:val="20"/>
                <w:szCs w:val="20"/>
                <w:color w:val="auto"/>
              </w:rPr>
            </w:pPr>
            <w:r>
              <w:rPr>
                <w:rFonts w:ascii="Arial" w:cs="Arial" w:eastAsia="Arial" w:hAnsi="Arial"/>
                <w:sz w:val="17"/>
                <w:szCs w:val="17"/>
                <w:color w:val="auto"/>
              </w:rPr>
              <w:t>(81.8)%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ceding commission revenue</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3,306</w:t>
            </w: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7"/>
                <w:szCs w:val="17"/>
                <w:color w:val="auto"/>
              </w:rPr>
              <w:t>2,569</w:t>
            </w: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737</w:t>
            </w:r>
          </w:p>
        </w:tc>
        <w:tc>
          <w:tcPr>
            <w:tcW w:w="1360" w:type="dxa"/>
            <w:vAlign w:val="bottom"/>
          </w:tcPr>
          <w:p>
            <w:pPr>
              <w:jc w:val="right"/>
              <w:spacing w:after="0"/>
              <w:rPr>
                <w:sz w:val="20"/>
                <w:szCs w:val="20"/>
                <w:color w:val="auto"/>
              </w:rPr>
            </w:pPr>
            <w:r>
              <w:rPr>
                <w:rFonts w:ascii="Arial" w:cs="Arial" w:eastAsia="Arial" w:hAnsi="Arial"/>
                <w:sz w:val="17"/>
                <w:szCs w:val="17"/>
                <w:color w:val="auto"/>
              </w:rPr>
              <w:t>28.7%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40" w:firstLine="628"/>
        <w:spacing w:after="0" w:line="260" w:lineRule="auto"/>
        <w:rPr>
          <w:sz w:val="20"/>
          <w:szCs w:val="20"/>
          <w:color w:val="auto"/>
        </w:rPr>
      </w:pPr>
      <w:r>
        <w:rPr>
          <w:rFonts w:ascii="Arial" w:cs="Arial" w:eastAsia="Arial" w:hAnsi="Arial"/>
          <w:sz w:val="17"/>
          <w:szCs w:val="17"/>
          <w:color w:val="auto"/>
        </w:rPr>
        <w:t>Ceding commission revenue was $3,306,000 in Q2-2017 compared to $2,569,000 in Q2-2016. The increase of $737,000, or 28.7%, was due to an increase in provisional ceding commissions earned and a reduction in negative contingent ceding commissions earned.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151" w:lineRule="exact"/>
        <w:rPr>
          <w:sz w:val="20"/>
          <w:szCs w:val="20"/>
          <w:color w:val="auto"/>
        </w:rPr>
      </w:pPr>
    </w:p>
    <w:p>
      <w:pPr>
        <w:jc w:val="both"/>
        <w:ind w:right="60" w:firstLine="628"/>
        <w:spacing w:after="0" w:line="265" w:lineRule="auto"/>
        <w:rPr>
          <w:sz w:val="20"/>
          <w:szCs w:val="20"/>
          <w:color w:val="auto"/>
        </w:rPr>
      </w:pPr>
      <w:r>
        <w:rPr>
          <w:rFonts w:ascii="Arial" w:cs="Arial" w:eastAsia="Arial" w:hAnsi="Arial"/>
          <w:sz w:val="17"/>
          <w:szCs w:val="17"/>
          <w:color w:val="auto"/>
        </w:rPr>
        <w:t>We receive a provisional ceding commission based on ceded written premiums. In Q2-2017 our provisional ceding rate was 52% effective July 1, 2016 under the 2016/2017 Treaty. In Q2-2016 our provisional ceding rate was 55% effective July 1, 2015 under the 2015/2016 Treaty. The $202,000 increase in provisional ceding commissions earned is due to an increase in personal lines direct written premiums subject to the quota share, partially offset by the decrease in our provisional ceding commission rate as discussed above.</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158" w:lineRule="exact"/>
        <w:rPr>
          <w:sz w:val="20"/>
          <w:szCs w:val="20"/>
          <w:color w:val="auto"/>
        </w:rPr>
      </w:pPr>
    </w:p>
    <w:p>
      <w:pPr>
        <w:jc w:val="both"/>
        <w:ind w:right="60" w:firstLine="628"/>
        <w:spacing w:after="0" w:line="263" w:lineRule="auto"/>
        <w:rPr>
          <w:sz w:val="20"/>
          <w:szCs w:val="20"/>
          <w:color w:val="auto"/>
        </w:rPr>
      </w:pPr>
      <w:r>
        <w:rPr>
          <w:rFonts w:ascii="Arial" w:cs="Arial" w:eastAsia="Arial" w:hAnsi="Arial"/>
          <w:sz w:val="17"/>
          <w:szCs w:val="17"/>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personal lines quota share treaties detailed in the table above that were in effect during Q2-2017 are subject to change based on losses incurred from claims with accident dates beginning July 1, 2016. The amount of contingent ceding commissions we are eligible to receive under our prior years’ quota share treaties is subject to change based on losses incurred related to claims with accident dates before July 1, 2016 under those treaties.</w:t>
      </w:r>
    </w:p>
    <w:p>
      <w:pPr>
        <w:spacing w:after="0" w:line="119" w:lineRule="exact"/>
        <w:rPr>
          <w:sz w:val="20"/>
          <w:szCs w:val="20"/>
          <w:color w:val="auto"/>
        </w:rPr>
      </w:pPr>
    </w:p>
    <w:p>
      <w:pPr>
        <w:jc w:val="both"/>
        <w:ind w:right="60" w:firstLine="628"/>
        <w:spacing w:after="0" w:line="261" w:lineRule="auto"/>
        <w:rPr>
          <w:sz w:val="20"/>
          <w:szCs w:val="20"/>
          <w:color w:val="auto"/>
        </w:rPr>
      </w:pPr>
      <w:r>
        <w:rPr>
          <w:rFonts w:ascii="Arial" w:cs="Arial" w:eastAsia="Arial" w:hAnsi="Arial"/>
          <w:sz w:val="17"/>
          <w:szCs w:val="17"/>
          <w:color w:val="auto"/>
        </w:rPr>
        <w:t>The 2016/2017 Treaty and 2015/2016 Treaty structure limits the amount of contingent ceding commissions that we can receive by setting the provisional commission rate higher than the rates we received in prior years. As a result of the higher upfront provisional ceding commissions that we receive, there is only a limited opportunity to earn contingent ceding commissions under these treaties. Under our “net” treaty structure, catastrophe losses in excess of the $5,000,000 retention will fall outside of the quota share treaty and such losses will not have an impact on contingent ceding commissions, as was the case under previous “gross” treaties. The “net” structure eliminates the adverse impact that catastrophe losses can have on contingent ceding commissions. See “Reinsurance” below for changes to our personal lines quota share treaty to take effect on July 1, 2017.</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Investment Income</w:t>
      </w:r>
    </w:p>
    <w:p>
      <w:pPr>
        <w:spacing w:after="0" w:line="158" w:lineRule="exact"/>
        <w:rPr>
          <w:sz w:val="20"/>
          <w:szCs w:val="20"/>
          <w:color w:val="auto"/>
        </w:rPr>
      </w:pPr>
    </w:p>
    <w:p>
      <w:pPr>
        <w:jc w:val="both"/>
        <w:ind w:right="60" w:firstLine="628"/>
        <w:spacing w:after="0" w:line="269" w:lineRule="auto"/>
        <w:rPr>
          <w:sz w:val="20"/>
          <w:szCs w:val="20"/>
          <w:color w:val="auto"/>
        </w:rPr>
      </w:pPr>
      <w:r>
        <w:rPr>
          <w:rFonts w:ascii="Arial" w:cs="Arial" w:eastAsia="Arial" w:hAnsi="Arial"/>
          <w:sz w:val="17"/>
          <w:szCs w:val="17"/>
          <w:color w:val="auto"/>
        </w:rPr>
        <w:t>Net investment income was $1,026,000 in Q2-2017 compared to $764,000 in Q2-2016. The increase of $262,000, or 34.3%, was due to an increase in average invested assets in Q2-2017. The average investment yield on invested assets was 3.80% as of June 30, 2017 compared to 3.74% as of June 30, 2016. The pre-tax equivalent investment yield on invested assets was 4.00% and 4.04% as of June 30, 2017 and 2016, respectively.</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80"/>
          </w:cols>
          <w:pgMar w:left="240" w:top="550" w:right="179" w:bottom="1440" w:gutter="0" w:footer="0" w:header="0"/>
        </w:sectPr>
      </w:pPr>
    </w:p>
    <w:bookmarkStart w:id="49" w:name="page50"/>
    <w:bookmarkEnd w:id="49"/>
    <w:p>
      <w:pPr>
        <w:jc w:val="both"/>
        <w:ind w:firstLine="628"/>
        <w:spacing w:after="0" w:line="269" w:lineRule="auto"/>
        <w:rPr>
          <w:sz w:val="20"/>
          <w:szCs w:val="20"/>
          <w:color w:val="auto"/>
        </w:rPr>
      </w:pPr>
      <w:r>
        <w:rPr>
          <w:rFonts w:ascii="Arial" w:cs="Arial" w:eastAsia="Arial" w:hAnsi="Arial"/>
          <w:sz w:val="17"/>
          <w:szCs w:val="17"/>
          <w:color w:val="auto"/>
        </w:rPr>
        <w:t>Cash and invested assets were $143,450,000 as of June 30, 2017, compared to $104,072,000 as of June 30, 2016. The $39,378,000 increase in cash and invested assets resulted primarily from the net proceeds of $30,137,000 that we received in January and February of 2017 from our public offering and increased operating cash flows for the period after June 30, 2016.</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Other income was $308,000 in Q2-2017 compared to $285,000 in Q2-2016. The increase of $23,000, or 8.1%, was primarily due to an increase in installment and finance fees earned in our insurance underwriting business.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and LAE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Net loss and LAE was $7,455,000 in Q2-2017 compared to $5,787,000 in Q2-2016. The net loss ratio was 44.0% in Q2-2017 compared to 38.6% in Q2-2016, an increase of 5.4 percentage points.</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1041400</wp:posOffset>
            </wp:positionH>
            <wp:positionV relativeFrom="paragraph">
              <wp:posOffset>105410</wp:posOffset>
            </wp:positionV>
            <wp:extent cx="5182870" cy="4867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82870" cy="4867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During Q2-2017, the net loss ratio increased to 44.0% compared to 38.6% for Q2-2016, due primarily to a higher core loss ratio excluding the impact of prior year loss development and severe winter weather. The core loss ratio increased to 45.2% in Q2-2017 from 36.5% in Q2-2016, or an increase of 8.7 points. The increase in Q2-2017 was primarily driven by an increase in fire claims in our personal lines business, compared to Q2-2016 which had an abnormally low number of such claims. Offsetting some of the increase in the core loss ratio was a favorable impact from prior year loss development. In Q2-2017, we recorded 1.2 points of favorable prior year loss development compared to 2.1 points of unfavorable development in Q2-2016, or an improvement of 3.3 points quarter over quarter. There was no impact from severe winter weather recorded in either Q2-2017 or Q2-2016.</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0" w:name="page51"/>
    <w:bookmarkEnd w:id="50"/>
    <w:p>
      <w:pPr>
        <w:ind w:left="640"/>
        <w:spacing w:after="0"/>
        <w:rPr>
          <w:sz w:val="20"/>
          <w:szCs w:val="20"/>
          <w:color w:val="auto"/>
        </w:rPr>
      </w:pPr>
      <w:r>
        <w:rPr>
          <w:rFonts w:ascii="Arial" w:cs="Arial" w:eastAsia="Arial" w:hAnsi="Arial"/>
          <w:sz w:val="17"/>
          <w:szCs w:val="17"/>
          <w:i w:val="1"/>
          <w:iCs w:val="1"/>
          <w:color w:val="auto"/>
        </w:rPr>
        <w:t>Commercial Auto Line of Business</w:t>
      </w:r>
    </w:p>
    <w:p>
      <w:pPr>
        <w:spacing w:after="0" w:line="158"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w:t>
      </w:r>
    </w:p>
    <w:p>
      <w:pPr>
        <w:spacing w:after="0" w:line="9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 decision to exit this line of business has significantly reduced the adverse impact that associated commercial auto liability claims will have on our overall results. The following table displays the impact that this decision has had on our loss and LAE reserves over time: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Commercial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74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Commercial Auto</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Auto as 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jc w:val="center"/>
              <w:ind w:right="60"/>
              <w:spacing w:after="0" w:line="144"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380" w:type="dxa"/>
            <w:vAlign w:val="bottom"/>
          </w:tcPr>
          <w:p>
            <w:pPr>
              <w:jc w:val="right"/>
              <w:ind w:right="100"/>
              <w:spacing w:after="0" w:line="157" w:lineRule="exact"/>
              <w:rPr>
                <w:sz w:val="20"/>
                <w:szCs w:val="20"/>
                <w:color w:val="auto"/>
              </w:rPr>
            </w:pPr>
            <w:r>
              <w:rPr>
                <w:rFonts w:ascii="Arial" w:cs="Arial" w:eastAsia="Arial" w:hAnsi="Arial"/>
                <w:sz w:val="14"/>
                <w:szCs w:val="14"/>
                <w:b w:val="1"/>
                <w:bCs w:val="1"/>
                <w:color w:val="auto"/>
              </w:rPr>
              <w:t>Number of Open</w:t>
            </w:r>
          </w:p>
        </w:tc>
        <w:tc>
          <w:tcPr>
            <w:tcW w:w="240" w:type="dxa"/>
            <w:vAlign w:val="bottom"/>
          </w:tcPr>
          <w:p>
            <w:pPr>
              <w:spacing w:after="0"/>
              <w:rPr>
                <w:sz w:val="13"/>
                <w:szCs w:val="13"/>
                <w:color w:val="auto"/>
              </w:rPr>
            </w:pPr>
          </w:p>
        </w:tc>
        <w:tc>
          <w:tcPr>
            <w:tcW w:w="1120" w:type="dxa"/>
            <w:vAlign w:val="bottom"/>
          </w:tcPr>
          <w:p>
            <w:pPr>
              <w:jc w:val="right"/>
              <w:ind w:right="159"/>
              <w:spacing w:after="0" w:line="157" w:lineRule="exact"/>
              <w:rPr>
                <w:sz w:val="20"/>
                <w:szCs w:val="20"/>
                <w:color w:val="auto"/>
              </w:rPr>
            </w:pPr>
            <w:r>
              <w:rPr>
                <w:rFonts w:ascii="Arial" w:cs="Arial" w:eastAsia="Arial" w:hAnsi="Arial"/>
                <w:sz w:val="14"/>
                <w:szCs w:val="14"/>
                <w:b w:val="1"/>
                <w:bCs w:val="1"/>
                <w:color w:val="auto"/>
                <w:w w:val="92"/>
              </w:rPr>
              <w:t>Loss and LAE</w:t>
            </w:r>
          </w:p>
        </w:tc>
        <w:tc>
          <w:tcPr>
            <w:tcW w:w="240" w:type="dxa"/>
            <w:vAlign w:val="bottom"/>
          </w:tcPr>
          <w:p>
            <w:pPr>
              <w:spacing w:after="0"/>
              <w:rPr>
                <w:sz w:val="13"/>
                <w:szCs w:val="13"/>
                <w:color w:val="auto"/>
              </w:rPr>
            </w:pPr>
          </w:p>
        </w:tc>
        <w:tc>
          <w:tcPr>
            <w:tcW w:w="1180" w:type="dxa"/>
            <w:vAlign w:val="bottom"/>
          </w:tcPr>
          <w:p>
            <w:pPr>
              <w:jc w:val="right"/>
              <w:ind w:right="199"/>
              <w:spacing w:after="0" w:line="157" w:lineRule="exact"/>
              <w:rPr>
                <w:sz w:val="20"/>
                <w:szCs w:val="20"/>
                <w:color w:val="auto"/>
              </w:rPr>
            </w:pPr>
            <w:r>
              <w:rPr>
                <w:rFonts w:ascii="Arial" w:cs="Arial" w:eastAsia="Arial" w:hAnsi="Arial"/>
                <w:sz w:val="14"/>
                <w:szCs w:val="14"/>
                <w:b w:val="1"/>
                <w:bCs w:val="1"/>
                <w:color w:val="auto"/>
                <w:w w:val="89"/>
              </w:rPr>
              <w:t>Total Loss and</w:t>
            </w:r>
          </w:p>
        </w:tc>
        <w:tc>
          <w:tcPr>
            <w:tcW w:w="134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1"/>
              </w:rPr>
              <w:t>Total Loss and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Pr>
          <w:p>
            <w:pPr>
              <w:ind w:left="2800"/>
              <w:spacing w:after="0"/>
              <w:rPr>
                <w:sz w:val="20"/>
                <w:szCs w:val="20"/>
                <w:color w:val="auto"/>
              </w:rPr>
            </w:pPr>
            <w:r>
              <w:rPr>
                <w:rFonts w:ascii="Arial" w:cs="Arial" w:eastAsia="Arial" w:hAnsi="Arial"/>
                <w:sz w:val="14"/>
                <w:szCs w:val="14"/>
                <w:b w:val="1"/>
                <w:bCs w:val="1"/>
                <w:color w:val="auto"/>
              </w:rPr>
              <w:t>As of</w:t>
            </w:r>
          </w:p>
        </w:tc>
        <w:tc>
          <w:tcPr>
            <w:tcW w:w="1380" w:type="dxa"/>
            <w:vAlign w:val="bottom"/>
          </w:tcPr>
          <w:p>
            <w:pPr>
              <w:jc w:val="right"/>
              <w:ind w:right="400"/>
              <w:spacing w:after="0"/>
              <w:rPr>
                <w:sz w:val="20"/>
                <w:szCs w:val="20"/>
                <w:color w:val="auto"/>
              </w:rPr>
            </w:pPr>
            <w:r>
              <w:rPr>
                <w:rFonts w:ascii="Arial" w:cs="Arial" w:eastAsia="Arial" w:hAnsi="Arial"/>
                <w:sz w:val="14"/>
                <w:szCs w:val="14"/>
                <w:b w:val="1"/>
                <w:bCs w:val="1"/>
                <w:color w:val="auto"/>
              </w:rPr>
              <w:t>Claims</w:t>
            </w:r>
          </w:p>
        </w:tc>
        <w:tc>
          <w:tcPr>
            <w:tcW w:w="240" w:type="dxa"/>
            <w:vAlign w:val="bottom"/>
          </w:tcPr>
          <w:p>
            <w:pPr>
              <w:spacing w:after="0"/>
              <w:rPr>
                <w:sz w:val="15"/>
                <w:szCs w:val="15"/>
                <w:color w:val="auto"/>
              </w:rPr>
            </w:pPr>
          </w:p>
        </w:tc>
        <w:tc>
          <w:tcPr>
            <w:tcW w:w="1120" w:type="dxa"/>
            <w:vAlign w:val="bottom"/>
          </w:tcPr>
          <w:p>
            <w:pPr>
              <w:jc w:val="right"/>
              <w:ind w:right="319"/>
              <w:spacing w:after="0"/>
              <w:rPr>
                <w:sz w:val="20"/>
                <w:szCs w:val="20"/>
                <w:color w:val="auto"/>
              </w:rPr>
            </w:pPr>
            <w:r>
              <w:rPr>
                <w:rFonts w:ascii="Arial" w:cs="Arial" w:eastAsia="Arial" w:hAnsi="Arial"/>
                <w:sz w:val="14"/>
                <w:szCs w:val="14"/>
                <w:b w:val="1"/>
                <w:bCs w:val="1"/>
                <w:color w:val="auto"/>
              </w:rPr>
              <w:t>Reserves</w:t>
            </w:r>
          </w:p>
        </w:tc>
        <w:tc>
          <w:tcPr>
            <w:tcW w:w="240" w:type="dxa"/>
            <w:vAlign w:val="bottom"/>
          </w:tcPr>
          <w:p>
            <w:pPr>
              <w:spacing w:after="0"/>
              <w:rPr>
                <w:sz w:val="15"/>
                <w:szCs w:val="15"/>
                <w:color w:val="auto"/>
              </w:rPr>
            </w:pPr>
          </w:p>
        </w:tc>
        <w:tc>
          <w:tcPr>
            <w:tcW w:w="1180" w:type="dxa"/>
            <w:vAlign w:val="bottom"/>
          </w:tcPr>
          <w:p>
            <w:pPr>
              <w:jc w:val="right"/>
              <w:ind w:right="199"/>
              <w:spacing w:after="0"/>
              <w:rPr>
                <w:sz w:val="20"/>
                <w:szCs w:val="20"/>
                <w:color w:val="auto"/>
              </w:rPr>
            </w:pPr>
            <w:r>
              <w:rPr>
                <w:rFonts w:ascii="Arial" w:cs="Arial" w:eastAsia="Arial" w:hAnsi="Arial"/>
                <w:sz w:val="14"/>
                <w:szCs w:val="14"/>
                <w:b w:val="1"/>
                <w:bCs w:val="1"/>
                <w:color w:val="auto"/>
                <w:w w:val="93"/>
              </w:rPr>
              <w:t>LAE Reserves</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LAE Reserves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(in thousands except number of open claims and percentages)</w:t>
            </w: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2013</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170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9,185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34,503</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December 31, 2014</w:t>
            </w:r>
          </w:p>
        </w:tc>
        <w:tc>
          <w:tcPr>
            <w:tcW w:w="1380" w:type="dxa"/>
            <w:vAlign w:val="bottom"/>
          </w:tcPr>
          <w:p>
            <w:pPr>
              <w:jc w:val="right"/>
              <w:ind w:right="60"/>
              <w:spacing w:after="0"/>
              <w:rPr>
                <w:sz w:val="20"/>
                <w:szCs w:val="20"/>
                <w:color w:val="auto"/>
              </w:rPr>
            </w:pPr>
            <w:r>
              <w:rPr>
                <w:rFonts w:ascii="Arial" w:cs="Arial" w:eastAsia="Arial" w:hAnsi="Arial"/>
                <w:sz w:val="17"/>
                <w:szCs w:val="17"/>
                <w:color w:val="auto"/>
              </w:rPr>
              <w:t>114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8,126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99"/>
              <w:spacing w:after="0"/>
              <w:rPr>
                <w:sz w:val="20"/>
                <w:szCs w:val="20"/>
                <w:color w:val="auto"/>
              </w:rPr>
            </w:pPr>
            <w:r>
              <w:rPr>
                <w:rFonts w:ascii="Arial" w:cs="Arial" w:eastAsia="Arial" w:hAnsi="Arial"/>
                <w:sz w:val="17"/>
                <w:szCs w:val="17"/>
                <w:color w:val="auto"/>
              </w:rPr>
              <w:t>39,613</w:t>
            </w:r>
          </w:p>
        </w:tc>
        <w:tc>
          <w:tcPr>
            <w:tcW w:w="1320" w:type="dxa"/>
            <w:vAlign w:val="bottom"/>
          </w:tcPr>
          <w:p>
            <w:pPr>
              <w:jc w:val="right"/>
              <w:spacing w:after="0"/>
              <w:rPr>
                <w:sz w:val="20"/>
                <w:szCs w:val="20"/>
                <w:color w:val="auto"/>
              </w:rPr>
            </w:pPr>
            <w:r>
              <w:rPr>
                <w:rFonts w:ascii="Arial" w:cs="Arial" w:eastAsia="Arial" w:hAnsi="Arial"/>
                <w:sz w:val="17"/>
                <w:szCs w:val="17"/>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2015</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68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4,971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39,877</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December 31, 2016</w:t>
            </w:r>
          </w:p>
        </w:tc>
        <w:tc>
          <w:tcPr>
            <w:tcW w:w="1380" w:type="dxa"/>
            <w:vAlign w:val="bottom"/>
          </w:tcPr>
          <w:p>
            <w:pPr>
              <w:jc w:val="right"/>
              <w:ind w:right="60"/>
              <w:spacing w:after="0"/>
              <w:rPr>
                <w:sz w:val="20"/>
                <w:szCs w:val="20"/>
                <w:color w:val="auto"/>
              </w:rPr>
            </w:pPr>
            <w:r>
              <w:rPr>
                <w:rFonts w:ascii="Arial" w:cs="Arial" w:eastAsia="Arial" w:hAnsi="Arial"/>
                <w:sz w:val="17"/>
                <w:szCs w:val="17"/>
                <w:color w:val="auto"/>
              </w:rPr>
              <w:t>34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2,434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99"/>
              <w:spacing w:after="0"/>
              <w:rPr>
                <w:sz w:val="20"/>
                <w:szCs w:val="20"/>
                <w:color w:val="auto"/>
              </w:rPr>
            </w:pPr>
            <w:r>
              <w:rPr>
                <w:rFonts w:ascii="Arial" w:cs="Arial" w:eastAsia="Arial" w:hAnsi="Arial"/>
                <w:sz w:val="17"/>
                <w:szCs w:val="17"/>
                <w:color w:val="auto"/>
              </w:rPr>
              <w:t>41,737</w:t>
            </w:r>
          </w:p>
        </w:tc>
        <w:tc>
          <w:tcPr>
            <w:tcW w:w="1320" w:type="dxa"/>
            <w:vAlign w:val="bottom"/>
          </w:tcPr>
          <w:p>
            <w:pPr>
              <w:jc w:val="right"/>
              <w:spacing w:after="0"/>
              <w:rPr>
                <w:sz w:val="20"/>
                <w:szCs w:val="20"/>
                <w:color w:val="auto"/>
              </w:rPr>
            </w:pPr>
            <w:r>
              <w:rPr>
                <w:rFonts w:ascii="Arial" w:cs="Arial" w:eastAsia="Arial" w:hAnsi="Arial"/>
                <w:sz w:val="17"/>
                <w:szCs w:val="17"/>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June 30, 2017</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23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2,289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44,197</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Commercial auto liability loss and LAE reserves account for a rapidly decreasing percentage of our total loss and LAE reserves, and as of June 30, 2017 comprise 5.2% of our total loss and LAE reserves. This line of business was historically subject to a high level of uncertainty and volatility in claim emergence and loss development. The exit from this line therefore significantly decreases the uncertainty surrounding our overall reserve levels and reduces the associated volatility in financial results.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158" w:lineRule="exact"/>
        <w:rPr>
          <w:sz w:val="20"/>
          <w:szCs w:val="20"/>
          <w:color w:val="auto"/>
        </w:rPr>
      </w:pPr>
    </w:p>
    <w:p>
      <w:pPr>
        <w:jc w:val="both"/>
        <w:ind w:firstLine="628"/>
        <w:spacing w:after="0" w:line="314" w:lineRule="auto"/>
        <w:rPr>
          <w:sz w:val="20"/>
          <w:szCs w:val="20"/>
          <w:color w:val="auto"/>
        </w:rPr>
      </w:pPr>
      <w:r>
        <w:rPr>
          <w:rFonts w:ascii="Arial" w:cs="Arial" w:eastAsia="Arial" w:hAnsi="Arial"/>
          <w:sz w:val="16"/>
          <w:szCs w:val="16"/>
          <w:color w:val="auto"/>
        </w:rPr>
        <w:t>Commission expense was $5,101,000 in Q2-2017, compared to $4,526,000 in Q2-2016. Commission expense was 19.1% of direct earned premiums in both periods. The increase of $575,000, or 12.7%, is due to the 12.7% increase in direct earned premiums in Q2-2017 as compared to Q2-2016.</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Other underwriting expenses were $4,200,000 in Q2-2017 compared to $3,596,000 in Q2-2016. The increase of $604,000, or 16.8%, was primarily due to expenses directly and indirectly related to growth in direct written premiums. We are also incurring expenses related to our efforts to expand into the other states in which we recently obtained licensing (“Expansion Expenses”).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Expansion Expenses were $228,000 in 2017 compared to $25,000 in 2016. The increase of $203,000 includes the costs of salaries and employment costs, professional fees, IT and data services specifically attributable to the expansion into new states.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1" w:name="page52"/>
    <w:bookmarkEnd w:id="51"/>
    <w:p>
      <w:pPr>
        <w:jc w:val="both"/>
        <w:ind w:firstLine="628"/>
        <w:spacing w:after="0" w:line="261" w:lineRule="auto"/>
        <w:rPr>
          <w:sz w:val="20"/>
          <w:szCs w:val="20"/>
          <w:color w:val="auto"/>
        </w:rPr>
      </w:pPr>
      <w:r>
        <w:rPr>
          <w:rFonts w:ascii="Arial" w:cs="Arial" w:eastAsia="Arial" w:hAnsi="Arial"/>
          <w:sz w:val="17"/>
          <w:szCs w:val="17"/>
          <w:color w:val="auto"/>
        </w:rPr>
        <w:t>Salaries and employment costs, excluding Expansion Expenses costs discussed above, were $1,778,000 in Q2-2017 compared to $1,674,000 in Q2-2016. The increase of $104,000, or 6.2%, was less than the 12.9% increase in overall net premiums earned, which is not yet materially affected by our expansion business. Our employee bonus plan is aligned with our year to date combined ratio. The lower the year to date combined ratio, the greater the bonus percentage that our employees receive on their annual salaries. The year to date combined ratio has decreased by 3.7 percentage points through Q2-2017, resulting in a $65,000 increase in the Q2-2017 accrued bonus. The remaining increase in employment costs was due to hiring of additional staff to service our current level of business and anticipated growth in volume as well as annual rate increases in salaries.</w:t>
      </w:r>
    </w:p>
    <w:p>
      <w:pPr>
        <w:spacing w:after="0" w:line="124"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Other underwriting expenses as a percentage of net premiums earned was 24.8% in Q2-2017 compared to 24.0% in Q2-2016. The table below provides an analysis of the significant components of the 0.8 percentage point increase. Our net underwriting expense ratio in Q2-2017 was 33.6% compared with 35.1% in Q2-2016. The following table shows the individual components of our net underwriting expense ratio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20" w:type="dxa"/>
            <w:vAlign w:val="bottom"/>
          </w:tcPr>
          <w:p>
            <w:pPr>
              <w:spacing w:after="0"/>
              <w:rPr>
                <w:sz w:val="15"/>
                <w:szCs w:val="15"/>
                <w:color w:val="auto"/>
              </w:rPr>
            </w:pPr>
          </w:p>
        </w:tc>
        <w:tc>
          <w:tcPr>
            <w:tcW w:w="292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5"/>
                <w:szCs w:val="15"/>
                <w:color w:val="auto"/>
              </w:rPr>
            </w:pPr>
          </w:p>
        </w:tc>
      </w:tr>
      <w:tr>
        <w:trPr>
          <w:trHeight w:val="177"/>
        </w:trPr>
        <w:tc>
          <w:tcPr>
            <w:tcW w:w="7320" w:type="dxa"/>
            <w:vAlign w:val="bottom"/>
          </w:tcPr>
          <w:p>
            <w:pPr>
              <w:spacing w:after="0"/>
              <w:rPr>
                <w:sz w:val="15"/>
                <w:szCs w:val="15"/>
                <w:color w:val="auto"/>
              </w:rPr>
            </w:pPr>
          </w:p>
        </w:tc>
        <w:tc>
          <w:tcPr>
            <w:tcW w:w="17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57"/>
              <w:spacing w:after="0"/>
              <w:rPr>
                <w:sz w:val="20"/>
                <w:szCs w:val="20"/>
                <w:color w:val="auto"/>
              </w:rPr>
            </w:pPr>
            <w:r>
              <w:rPr>
                <w:rFonts w:ascii="Arial" w:cs="Arial" w:eastAsia="Arial" w:hAnsi="Arial"/>
                <w:sz w:val="14"/>
                <w:szCs w:val="14"/>
                <w:b w:val="1"/>
                <w:bCs w:val="1"/>
                <w:color w:val="auto"/>
              </w:rPr>
              <w:t>Percentage</w:t>
            </w:r>
          </w:p>
        </w:tc>
      </w:tr>
      <w:tr>
        <w:trPr>
          <w:trHeight w:val="189"/>
        </w:trPr>
        <w:tc>
          <w:tcPr>
            <w:tcW w:w="7320" w:type="dxa"/>
            <w:vAlign w:val="bottom"/>
          </w:tcPr>
          <w:p>
            <w:pPr>
              <w:spacing w:after="0"/>
              <w:rPr>
                <w:sz w:val="16"/>
                <w:szCs w:val="16"/>
                <w:color w:val="auto"/>
              </w:rPr>
            </w:pPr>
          </w:p>
        </w:tc>
        <w:tc>
          <w:tcPr>
            <w:tcW w:w="178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Point Change</w:t>
            </w:r>
          </w:p>
        </w:tc>
      </w:tr>
      <w:tr>
        <w:trPr>
          <w:trHeight w:val="209"/>
        </w:trPr>
        <w:tc>
          <w:tcPr>
            <w:tcW w:w="7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Ceding commission revenue - provisional</w:t>
            </w:r>
          </w:p>
        </w:tc>
        <w:tc>
          <w:tcPr>
            <w:tcW w:w="178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(20.3)%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(21.7)%</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1.4</w:t>
            </w:r>
          </w:p>
        </w:tc>
      </w:tr>
      <w:tr>
        <w:trPr>
          <w:trHeight w:val="209"/>
        </w:trPr>
        <w:tc>
          <w:tcPr>
            <w:tcW w:w="7320" w:type="dxa"/>
            <w:vAlign w:val="bottom"/>
          </w:tcPr>
          <w:p>
            <w:pPr>
              <w:ind w:left="40"/>
              <w:spacing w:after="0"/>
              <w:rPr>
                <w:sz w:val="20"/>
                <w:szCs w:val="20"/>
                <w:color w:val="auto"/>
              </w:rPr>
            </w:pPr>
            <w:r>
              <w:rPr>
                <w:rFonts w:ascii="Arial" w:cs="Arial" w:eastAsia="Arial" w:hAnsi="Arial"/>
                <w:sz w:val="17"/>
                <w:szCs w:val="17"/>
                <w:color w:val="auto"/>
              </w:rPr>
              <w:t>Ceding commission revenue - contingent</w:t>
            </w:r>
          </w:p>
        </w:tc>
        <w:tc>
          <w:tcPr>
            <w:tcW w:w="1780" w:type="dxa"/>
            <w:vAlign w:val="bottom"/>
          </w:tcPr>
          <w:p>
            <w:pPr>
              <w:jc w:val="right"/>
              <w:ind w:right="458"/>
              <w:spacing w:after="0"/>
              <w:rPr>
                <w:sz w:val="20"/>
                <w:szCs w:val="20"/>
                <w:color w:val="auto"/>
              </w:rPr>
            </w:pPr>
            <w:r>
              <w:rPr>
                <w:rFonts w:ascii="Arial" w:cs="Arial" w:eastAsia="Arial" w:hAnsi="Arial"/>
                <w:sz w:val="17"/>
                <w:szCs w:val="17"/>
                <w:color w:val="auto"/>
              </w:rPr>
              <w:t>0.7</w:t>
            </w:r>
          </w:p>
        </w:tc>
        <w:tc>
          <w:tcPr>
            <w:tcW w:w="960" w:type="dxa"/>
            <w:vAlign w:val="bottom"/>
          </w:tcPr>
          <w:p>
            <w:pPr>
              <w:jc w:val="right"/>
              <w:ind w:right="56"/>
              <w:spacing w:after="0"/>
              <w:rPr>
                <w:sz w:val="20"/>
                <w:szCs w:val="20"/>
                <w:color w:val="auto"/>
              </w:rPr>
            </w:pPr>
            <w:r>
              <w:rPr>
                <w:rFonts w:ascii="Arial" w:cs="Arial" w:eastAsia="Arial" w:hAnsi="Arial"/>
                <w:sz w:val="17"/>
                <w:szCs w:val="17"/>
                <w:color w:val="auto"/>
              </w:rPr>
              <w:t>4.4</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9"/>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income</w:t>
            </w:r>
          </w:p>
        </w:tc>
        <w:tc>
          <w:tcPr>
            <w:tcW w:w="1780" w:type="dxa"/>
            <w:vAlign w:val="bottom"/>
            <w:shd w:val="clear" w:color="auto" w:fill="CCEEFF"/>
          </w:tcPr>
          <w:p>
            <w:pPr>
              <w:jc w:val="right"/>
              <w:ind w:right="418"/>
              <w:spacing w:after="0"/>
              <w:rPr>
                <w:sz w:val="20"/>
                <w:szCs w:val="20"/>
                <w:color w:val="auto"/>
              </w:rPr>
            </w:pPr>
            <w:r>
              <w:rPr>
                <w:rFonts w:ascii="Arial" w:cs="Arial" w:eastAsia="Arial" w:hAnsi="Arial"/>
                <w:sz w:val="17"/>
                <w:szCs w:val="17"/>
                <w:color w:val="auto"/>
              </w:rPr>
              <w:t>(1.7)</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0.1</w:t>
            </w:r>
          </w:p>
        </w:tc>
      </w:tr>
      <w:tr>
        <w:trPr>
          <w:trHeight w:val="209"/>
        </w:trPr>
        <w:tc>
          <w:tcPr>
            <w:tcW w:w="7320" w:type="dxa"/>
            <w:vAlign w:val="bottom"/>
          </w:tcPr>
          <w:p>
            <w:pPr>
              <w:ind w:left="80"/>
              <w:spacing w:after="0"/>
              <w:rPr>
                <w:sz w:val="20"/>
                <w:szCs w:val="20"/>
                <w:color w:val="auto"/>
              </w:rPr>
            </w:pPr>
            <w:r>
              <w:rPr>
                <w:rFonts w:ascii="Arial" w:cs="Arial" w:eastAsia="Arial" w:hAnsi="Arial"/>
                <w:sz w:val="17"/>
                <w:szCs w:val="17"/>
                <w:color w:val="auto"/>
              </w:rPr>
              <w:t>Acquistion costs and other underwriting expenses:</w:t>
            </w:r>
          </w:p>
        </w:tc>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Commission expense</w:t>
            </w:r>
          </w:p>
        </w:tc>
        <w:tc>
          <w:tcPr>
            <w:tcW w:w="1780" w:type="dxa"/>
            <w:vAlign w:val="bottom"/>
            <w:tcBorders>
              <w:bottom w:val="single" w:sz="8" w:color="auto"/>
            </w:tcBorders>
            <w:shd w:val="clear" w:color="auto" w:fill="CCEEFF"/>
          </w:tcPr>
          <w:p>
            <w:pPr>
              <w:jc w:val="right"/>
              <w:ind w:right="458"/>
              <w:spacing w:after="0"/>
              <w:rPr>
                <w:sz w:val="20"/>
                <w:szCs w:val="20"/>
                <w:color w:val="auto"/>
              </w:rPr>
            </w:pPr>
            <w:r>
              <w:rPr>
                <w:rFonts w:ascii="Arial" w:cs="Arial" w:eastAsia="Arial" w:hAnsi="Arial"/>
                <w:sz w:val="17"/>
                <w:szCs w:val="17"/>
                <w:color w:val="auto"/>
              </w:rPr>
              <w:t>30.1</w:t>
            </w: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30.2</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5"/>
        </w:trPr>
        <w:tc>
          <w:tcPr>
            <w:tcW w:w="7320" w:type="dxa"/>
            <w:vAlign w:val="bottom"/>
          </w:tcPr>
          <w:p>
            <w:pPr>
              <w:spacing w:after="0"/>
              <w:rPr>
                <w:sz w:val="18"/>
                <w:szCs w:val="18"/>
                <w:color w:val="auto"/>
              </w:rPr>
            </w:pPr>
          </w:p>
        </w:tc>
        <w:tc>
          <w:tcPr>
            <w:tcW w:w="1780" w:type="dxa"/>
            <w:vAlign w:val="bottom"/>
            <w:tcBorders>
              <w:bottom w:val="single" w:sz="8" w:color="auto"/>
            </w:tcBorders>
          </w:tcPr>
          <w:p>
            <w:pPr>
              <w:jc w:val="right"/>
              <w:ind w:right="458"/>
              <w:spacing w:after="0"/>
              <w:rPr>
                <w:sz w:val="20"/>
                <w:szCs w:val="20"/>
                <w:color w:val="auto"/>
              </w:rPr>
            </w:pPr>
            <w:r>
              <w:rPr>
                <w:rFonts w:ascii="Arial" w:cs="Arial" w:eastAsia="Arial" w:hAnsi="Arial"/>
                <w:sz w:val="17"/>
                <w:szCs w:val="17"/>
                <w:color w:val="auto"/>
              </w:rPr>
              <w:t>8.8</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11.1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9"/>
        </w:trPr>
        <w:tc>
          <w:tcPr>
            <w:tcW w:w="7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 underwriting expenses</w:t>
            </w:r>
          </w:p>
        </w:tc>
        <w:tc>
          <w:tcPr>
            <w:tcW w:w="1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9"/>
        </w:trPr>
        <w:tc>
          <w:tcPr>
            <w:tcW w:w="7320" w:type="dxa"/>
            <w:vAlign w:val="bottom"/>
          </w:tcPr>
          <w:p>
            <w:pPr>
              <w:ind w:left="40"/>
              <w:spacing w:after="0"/>
              <w:rPr>
                <w:sz w:val="20"/>
                <w:szCs w:val="20"/>
                <w:color w:val="auto"/>
              </w:rPr>
            </w:pPr>
            <w:r>
              <w:rPr>
                <w:rFonts w:ascii="Arial" w:cs="Arial" w:eastAsia="Arial" w:hAnsi="Arial"/>
                <w:sz w:val="17"/>
                <w:szCs w:val="17"/>
                <w:color w:val="auto"/>
              </w:rPr>
              <w:t>Employment costs attributable to core NY business</w:t>
            </w:r>
          </w:p>
        </w:tc>
        <w:tc>
          <w:tcPr>
            <w:tcW w:w="1780" w:type="dxa"/>
            <w:vAlign w:val="bottom"/>
          </w:tcPr>
          <w:p>
            <w:pPr>
              <w:jc w:val="right"/>
              <w:ind w:right="458"/>
              <w:spacing w:after="0"/>
              <w:rPr>
                <w:sz w:val="20"/>
                <w:szCs w:val="20"/>
                <w:color w:val="auto"/>
              </w:rPr>
            </w:pPr>
            <w:r>
              <w:rPr>
                <w:rFonts w:ascii="Arial" w:cs="Arial" w:eastAsia="Arial" w:hAnsi="Arial"/>
                <w:sz w:val="17"/>
                <w:szCs w:val="17"/>
                <w:color w:val="auto"/>
              </w:rPr>
              <w:t>10.5</w:t>
            </w:r>
          </w:p>
        </w:tc>
        <w:tc>
          <w:tcPr>
            <w:tcW w:w="960" w:type="dxa"/>
            <w:vAlign w:val="bottom"/>
          </w:tcPr>
          <w:p>
            <w:pPr>
              <w:jc w:val="right"/>
              <w:ind w:right="56"/>
              <w:spacing w:after="0"/>
              <w:rPr>
                <w:sz w:val="20"/>
                <w:szCs w:val="20"/>
                <w:color w:val="auto"/>
              </w:rPr>
            </w:pPr>
            <w:r>
              <w:rPr>
                <w:rFonts w:ascii="Arial" w:cs="Arial" w:eastAsia="Arial" w:hAnsi="Arial"/>
                <w:sz w:val="17"/>
                <w:szCs w:val="17"/>
                <w:color w:val="auto"/>
              </w:rPr>
              <w:t>11.2</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09"/>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Expansion Expenses</w:t>
            </w:r>
          </w:p>
        </w:tc>
        <w:tc>
          <w:tcPr>
            <w:tcW w:w="1780" w:type="dxa"/>
            <w:vAlign w:val="bottom"/>
            <w:shd w:val="clear" w:color="auto" w:fill="CCEEFF"/>
          </w:tcPr>
          <w:p>
            <w:pPr>
              <w:jc w:val="right"/>
              <w:ind w:right="458"/>
              <w:spacing w:after="0"/>
              <w:rPr>
                <w:sz w:val="20"/>
                <w:szCs w:val="20"/>
                <w:color w:val="auto"/>
              </w:rPr>
            </w:pPr>
            <w:r>
              <w:rPr>
                <w:rFonts w:ascii="Arial" w:cs="Arial" w:eastAsia="Arial" w:hAnsi="Arial"/>
                <w:sz w:val="17"/>
                <w:szCs w:val="17"/>
                <w:color w:val="auto"/>
              </w:rPr>
              <w:t>1.6</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0.6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1.0</w:t>
            </w:r>
          </w:p>
        </w:tc>
      </w:tr>
      <w:tr>
        <w:trPr>
          <w:trHeight w:val="209"/>
        </w:trPr>
        <w:tc>
          <w:tcPr>
            <w:tcW w:w="7320" w:type="dxa"/>
            <w:vAlign w:val="bottom"/>
          </w:tcPr>
          <w:p>
            <w:pPr>
              <w:ind w:left="40"/>
              <w:spacing w:after="0"/>
              <w:rPr>
                <w:sz w:val="20"/>
                <w:szCs w:val="20"/>
                <w:color w:val="auto"/>
              </w:rPr>
            </w:pPr>
            <w:r>
              <w:rPr>
                <w:rFonts w:ascii="Arial" w:cs="Arial" w:eastAsia="Arial" w:hAnsi="Arial"/>
                <w:sz w:val="17"/>
                <w:szCs w:val="17"/>
                <w:color w:val="auto"/>
              </w:rPr>
              <w:t>IT expenses</w:t>
            </w:r>
          </w:p>
        </w:tc>
        <w:tc>
          <w:tcPr>
            <w:tcW w:w="1780" w:type="dxa"/>
            <w:vAlign w:val="bottom"/>
          </w:tcPr>
          <w:p>
            <w:pPr>
              <w:jc w:val="right"/>
              <w:ind w:right="458"/>
              <w:spacing w:after="0"/>
              <w:rPr>
                <w:sz w:val="20"/>
                <w:szCs w:val="20"/>
                <w:color w:val="auto"/>
              </w:rPr>
            </w:pPr>
            <w:r>
              <w:rPr>
                <w:rFonts w:ascii="Arial" w:cs="Arial" w:eastAsia="Arial" w:hAnsi="Arial"/>
                <w:sz w:val="17"/>
                <w:szCs w:val="17"/>
                <w:color w:val="auto"/>
              </w:rPr>
              <w:t>2.2</w:t>
            </w:r>
          </w:p>
        </w:tc>
        <w:tc>
          <w:tcPr>
            <w:tcW w:w="960" w:type="dxa"/>
            <w:vAlign w:val="bottom"/>
          </w:tcPr>
          <w:p>
            <w:pPr>
              <w:jc w:val="right"/>
              <w:ind w:right="56"/>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8"/>
                <w:szCs w:val="18"/>
                <w:color w:val="auto"/>
              </w:rPr>
            </w:pPr>
          </w:p>
        </w:tc>
        <w:tc>
          <w:tcPr>
            <w:tcW w:w="1180" w:type="dxa"/>
            <w:vAlign w:val="bottom"/>
          </w:tcPr>
          <w:p>
            <w:pPr>
              <w:jc w:val="right"/>
              <w:ind w:right="57"/>
              <w:spacing w:after="0"/>
              <w:rPr>
                <w:sz w:val="20"/>
                <w:szCs w:val="20"/>
                <w:color w:val="auto"/>
              </w:rPr>
            </w:pPr>
            <w:r>
              <w:rPr>
                <w:rFonts w:ascii="Arial" w:cs="Arial" w:eastAsia="Arial" w:hAnsi="Arial"/>
                <w:sz w:val="17"/>
                <w:szCs w:val="17"/>
                <w:color w:val="auto"/>
              </w:rPr>
              <w:t>0.5</w:t>
            </w:r>
          </w:p>
        </w:tc>
      </w:tr>
      <w:tr>
        <w:trPr>
          <w:trHeight w:val="209"/>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Adjustment to state premium tax rate</w:t>
            </w:r>
          </w:p>
        </w:tc>
        <w:tc>
          <w:tcPr>
            <w:tcW w:w="1780" w:type="dxa"/>
            <w:vAlign w:val="bottom"/>
            <w:shd w:val="clear" w:color="auto" w:fill="CCEEFF"/>
          </w:tcPr>
          <w:p>
            <w:pPr>
              <w:jc w:val="right"/>
              <w:ind w:right="458"/>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r>
      <w:tr>
        <w:trPr>
          <w:trHeight w:val="215"/>
        </w:trPr>
        <w:tc>
          <w:tcPr>
            <w:tcW w:w="7320" w:type="dxa"/>
            <w:vAlign w:val="bottom"/>
          </w:tcPr>
          <w:p>
            <w:pPr>
              <w:ind w:left="40"/>
              <w:spacing w:after="0"/>
              <w:rPr>
                <w:sz w:val="20"/>
                <w:szCs w:val="20"/>
                <w:color w:val="auto"/>
              </w:rPr>
            </w:pPr>
            <w:r>
              <w:rPr>
                <w:rFonts w:ascii="Arial" w:cs="Arial" w:eastAsia="Arial" w:hAnsi="Arial"/>
                <w:sz w:val="17"/>
                <w:szCs w:val="17"/>
                <w:color w:val="auto"/>
              </w:rPr>
              <w:t>Other expenses</w:t>
            </w:r>
          </w:p>
        </w:tc>
        <w:tc>
          <w:tcPr>
            <w:tcW w:w="1780" w:type="dxa"/>
            <w:vAlign w:val="bottom"/>
            <w:tcBorders>
              <w:bottom w:val="single" w:sz="8" w:color="auto"/>
            </w:tcBorders>
          </w:tcPr>
          <w:p>
            <w:pPr>
              <w:jc w:val="right"/>
              <w:ind w:right="458"/>
              <w:spacing w:after="0"/>
              <w:rPr>
                <w:sz w:val="20"/>
                <w:szCs w:val="20"/>
                <w:color w:val="auto"/>
              </w:rPr>
            </w:pPr>
            <w:r>
              <w:rPr>
                <w:rFonts w:ascii="Arial" w:cs="Arial" w:eastAsia="Arial" w:hAnsi="Arial"/>
                <w:sz w:val="17"/>
                <w:szCs w:val="17"/>
                <w:color w:val="auto"/>
              </w:rPr>
              <w:t>10.5</w:t>
            </w: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10.5</w:t>
            </w:r>
          </w:p>
        </w:tc>
        <w:tc>
          <w:tcPr>
            <w:tcW w:w="180" w:type="dxa"/>
            <w:vAlign w:val="bottom"/>
          </w:tcPr>
          <w:p>
            <w:pPr>
              <w:spacing w:after="0"/>
              <w:rPr>
                <w:sz w:val="18"/>
                <w:szCs w:val="18"/>
                <w:color w:val="auto"/>
              </w:rPr>
            </w:pPr>
          </w:p>
        </w:tc>
        <w:tc>
          <w:tcPr>
            <w:tcW w:w="1180" w:type="dxa"/>
            <w:vAlign w:val="bottom"/>
          </w:tcPr>
          <w:p>
            <w:pPr>
              <w:jc w:val="right"/>
              <w:ind w:right="57"/>
              <w:spacing w:after="0"/>
              <w:rPr>
                <w:sz w:val="20"/>
                <w:szCs w:val="20"/>
                <w:color w:val="auto"/>
              </w:rPr>
            </w:pPr>
            <w:r>
              <w:rPr>
                <w:rFonts w:ascii="Arial" w:cs="Arial" w:eastAsia="Arial" w:hAnsi="Arial"/>
                <w:sz w:val="17"/>
                <w:szCs w:val="17"/>
                <w:color w:val="auto"/>
              </w:rPr>
              <w:t>-</w:t>
            </w:r>
          </w:p>
        </w:tc>
      </w:tr>
      <w:tr>
        <w:trPr>
          <w:trHeight w:val="21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other underwriting expenses</w:t>
            </w:r>
          </w:p>
        </w:tc>
        <w:tc>
          <w:tcPr>
            <w:tcW w:w="1780" w:type="dxa"/>
            <w:vAlign w:val="bottom"/>
            <w:tcBorders>
              <w:bottom w:val="single" w:sz="8" w:color="auto"/>
            </w:tcBorders>
            <w:shd w:val="clear" w:color="auto" w:fill="CCEEFF"/>
          </w:tcPr>
          <w:p>
            <w:pPr>
              <w:jc w:val="right"/>
              <w:ind w:right="458"/>
              <w:spacing w:after="0"/>
              <w:rPr>
                <w:sz w:val="20"/>
                <w:szCs w:val="20"/>
                <w:color w:val="auto"/>
              </w:rPr>
            </w:pPr>
            <w:r>
              <w:rPr>
                <w:rFonts w:ascii="Arial" w:cs="Arial" w:eastAsia="Arial" w:hAnsi="Arial"/>
                <w:sz w:val="17"/>
                <w:szCs w:val="17"/>
                <w:color w:val="auto"/>
              </w:rPr>
              <w:t>24.8</w:t>
            </w: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24.0</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0.8</w:t>
            </w:r>
          </w:p>
        </w:tc>
      </w:tr>
      <w:tr>
        <w:trPr>
          <w:trHeight w:val="209"/>
        </w:trPr>
        <w:tc>
          <w:tcPr>
            <w:tcW w:w="7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7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underwriting expense ratio</w:t>
            </w:r>
          </w:p>
        </w:tc>
        <w:tc>
          <w:tcPr>
            <w:tcW w:w="1780" w:type="dxa"/>
            <w:vAlign w:val="bottom"/>
            <w:shd w:val="clear" w:color="auto" w:fill="CCEEFF"/>
          </w:tcPr>
          <w:p>
            <w:pPr>
              <w:jc w:val="right"/>
              <w:ind w:right="318"/>
              <w:spacing w:after="0"/>
              <w:rPr>
                <w:sz w:val="20"/>
                <w:szCs w:val="20"/>
                <w:color w:val="auto"/>
              </w:rPr>
            </w:pPr>
            <w:r>
              <w:rPr>
                <w:rFonts w:ascii="Arial" w:cs="Arial" w:eastAsia="Arial" w:hAnsi="Arial"/>
                <w:sz w:val="17"/>
                <w:szCs w:val="17"/>
                <w:color w:val="auto"/>
              </w:rPr>
              <w:t>33.6%</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35.1%</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158"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Other operating expenses, related to the expenses of our holding company, were $907,000 in Q2-2017 compared to $433,000 in Q2-2016. The increase in Q2-2017 of $474,000, or 109.5%, was primarily due to increases in executive bonus compensation, executive compensation due to annual rate increases and hiring of additional staff, equity compensation, and consulting fees. The increase in executive bonus compensation includes $315,000 of accrued long-term bonus compensation pursuant to the three year employment agreement effective January 1, 2017 with our Chief Executive Officer. In Q2-2016 there was no long-term bonus compensation plan in place.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158"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Depreciation and amortization was $326,000 in Q2-2017 compared to $289,000 in Q2-2016. The increase of $37,000, or 12.8%, in depreciation and amortization was primarily due to depreciation of our new system platform for handling business being written in expansion states. The increase was also impacted by newly purchased assets used to upgrade our systems infrastructure and the Kingston, New York home office building from which we operate.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Expense</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Income tax expense in Q2-2017 was $1,225,000, which resulted in an effective tax rate of 32.8%. Income tax expense in Q2-2016 was $1,439,000, which resulted in an effective tax rate of 33.6%. Income before taxes was $3,735,000 in Q2-2017 compared to $4,281,000 in Q2-2016.</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Income</w:t>
      </w:r>
    </w:p>
    <w:p>
      <w:pPr>
        <w:spacing w:after="0" w:line="158"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Net income was $2,510,000 in Q2-2017 compared to $2,842,000 in Q2-2016. The decrease in net income of $332,000, or 11.7%, was due to the circumstances described above that caused the increase in our net loss ratio, decrease in net realized gains on investments, and increases in other underwriting expenses related to premium growth, other operating expenses, and depreciation and amortization, partially offset by increases in our net premiums earned, ceding commission revenue, net investment income, and other income.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Financial Information</w:t>
      </w:r>
    </w:p>
    <w:p>
      <w:pPr>
        <w:spacing w:after="0" w:line="162"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 wide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5"/>
                <w:szCs w:val="15"/>
                <w:color w:val="auto"/>
              </w:rPr>
            </w:pPr>
          </w:p>
        </w:tc>
        <w:tc>
          <w:tcPr>
            <w:tcW w:w="238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416"/>
        </w:trPr>
        <w:tc>
          <w:tcPr>
            <w:tcW w:w="5940" w:type="dxa"/>
            <w:vAlign w:val="bottom"/>
            <w:gridSpan w:val="2"/>
          </w:tcPr>
          <w:p>
            <w:pPr>
              <w:spacing w:after="0"/>
              <w:rPr>
                <w:sz w:val="20"/>
                <w:szCs w:val="20"/>
                <w:color w:val="auto"/>
              </w:rPr>
            </w:pPr>
            <w:r>
              <w:rPr>
                <w:rFonts w:ascii="Arial" w:cs="Arial" w:eastAsia="Arial" w:hAnsi="Arial"/>
                <w:sz w:val="17"/>
                <w:szCs w:val="17"/>
                <w:color w:val="auto"/>
              </w:rPr>
              <w:t>Gross premiums written:</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23,139,479</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19,697,839</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42,601,451</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37,138,925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Commercial lines</w:t>
            </w:r>
          </w:p>
        </w:tc>
        <w:tc>
          <w:tcPr>
            <w:tcW w:w="3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4,162,821</w:t>
            </w:r>
          </w:p>
        </w:tc>
        <w:tc>
          <w:tcPr>
            <w:tcW w:w="3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3,677,159</w:t>
            </w:r>
          </w:p>
        </w:tc>
        <w:tc>
          <w:tcPr>
            <w:tcW w:w="36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7,746,875</w:t>
            </w:r>
          </w:p>
        </w:tc>
        <w:tc>
          <w:tcPr>
            <w:tcW w:w="36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6,805,297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Livery physical damage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3,101,043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2,720,538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6,127,526</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5,152,453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Other(1)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56,922</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76,475</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114,308</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123,739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30,460,265</w:t>
            </w:r>
          </w:p>
        </w:tc>
        <w:tc>
          <w:tcPr>
            <w:tcW w:w="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26,172,011</w:t>
            </w:r>
          </w:p>
        </w:tc>
        <w:tc>
          <w:tcPr>
            <w:tcW w:w="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56,590,160</w:t>
            </w:r>
          </w:p>
        </w:tc>
        <w:tc>
          <w:tcPr>
            <w:tcW w:w="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8"/>
              </w:rPr>
              <w:t>49,220,414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Net premiums written:</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Personal lines</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12,844,104</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10,831,897</w:t>
            </w:r>
          </w:p>
        </w:tc>
        <w:tc>
          <w:tcPr>
            <w:tcW w:w="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23,310,472</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6"/>
              <w:spacing w:after="0"/>
              <w:rPr>
                <w:sz w:val="20"/>
                <w:szCs w:val="20"/>
                <w:color w:val="auto"/>
              </w:rPr>
            </w:pPr>
            <w:r>
              <w:rPr>
                <w:rFonts w:ascii="Arial" w:cs="Arial" w:eastAsia="Arial" w:hAnsi="Arial"/>
                <w:sz w:val="17"/>
                <w:szCs w:val="17"/>
                <w:color w:val="auto"/>
                <w:w w:val="98"/>
              </w:rPr>
              <w:t>20,217,335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3,743,568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3,343,859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6,946,133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6,158,764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Livery physical damage</w:t>
            </w:r>
          </w:p>
        </w:tc>
        <w:tc>
          <w:tcPr>
            <w:tcW w:w="3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3,101,043</w:t>
            </w:r>
          </w:p>
        </w:tc>
        <w:tc>
          <w:tcPr>
            <w:tcW w:w="3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2,720,538</w:t>
            </w:r>
          </w:p>
        </w:tc>
        <w:tc>
          <w:tcPr>
            <w:tcW w:w="36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6,127,526</w:t>
            </w:r>
          </w:p>
        </w:tc>
        <w:tc>
          <w:tcPr>
            <w:tcW w:w="36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5,152,453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Other(1)</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38,585</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56,388</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77,474</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86,005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19,727,300</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16,952,682</w:t>
            </w:r>
          </w:p>
        </w:tc>
        <w:tc>
          <w:tcPr>
            <w:tcW w:w="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36,461,605</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98"/>
              </w:rPr>
              <w:t>31,614,557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Net premiums earned: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11,039,025</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9,826,564</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21,729,608</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19,290,460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Commercial lines</w:t>
            </w:r>
          </w:p>
        </w:tc>
        <w:tc>
          <w:tcPr>
            <w:tcW w:w="3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2,985,759</w:t>
            </w:r>
          </w:p>
        </w:tc>
        <w:tc>
          <w:tcPr>
            <w:tcW w:w="3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2,772,822</w:t>
            </w:r>
          </w:p>
        </w:tc>
        <w:tc>
          <w:tcPr>
            <w:tcW w:w="36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5,828,339</w:t>
            </w:r>
          </w:p>
        </w:tc>
        <w:tc>
          <w:tcPr>
            <w:tcW w:w="36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5,453,547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Livery physical damage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2,884,986</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2,362,889</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5,677,333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4,618,743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Other(1)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43,957</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48,600</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88,195</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179,800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16,953,727</w:t>
            </w:r>
          </w:p>
        </w:tc>
        <w:tc>
          <w:tcPr>
            <w:tcW w:w="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15,010,875</w:t>
            </w:r>
          </w:p>
        </w:tc>
        <w:tc>
          <w:tcPr>
            <w:tcW w:w="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33,323,475</w:t>
            </w:r>
          </w:p>
        </w:tc>
        <w:tc>
          <w:tcPr>
            <w:tcW w:w="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8"/>
              </w:rPr>
              <w:t>29,542,550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Net loss and loss adjustment expenses: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Personal lines</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4,399,735</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3,137,613</w:t>
            </w:r>
          </w:p>
        </w:tc>
        <w:tc>
          <w:tcPr>
            <w:tcW w:w="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9,751,847</w:t>
            </w:r>
          </w:p>
        </w:tc>
        <w:tc>
          <w:tcPr>
            <w:tcW w:w="3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6"/>
              <w:spacing w:after="0"/>
              <w:rPr>
                <w:sz w:val="20"/>
                <w:szCs w:val="20"/>
                <w:color w:val="auto"/>
              </w:rPr>
            </w:pPr>
            <w:r>
              <w:rPr>
                <w:rFonts w:ascii="Arial" w:cs="Arial" w:eastAsia="Arial" w:hAnsi="Arial"/>
                <w:sz w:val="17"/>
                <w:szCs w:val="17"/>
                <w:color w:val="auto"/>
                <w:w w:val="98"/>
              </w:rPr>
              <w:t>10,686,164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1,229,782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1,181,456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2,758,578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2,092,290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Livery physical damage</w:t>
            </w:r>
          </w:p>
        </w:tc>
        <w:tc>
          <w:tcPr>
            <w:tcW w:w="34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1,260,153</w:t>
            </w:r>
          </w:p>
        </w:tc>
        <w:tc>
          <w:tcPr>
            <w:tcW w:w="3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946,101</w:t>
            </w:r>
          </w:p>
        </w:tc>
        <w:tc>
          <w:tcPr>
            <w:tcW w:w="36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2,225,675</w:t>
            </w:r>
          </w:p>
        </w:tc>
        <w:tc>
          <w:tcPr>
            <w:tcW w:w="36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1,934,654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Other(1)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74,672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95,470</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22,598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(284,937)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Unallocated loss adjustment expenses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490,580</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426,196</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989,220</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842,520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7,454,922</w:t>
            </w:r>
          </w:p>
        </w:tc>
        <w:tc>
          <w:tcPr>
            <w:tcW w:w="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5,786,836</w:t>
            </w:r>
          </w:p>
        </w:tc>
        <w:tc>
          <w:tcPr>
            <w:tcW w:w="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15,747,918</w:t>
            </w:r>
          </w:p>
        </w:tc>
        <w:tc>
          <w:tcPr>
            <w:tcW w:w="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8"/>
              </w:rPr>
              <w:t>15,270,691</w:t>
            </w:r>
          </w:p>
        </w:tc>
        <w:tc>
          <w:tcPr>
            <w:tcW w:w="0" w:type="dxa"/>
            <w:vAlign w:val="bottom"/>
          </w:tcPr>
          <w:p>
            <w:pPr>
              <w:spacing w:after="0"/>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Net loss ratio:</w:t>
            </w:r>
          </w:p>
        </w:tc>
        <w:tc>
          <w:tcPr>
            <w:tcW w:w="3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7"/>
                <w:szCs w:val="17"/>
                <w:color w:val="auto"/>
              </w:rPr>
              <w:t>Personal lines</w:t>
            </w:r>
          </w:p>
        </w:tc>
        <w:tc>
          <w:tcPr>
            <w:tcW w:w="3520" w:type="dxa"/>
            <w:vAlign w:val="bottom"/>
          </w:tcPr>
          <w:p>
            <w:pPr>
              <w:jc w:val="right"/>
              <w:ind w:right="335"/>
              <w:spacing w:after="0"/>
              <w:rPr>
                <w:sz w:val="20"/>
                <w:szCs w:val="20"/>
                <w:color w:val="auto"/>
              </w:rPr>
            </w:pPr>
            <w:r>
              <w:rPr>
                <w:rFonts w:ascii="Arial" w:cs="Arial" w:eastAsia="Arial" w:hAnsi="Arial"/>
                <w:sz w:val="17"/>
                <w:szCs w:val="17"/>
                <w:color w:val="auto"/>
              </w:rPr>
              <w:t>39.9%</w:t>
            </w:r>
          </w:p>
        </w:tc>
        <w:tc>
          <w:tcPr>
            <w:tcW w:w="1420" w:type="dxa"/>
            <w:vAlign w:val="bottom"/>
          </w:tcPr>
          <w:p>
            <w:pPr>
              <w:jc w:val="right"/>
              <w:ind w:right="375"/>
              <w:spacing w:after="0"/>
              <w:rPr>
                <w:sz w:val="20"/>
                <w:szCs w:val="20"/>
                <w:color w:val="auto"/>
              </w:rPr>
            </w:pPr>
            <w:r>
              <w:rPr>
                <w:rFonts w:ascii="Arial" w:cs="Arial" w:eastAsia="Arial" w:hAnsi="Arial"/>
                <w:sz w:val="17"/>
                <w:szCs w:val="17"/>
                <w:color w:val="auto"/>
              </w:rPr>
              <w:t>31.9%</w:t>
            </w:r>
          </w:p>
        </w:tc>
        <w:tc>
          <w:tcPr>
            <w:tcW w:w="1300" w:type="dxa"/>
            <w:vAlign w:val="bottom"/>
          </w:tcPr>
          <w:p>
            <w:pPr>
              <w:jc w:val="right"/>
              <w:ind w:right="315"/>
              <w:spacing w:after="0"/>
              <w:rPr>
                <w:sz w:val="20"/>
                <w:szCs w:val="20"/>
                <w:color w:val="auto"/>
              </w:rPr>
            </w:pPr>
            <w:r>
              <w:rPr>
                <w:rFonts w:ascii="Arial" w:cs="Arial" w:eastAsia="Arial" w:hAnsi="Arial"/>
                <w:sz w:val="17"/>
                <w:szCs w:val="17"/>
                <w:color w:val="auto"/>
              </w:rPr>
              <w:t>44.9%</w:t>
            </w:r>
          </w:p>
        </w:tc>
        <w:tc>
          <w:tcPr>
            <w:tcW w:w="960" w:type="dxa"/>
            <w:vAlign w:val="bottom"/>
          </w:tcPr>
          <w:p>
            <w:pPr>
              <w:jc w:val="right"/>
              <w:spacing w:after="0"/>
              <w:rPr>
                <w:sz w:val="20"/>
                <w:szCs w:val="20"/>
                <w:color w:val="auto"/>
              </w:rPr>
            </w:pPr>
            <w:r>
              <w:rPr>
                <w:rFonts w:ascii="Arial" w:cs="Arial" w:eastAsia="Arial" w:hAnsi="Arial"/>
                <w:sz w:val="17"/>
                <w:szCs w:val="17"/>
                <w:color w:val="auto"/>
              </w:rPr>
              <w:t>55.4%</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352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41.2%</w:t>
            </w: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42.6%</w:t>
            </w:r>
          </w:p>
        </w:tc>
        <w:tc>
          <w:tcPr>
            <w:tcW w:w="13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47.3%</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r>
      <w:tr>
        <w:trPr>
          <w:trHeight w:val="209"/>
        </w:trPr>
        <w:tc>
          <w:tcPr>
            <w:tcW w:w="4220" w:type="dxa"/>
            <w:vAlign w:val="bottom"/>
          </w:tcPr>
          <w:p>
            <w:pPr>
              <w:spacing w:after="0"/>
              <w:rPr>
                <w:sz w:val="20"/>
                <w:szCs w:val="20"/>
                <w:color w:val="auto"/>
              </w:rPr>
            </w:pPr>
            <w:r>
              <w:rPr>
                <w:rFonts w:ascii="Arial" w:cs="Arial" w:eastAsia="Arial" w:hAnsi="Arial"/>
                <w:sz w:val="17"/>
                <w:szCs w:val="17"/>
                <w:color w:val="auto"/>
              </w:rPr>
              <w:t>Livery physical damage</w:t>
            </w:r>
          </w:p>
        </w:tc>
        <w:tc>
          <w:tcPr>
            <w:tcW w:w="3520" w:type="dxa"/>
            <w:vAlign w:val="bottom"/>
          </w:tcPr>
          <w:p>
            <w:pPr>
              <w:jc w:val="right"/>
              <w:ind w:right="335"/>
              <w:spacing w:after="0"/>
              <w:rPr>
                <w:sz w:val="20"/>
                <w:szCs w:val="20"/>
                <w:color w:val="auto"/>
              </w:rPr>
            </w:pPr>
            <w:r>
              <w:rPr>
                <w:rFonts w:ascii="Arial" w:cs="Arial" w:eastAsia="Arial" w:hAnsi="Arial"/>
                <w:sz w:val="17"/>
                <w:szCs w:val="17"/>
                <w:color w:val="auto"/>
              </w:rPr>
              <w:t>43.7%</w:t>
            </w:r>
          </w:p>
        </w:tc>
        <w:tc>
          <w:tcPr>
            <w:tcW w:w="1420" w:type="dxa"/>
            <w:vAlign w:val="bottom"/>
          </w:tcPr>
          <w:p>
            <w:pPr>
              <w:jc w:val="right"/>
              <w:ind w:right="375"/>
              <w:spacing w:after="0"/>
              <w:rPr>
                <w:sz w:val="20"/>
                <w:szCs w:val="20"/>
                <w:color w:val="auto"/>
              </w:rPr>
            </w:pPr>
            <w:r>
              <w:rPr>
                <w:rFonts w:ascii="Arial" w:cs="Arial" w:eastAsia="Arial" w:hAnsi="Arial"/>
                <w:sz w:val="17"/>
                <w:szCs w:val="17"/>
                <w:color w:val="auto"/>
              </w:rPr>
              <w:t>40.0%</w:t>
            </w:r>
          </w:p>
        </w:tc>
        <w:tc>
          <w:tcPr>
            <w:tcW w:w="1300" w:type="dxa"/>
            <w:vAlign w:val="bottom"/>
          </w:tcPr>
          <w:p>
            <w:pPr>
              <w:jc w:val="right"/>
              <w:ind w:right="315"/>
              <w:spacing w:after="0"/>
              <w:rPr>
                <w:sz w:val="20"/>
                <w:szCs w:val="20"/>
                <w:color w:val="auto"/>
              </w:rPr>
            </w:pPr>
            <w:r>
              <w:rPr>
                <w:rFonts w:ascii="Arial" w:cs="Arial" w:eastAsia="Arial" w:hAnsi="Arial"/>
                <w:sz w:val="17"/>
                <w:szCs w:val="17"/>
                <w:color w:val="auto"/>
              </w:rPr>
              <w:t>39.2%</w:t>
            </w:r>
          </w:p>
        </w:tc>
        <w:tc>
          <w:tcPr>
            <w:tcW w:w="960" w:type="dxa"/>
            <w:vAlign w:val="bottom"/>
          </w:tcPr>
          <w:p>
            <w:pPr>
              <w:jc w:val="right"/>
              <w:spacing w:after="0"/>
              <w:rPr>
                <w:sz w:val="20"/>
                <w:szCs w:val="20"/>
                <w:color w:val="auto"/>
              </w:rPr>
            </w:pPr>
            <w:r>
              <w:rPr>
                <w:rFonts w:ascii="Arial" w:cs="Arial" w:eastAsia="Arial" w:hAnsi="Arial"/>
                <w:sz w:val="17"/>
                <w:szCs w:val="17"/>
                <w:color w:val="auto"/>
              </w:rPr>
              <w:t>41.9%</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Other(1)</w:t>
            </w:r>
          </w:p>
        </w:tc>
        <w:tc>
          <w:tcPr>
            <w:tcW w:w="352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169.9%</w:t>
            </w:r>
          </w:p>
        </w:tc>
        <w:tc>
          <w:tcPr>
            <w:tcW w:w="142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196.4%</w:t>
            </w:r>
          </w:p>
        </w:tc>
        <w:tc>
          <w:tcPr>
            <w:tcW w:w="13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25.6%</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w:t>
            </w:r>
          </w:p>
        </w:tc>
      </w:tr>
      <w:tr>
        <w:trPr>
          <w:trHeight w:val="216"/>
        </w:trPr>
        <w:tc>
          <w:tcPr>
            <w:tcW w:w="4220" w:type="dxa"/>
            <w:vAlign w:val="bottom"/>
          </w:tcPr>
          <w:p>
            <w:pPr>
              <w:ind w:left="160"/>
              <w:spacing w:after="0"/>
              <w:rPr>
                <w:sz w:val="20"/>
                <w:szCs w:val="20"/>
                <w:color w:val="auto"/>
              </w:rPr>
            </w:pPr>
            <w:r>
              <w:rPr>
                <w:rFonts w:ascii="Arial" w:cs="Arial" w:eastAsia="Arial" w:hAnsi="Arial"/>
                <w:sz w:val="17"/>
                <w:szCs w:val="17"/>
                <w:color w:val="auto"/>
              </w:rPr>
              <w:t>Total</w:t>
            </w:r>
          </w:p>
        </w:tc>
        <w:tc>
          <w:tcPr>
            <w:tcW w:w="3520" w:type="dxa"/>
            <w:vAlign w:val="bottom"/>
          </w:tcPr>
          <w:p>
            <w:pPr>
              <w:jc w:val="right"/>
              <w:ind w:right="335"/>
              <w:spacing w:after="0"/>
              <w:rPr>
                <w:sz w:val="20"/>
                <w:szCs w:val="20"/>
                <w:color w:val="auto"/>
              </w:rPr>
            </w:pPr>
            <w:r>
              <w:rPr>
                <w:rFonts w:ascii="Arial" w:cs="Arial" w:eastAsia="Arial" w:hAnsi="Arial"/>
                <w:sz w:val="17"/>
                <w:szCs w:val="17"/>
                <w:color w:val="auto"/>
              </w:rPr>
              <w:t>44.0%</w:t>
            </w:r>
          </w:p>
        </w:tc>
        <w:tc>
          <w:tcPr>
            <w:tcW w:w="1420" w:type="dxa"/>
            <w:vAlign w:val="bottom"/>
          </w:tcPr>
          <w:p>
            <w:pPr>
              <w:jc w:val="right"/>
              <w:ind w:right="375"/>
              <w:spacing w:after="0"/>
              <w:rPr>
                <w:sz w:val="20"/>
                <w:szCs w:val="20"/>
                <w:color w:val="auto"/>
              </w:rPr>
            </w:pPr>
            <w:r>
              <w:rPr>
                <w:rFonts w:ascii="Arial" w:cs="Arial" w:eastAsia="Arial" w:hAnsi="Arial"/>
                <w:sz w:val="17"/>
                <w:szCs w:val="17"/>
                <w:color w:val="auto"/>
              </w:rPr>
              <w:t>38.6%</w:t>
            </w:r>
          </w:p>
        </w:tc>
        <w:tc>
          <w:tcPr>
            <w:tcW w:w="1300" w:type="dxa"/>
            <w:vAlign w:val="bottom"/>
          </w:tcPr>
          <w:p>
            <w:pPr>
              <w:jc w:val="right"/>
              <w:ind w:right="315"/>
              <w:spacing w:after="0"/>
              <w:rPr>
                <w:sz w:val="20"/>
                <w:szCs w:val="20"/>
                <w:color w:val="auto"/>
              </w:rPr>
            </w:pPr>
            <w:r>
              <w:rPr>
                <w:rFonts w:ascii="Arial" w:cs="Arial" w:eastAsia="Arial" w:hAnsi="Arial"/>
                <w:sz w:val="17"/>
                <w:szCs w:val="17"/>
                <w:color w:val="auto"/>
              </w:rPr>
              <w:t>47.3%</w:t>
            </w:r>
          </w:p>
        </w:tc>
        <w:tc>
          <w:tcPr>
            <w:tcW w:w="960" w:type="dxa"/>
            <w:vAlign w:val="bottom"/>
          </w:tcPr>
          <w:p>
            <w:pPr>
              <w:jc w:val="right"/>
              <w:spacing w:after="0"/>
              <w:rPr>
                <w:sz w:val="20"/>
                <w:szCs w:val="20"/>
                <w:color w:val="auto"/>
              </w:rPr>
            </w:pPr>
            <w:r>
              <w:rPr>
                <w:rFonts w:ascii="Arial" w:cs="Arial" w:eastAsia="Arial" w:hAnsi="Arial"/>
                <w:sz w:val="17"/>
                <w:szCs w:val="17"/>
                <w:color w:val="auto"/>
              </w:rPr>
              <w:t>51.7%</w:t>
            </w:r>
          </w:p>
        </w:tc>
      </w:tr>
    </w:tbl>
    <w:p>
      <w:pPr>
        <w:spacing w:after="0" w:line="195" w:lineRule="exact"/>
        <w:rPr>
          <w:sz w:val="20"/>
          <w:szCs w:val="20"/>
          <w:color w:val="auto"/>
        </w:rPr>
      </w:pPr>
    </w:p>
    <w:p>
      <w:pPr>
        <w:jc w:val="both"/>
        <w:ind w:left="640" w:hanging="321"/>
        <w:spacing w:after="0" w:line="321" w:lineRule="auto"/>
        <w:tabs>
          <w:tab w:leader="none" w:pos="683" w:val="left"/>
        </w:tabs>
        <w:numPr>
          <w:ilvl w:val="0"/>
          <w:numId w:val="10"/>
        </w:numPr>
        <w:rPr>
          <w:rFonts w:ascii="Arial" w:cs="Arial" w:eastAsia="Arial" w:hAnsi="Arial"/>
          <w:sz w:val="15"/>
          <w:szCs w:val="15"/>
          <w:color w:val="auto"/>
        </w:rPr>
      </w:pPr>
      <w:r>
        <w:rPr>
          <w:rFonts w:ascii="Arial" w:cs="Arial" w:eastAsia="Arial" w:hAnsi="Arial"/>
          <w:sz w:val="15"/>
          <w:szCs w:val="15"/>
          <w:color w:val="auto"/>
        </w:rPr>
        <w:t>“Other” includes, among other things, premiums and loss and loss adjustment expenses from commercial auto and our participation in a mandatory state joint underwriting association. Effective October 1, 2014 we decided to no longer accept applications for new commercial auto coverage. In February 2015, we decided to no longer offer renewals to our existing commercial auto policies beginning with those that expired on or after May 1, 2015</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Insurance Underwriting Business on a Standalone Basis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insurance underwriting business reported on a standalone basis for the periods indicated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8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400" w:type="dxa"/>
            <w:vAlign w:val="bottom"/>
            <w:gridSpan w:val="4"/>
          </w:tcPr>
          <w:p>
            <w:pPr>
              <w:ind w:lef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594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premiums earned</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16,953,727</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15,010,875</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33,323,475</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29,542,550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Ceding commission revenue</w:t>
            </w:r>
          </w:p>
        </w:tc>
        <w:tc>
          <w:tcPr>
            <w:tcW w:w="34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3,305,938</w:t>
            </w:r>
          </w:p>
        </w:tc>
        <w:tc>
          <w:tcPr>
            <w:tcW w:w="300" w:type="dxa"/>
            <w:vAlign w:val="bottom"/>
          </w:tcPr>
          <w:p>
            <w:pPr>
              <w:spacing w:after="0"/>
              <w:rPr>
                <w:sz w:val="18"/>
                <w:szCs w:val="18"/>
                <w:color w:val="auto"/>
              </w:rPr>
            </w:pP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2,569,025</w:t>
            </w:r>
          </w:p>
        </w:tc>
        <w:tc>
          <w:tcPr>
            <w:tcW w:w="2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6,490,390</w:t>
            </w:r>
          </w:p>
        </w:tc>
        <w:tc>
          <w:tcPr>
            <w:tcW w:w="2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5,339,362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investment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1,026,004</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764,070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1,883,804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1,577,127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realized gain (loss) on investments</w:t>
            </w:r>
          </w:p>
        </w:tc>
        <w:tc>
          <w:tcPr>
            <w:tcW w:w="34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130,423</w:t>
            </w:r>
          </w:p>
        </w:tc>
        <w:tc>
          <w:tcPr>
            <w:tcW w:w="300" w:type="dxa"/>
            <w:vAlign w:val="bottom"/>
          </w:tcPr>
          <w:p>
            <w:pPr>
              <w:spacing w:after="0"/>
              <w:rPr>
                <w:sz w:val="18"/>
                <w:szCs w:val="18"/>
                <w:color w:val="auto"/>
              </w:rPr>
            </w:pP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283,432</w:t>
            </w:r>
          </w:p>
        </w:tc>
        <w:tc>
          <w:tcPr>
            <w:tcW w:w="2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75,917</w:t>
            </w:r>
          </w:p>
        </w:tc>
        <w:tc>
          <w:tcPr>
            <w:tcW w:w="2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363,868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296,285</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277,101</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563,661</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526,099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300"/>
              <w:spacing w:after="0"/>
              <w:rPr>
                <w:sz w:val="20"/>
                <w:szCs w:val="20"/>
                <w:color w:val="auto"/>
              </w:rPr>
            </w:pPr>
            <w:r>
              <w:rPr>
                <w:rFonts w:ascii="Arial" w:cs="Arial" w:eastAsia="Arial" w:hAnsi="Arial"/>
                <w:sz w:val="17"/>
                <w:szCs w:val="17"/>
                <w:color w:val="auto"/>
              </w:rPr>
              <w:t>Total revenues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21,712,377</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18,904,503</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42,337,247</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98"/>
              </w:rPr>
              <w:t>37,349,006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Loss and loss adjustment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7,454,922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5,786,836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15,747,918</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15,270,691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34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7"/>
                <w:szCs w:val="17"/>
                <w:color w:val="auto"/>
              </w:rPr>
              <w:t>5,101,566</w:t>
            </w:r>
          </w:p>
        </w:tc>
        <w:tc>
          <w:tcPr>
            <w:tcW w:w="300" w:type="dxa"/>
            <w:vAlign w:val="bottom"/>
          </w:tcPr>
          <w:p>
            <w:pPr>
              <w:spacing w:after="0"/>
              <w:rPr>
                <w:sz w:val="18"/>
                <w:szCs w:val="18"/>
                <w:color w:val="auto"/>
              </w:rPr>
            </w:pPr>
          </w:p>
        </w:tc>
        <w:tc>
          <w:tcPr>
            <w:tcW w:w="1080" w:type="dxa"/>
            <w:vAlign w:val="bottom"/>
          </w:tcPr>
          <w:p>
            <w:pPr>
              <w:jc w:val="right"/>
              <w:ind w:right="116"/>
              <w:spacing w:after="0"/>
              <w:rPr>
                <w:sz w:val="20"/>
                <w:szCs w:val="20"/>
                <w:color w:val="auto"/>
              </w:rPr>
            </w:pPr>
            <w:r>
              <w:rPr>
                <w:rFonts w:ascii="Arial" w:cs="Arial" w:eastAsia="Arial" w:hAnsi="Arial"/>
                <w:sz w:val="17"/>
                <w:szCs w:val="17"/>
                <w:color w:val="auto"/>
              </w:rPr>
              <w:t>4,526,208</w:t>
            </w:r>
          </w:p>
        </w:tc>
        <w:tc>
          <w:tcPr>
            <w:tcW w:w="2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9,990,544</w:t>
            </w:r>
          </w:p>
        </w:tc>
        <w:tc>
          <w:tcPr>
            <w:tcW w:w="28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8,796,274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4,199,616</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3,596,134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8,412,033</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6,942,575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326,174</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288,884</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644,872</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572,422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expenses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17,082,278</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14,198,062</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34,795,367</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8"/>
              </w:rPr>
              <w:t>31,581,962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from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4,630,099</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4,706,441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7,541,880</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5,767,044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Income tax expense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1,557,801</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1,494,778</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2,512,929</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1,767,216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3,072,298</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3,211,663</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5,028,951</w:t>
            </w:r>
          </w:p>
        </w:tc>
        <w:tc>
          <w:tcPr>
            <w:tcW w:w="2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3,999,828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94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b w:val="1"/>
                <w:bCs w:val="1"/>
                <w:color w:val="auto"/>
              </w:rPr>
              <w:t>Key Measures: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loss ratio</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underwriting expense ratio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combined ratio</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Reconciliation of net underwriting expense ratio:</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Acquisition costs and other</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underwriting expenses</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9,301,182</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8,122,342</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18,402,577</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15,738,849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Less: Ceding commission revenue</w:t>
            </w:r>
          </w:p>
        </w:tc>
        <w:tc>
          <w:tcPr>
            <w:tcW w:w="34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7"/>
                <w:szCs w:val="17"/>
                <w:color w:val="auto"/>
              </w:rPr>
              <w:t>(3,305,938)</w:t>
            </w:r>
          </w:p>
        </w:tc>
        <w:tc>
          <w:tcPr>
            <w:tcW w:w="30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7"/>
                <w:szCs w:val="17"/>
                <w:color w:val="auto"/>
              </w:rPr>
              <w:t>(2,569,025)</w:t>
            </w:r>
          </w:p>
        </w:tc>
        <w:tc>
          <w:tcPr>
            <w:tcW w:w="280" w:type="dxa"/>
            <w:vAlign w:val="bottom"/>
          </w:tcPr>
          <w:p>
            <w:pPr>
              <w:spacing w:after="0"/>
              <w:rPr>
                <w:sz w:val="18"/>
                <w:szCs w:val="18"/>
                <w:color w:val="auto"/>
              </w:rPr>
            </w:pPr>
          </w:p>
        </w:tc>
        <w:tc>
          <w:tcPr>
            <w:tcW w:w="1100" w:type="dxa"/>
            <w:vAlign w:val="bottom"/>
          </w:tcPr>
          <w:p>
            <w:pPr>
              <w:jc w:val="right"/>
              <w:ind w:right="76"/>
              <w:spacing w:after="0"/>
              <w:rPr>
                <w:sz w:val="20"/>
                <w:szCs w:val="20"/>
                <w:color w:val="auto"/>
              </w:rPr>
            </w:pPr>
            <w:r>
              <w:rPr>
                <w:rFonts w:ascii="Arial" w:cs="Arial" w:eastAsia="Arial" w:hAnsi="Arial"/>
                <w:sz w:val="17"/>
                <w:szCs w:val="17"/>
                <w:color w:val="auto"/>
              </w:rPr>
              <w:t>(6,490,390)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(5,339,362)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Less: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(296,285)</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(277,101)</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(563,661)</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underwriting expenses</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5,698,959</w:t>
            </w: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5,276,216</w:t>
            </w:r>
          </w:p>
        </w:tc>
        <w:tc>
          <w:tcPr>
            <w:tcW w:w="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11,348,526</w:t>
            </w:r>
          </w:p>
        </w:tc>
        <w:tc>
          <w:tcPr>
            <w:tcW w:w="2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9,873,388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premiums earned</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16,953,727</w:t>
            </w: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15,010,875</w:t>
            </w:r>
          </w:p>
        </w:tc>
        <w:tc>
          <w:tcPr>
            <w:tcW w:w="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33,323,475</w:t>
            </w:r>
          </w:p>
        </w:tc>
        <w:tc>
          <w:tcPr>
            <w:tcW w:w="2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98"/>
              </w:rPr>
              <w:t>29,542,550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Net Underwriting Expense Ratio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An analysis of our direct, assumed and ceded earned premiums, loss and loss adjustment expenses, and loss ratios is shown below: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7"/>
        </w:trPr>
        <w:tc>
          <w:tcPr>
            <w:tcW w:w="4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55"/>
              <w:spacing w:after="0"/>
              <w:rPr>
                <w:sz w:val="20"/>
                <w:szCs w:val="20"/>
                <w:color w:val="auto"/>
              </w:rPr>
            </w:pPr>
            <w:r>
              <w:rPr>
                <w:rFonts w:ascii="Arial" w:cs="Arial" w:eastAsia="Arial" w:hAnsi="Arial"/>
                <w:sz w:val="14"/>
                <w:szCs w:val="14"/>
                <w:b w:val="1"/>
                <w:bCs w:val="1"/>
                <w:color w:val="auto"/>
              </w:rPr>
              <w:t>Direct</w:t>
            </w:r>
          </w:p>
        </w:tc>
        <w:tc>
          <w:tcPr>
            <w:tcW w:w="260" w:type="dxa"/>
            <w:vAlign w:val="bottom"/>
          </w:tcPr>
          <w:p>
            <w:pPr>
              <w:spacing w:after="0"/>
              <w:rPr>
                <w:sz w:val="15"/>
                <w:szCs w:val="15"/>
                <w:color w:val="auto"/>
              </w:rPr>
            </w:pPr>
          </w:p>
        </w:tc>
        <w:tc>
          <w:tcPr>
            <w:tcW w:w="1120" w:type="dxa"/>
            <w:vAlign w:val="bottom"/>
          </w:tcPr>
          <w:p>
            <w:pPr>
              <w:jc w:val="right"/>
              <w:ind w:right="375"/>
              <w:spacing w:after="0"/>
              <w:rPr>
                <w:sz w:val="20"/>
                <w:szCs w:val="20"/>
                <w:color w:val="auto"/>
              </w:rPr>
            </w:pPr>
            <w:r>
              <w:rPr>
                <w:rFonts w:ascii="Arial" w:cs="Arial" w:eastAsia="Arial" w:hAnsi="Arial"/>
                <w:sz w:val="14"/>
                <w:szCs w:val="14"/>
                <w:b w:val="1"/>
                <w:bCs w:val="1"/>
                <w:color w:val="auto"/>
              </w:rPr>
              <w:t>Assumed</w:t>
            </w:r>
          </w:p>
        </w:tc>
        <w:tc>
          <w:tcPr>
            <w:tcW w:w="240" w:type="dxa"/>
            <w:vAlign w:val="bottom"/>
          </w:tcPr>
          <w:p>
            <w:pPr>
              <w:spacing w:after="0"/>
              <w:rPr>
                <w:sz w:val="15"/>
                <w:szCs w:val="15"/>
                <w:color w:val="auto"/>
              </w:rPr>
            </w:pPr>
          </w:p>
        </w:tc>
        <w:tc>
          <w:tcPr>
            <w:tcW w:w="1140" w:type="dxa"/>
            <w:vAlign w:val="bottom"/>
          </w:tcPr>
          <w:p>
            <w:pPr>
              <w:jc w:val="right"/>
              <w:ind w:right="455"/>
              <w:spacing w:after="0"/>
              <w:rPr>
                <w:sz w:val="20"/>
                <w:szCs w:val="20"/>
                <w:color w:val="auto"/>
              </w:rPr>
            </w:pPr>
            <w:r>
              <w:rPr>
                <w:rFonts w:ascii="Arial" w:cs="Arial" w:eastAsia="Arial" w:hAnsi="Arial"/>
                <w:sz w:val="14"/>
                <w:szCs w:val="14"/>
                <w:b w:val="1"/>
                <w:bCs w:val="1"/>
                <w:color w:val="auto"/>
              </w:rPr>
              <w:t>Ceded</w:t>
            </w:r>
          </w:p>
        </w:tc>
        <w:tc>
          <w:tcPr>
            <w:tcW w:w="260" w:type="dxa"/>
            <w:vAlign w:val="bottom"/>
          </w:tcPr>
          <w:p>
            <w:pPr>
              <w:spacing w:after="0"/>
              <w:rPr>
                <w:sz w:val="15"/>
                <w:szCs w:val="15"/>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417"/>
        </w:trPr>
        <w:tc>
          <w:tcPr>
            <w:tcW w:w="4500" w:type="dxa"/>
            <w:vAlign w:val="bottom"/>
          </w:tcPr>
          <w:p>
            <w:pPr>
              <w:ind w:left="40"/>
              <w:spacing w:after="0"/>
              <w:rPr>
                <w:sz w:val="20"/>
                <w:szCs w:val="20"/>
                <w:color w:val="auto"/>
              </w:rPr>
            </w:pPr>
            <w:r>
              <w:rPr>
                <w:rFonts w:ascii="Arial" w:cs="Arial" w:eastAsia="Arial" w:hAnsi="Arial"/>
                <w:sz w:val="17"/>
                <w:szCs w:val="17"/>
                <w:b w:val="1"/>
                <w:bCs w:val="1"/>
                <w:color w:val="auto"/>
              </w:rPr>
              <w:t>Six months ended June 30, 2017</w:t>
            </w:r>
          </w:p>
        </w:tc>
        <w:tc>
          <w:tcPr>
            <w:tcW w:w="1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Written premiums</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56,583,867</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6,293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(20,128,555)</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36,461,605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200"/>
              <w:spacing w:after="0"/>
              <w:rPr>
                <w:sz w:val="20"/>
                <w:szCs w:val="20"/>
                <w:color w:val="auto"/>
              </w:rPr>
            </w:pPr>
            <w:r>
              <w:rPr>
                <w:rFonts w:ascii="Arial" w:cs="Arial" w:eastAsia="Arial" w:hAnsi="Arial"/>
                <w:sz w:val="17"/>
                <w:szCs w:val="17"/>
                <w:color w:val="auto"/>
              </w:rPr>
              <w:t>Change in unearned premiums</w:t>
            </w:r>
          </w:p>
        </w:tc>
        <w:tc>
          <w:tcPr>
            <w:tcW w:w="1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(4,048,796)</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8,327</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902,339</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(3,138,130)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Earned premiums</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52,535,071</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14,620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(19,226,216)</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33,323,475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50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and loss adjustment expenses exluding</w:t>
            </w: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the effect of catastrophes</w:t>
            </w:r>
          </w:p>
        </w:tc>
        <w:tc>
          <w:tcPr>
            <w:tcW w:w="1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23,158,126</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16,333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(7,426,541)</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15,747,918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1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23,158,126</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16,333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(7,426,541)</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15,747,918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111.7%</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38.6%</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Loss ratio</w:t>
            </w:r>
          </w:p>
        </w:tc>
        <w:tc>
          <w:tcPr>
            <w:tcW w:w="1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b w:val="1"/>
                <w:bCs w:val="1"/>
                <w:color w:val="auto"/>
              </w:rPr>
              <w:t>Six months ended June 30, 2016</w:t>
            </w: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Written premiums</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49,204,416</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15,998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(17,605,857)</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31,614,557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200"/>
              <w:spacing w:after="0"/>
              <w:rPr>
                <w:sz w:val="20"/>
                <w:szCs w:val="20"/>
                <w:color w:val="auto"/>
              </w:rPr>
            </w:pPr>
            <w:r>
              <w:rPr>
                <w:rFonts w:ascii="Arial" w:cs="Arial" w:eastAsia="Arial" w:hAnsi="Arial"/>
                <w:sz w:val="17"/>
                <w:szCs w:val="17"/>
                <w:color w:val="auto"/>
              </w:rPr>
              <w:t>Change in unearned premiums</w:t>
            </w:r>
          </w:p>
        </w:tc>
        <w:tc>
          <w:tcPr>
            <w:tcW w:w="1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(2,573,545)</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3,537</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498,001</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Earned premiums</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46,630,871</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19,535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(17,107,856)</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29,542,550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50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and loss adjustment expenses exluding</w:t>
            </w: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the effect of catastrophes</w:t>
            </w:r>
          </w:p>
        </w:tc>
        <w:tc>
          <w:tcPr>
            <w:tcW w:w="1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20,006,890</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30,295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(6,168,971)</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13,868,214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2,337,461</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(934,984)</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1,402,477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1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22,344,351</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30,295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(7,103,955)</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15,270,691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155.1%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36.1%</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Loss ratio</w:t>
            </w:r>
          </w:p>
        </w:tc>
        <w:tc>
          <w:tcPr>
            <w:tcW w:w="1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155.1%</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b w:val="1"/>
                <w:bCs w:val="1"/>
                <w:color w:val="auto"/>
              </w:rPr>
              <w:t>Three months ended June 30, 2017</w:t>
            </w: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Written premiums</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30,458,400</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1,865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9"/>
              </w:rPr>
              <w:t>(10,732,965)</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19,727,300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200"/>
              <w:spacing w:after="0"/>
              <w:rPr>
                <w:sz w:val="20"/>
                <w:szCs w:val="20"/>
                <w:color w:val="auto"/>
              </w:rPr>
            </w:pPr>
            <w:r>
              <w:rPr>
                <w:rFonts w:ascii="Arial" w:cs="Arial" w:eastAsia="Arial" w:hAnsi="Arial"/>
                <w:sz w:val="17"/>
                <w:szCs w:val="17"/>
                <w:color w:val="auto"/>
              </w:rPr>
              <w:t>Change in unearned premiums</w:t>
            </w:r>
          </w:p>
        </w:tc>
        <w:tc>
          <w:tcPr>
            <w:tcW w:w="1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(3,717,893)</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5,346</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938,974</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(2,773,573)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Earned premiums</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26,740,507</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7,211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(9,793,991)</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16,953,727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50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and loss adjustment expenses exluding</w:t>
            </w: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the effect of catastrophes</w:t>
            </w:r>
          </w:p>
        </w:tc>
        <w:tc>
          <w:tcPr>
            <w:tcW w:w="1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10,639,366</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8,293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(3,192,737)</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7,454,922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1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10,639,366</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8,293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(3,192,737)</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7,454,922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39.8%</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32.6%</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Loss ratio</w:t>
            </w:r>
          </w:p>
        </w:tc>
        <w:tc>
          <w:tcPr>
            <w:tcW w:w="1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115.0%</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b w:val="1"/>
                <w:bCs w:val="1"/>
                <w:color w:val="auto"/>
              </w:rPr>
              <w:t>Three months ended June 30, 2016</w:t>
            </w: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Written premiums</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26,161,091</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10,920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(9,219,329)</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16,952,682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200"/>
              <w:spacing w:after="0"/>
              <w:rPr>
                <w:sz w:val="20"/>
                <w:szCs w:val="20"/>
                <w:color w:val="auto"/>
              </w:rPr>
            </w:pPr>
            <w:r>
              <w:rPr>
                <w:rFonts w:ascii="Arial" w:cs="Arial" w:eastAsia="Arial" w:hAnsi="Arial"/>
                <w:sz w:val="17"/>
                <w:szCs w:val="17"/>
                <w:color w:val="auto"/>
              </w:rPr>
              <w:t>Change in unearned premiums</w:t>
            </w:r>
          </w:p>
        </w:tc>
        <w:tc>
          <w:tcPr>
            <w:tcW w:w="1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(2,447,117)</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(34)</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505,344</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(1,941,807)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Earned premiums</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23,713,974</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10,886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(8,713,985)</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15,010,875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50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and loss adjustment expenses exluding</w:t>
            </w: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the effect of catastrophes</w:t>
            </w:r>
          </w:p>
        </w:tc>
        <w:tc>
          <w:tcPr>
            <w:tcW w:w="1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8,569,126</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7,998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(2,790,288)</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5,786,836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Loss and loss adjustment expenses</w:t>
            </w:r>
          </w:p>
        </w:tc>
        <w:tc>
          <w:tcPr>
            <w:tcW w:w="1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8,569,126</w:t>
            </w: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7,998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(2,790,288)</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5,786,836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Loss ratio excluding the effect of catastrophes</w:t>
            </w: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73.5%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32.0%</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Catastrophe loss</w:t>
            </w:r>
          </w:p>
        </w:tc>
        <w:tc>
          <w:tcPr>
            <w:tcW w:w="14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200"/>
              <w:spacing w:after="0"/>
              <w:rPr>
                <w:sz w:val="20"/>
                <w:szCs w:val="20"/>
                <w:color w:val="auto"/>
              </w:rPr>
            </w:pPr>
            <w:r>
              <w:rPr>
                <w:rFonts w:ascii="Arial" w:cs="Arial" w:eastAsia="Arial" w:hAnsi="Arial"/>
                <w:sz w:val="17"/>
                <w:szCs w:val="17"/>
                <w:color w:val="auto"/>
              </w:rPr>
              <w:t>Loss ratio</w:t>
            </w:r>
          </w:p>
        </w:tc>
        <w:tc>
          <w:tcPr>
            <w:tcW w:w="1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40" w:type="dxa"/>
            <w:vAlign w:val="bottom"/>
            <w:vMerge w:val="restart"/>
          </w:tcPr>
          <w:p>
            <w:pPr>
              <w:jc w:val="right"/>
              <w:ind w:right="76"/>
              <w:spacing w:after="0"/>
              <w:rPr>
                <w:sz w:val="20"/>
                <w:szCs w:val="20"/>
                <w:color w:val="auto"/>
              </w:rPr>
            </w:pPr>
            <w:r>
              <w:rPr>
                <w:rFonts w:ascii="Arial" w:cs="Arial" w:eastAsia="Arial" w:hAnsi="Arial"/>
                <w:sz w:val="13"/>
                <w:szCs w:val="13"/>
                <w:color w:val="auto"/>
              </w:rPr>
              <w:t>54</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7" w:right="239" w:bottom="1440" w:gutter="0" w:footer="0" w:header="0"/>
        </w:sectPr>
      </w:pPr>
    </w:p>
    <w:bookmarkStart w:id="56" w:name="page57"/>
    <w:bookmarkEnd w:id="56"/>
    <w:p>
      <w:pPr>
        <w:ind w:left="640"/>
        <w:spacing w:after="0"/>
        <w:rPr>
          <w:sz w:val="20"/>
          <w:szCs w:val="20"/>
          <w:color w:val="auto"/>
        </w:rPr>
      </w:pPr>
      <w:r>
        <w:rPr>
          <w:rFonts w:ascii="Arial" w:cs="Arial" w:eastAsia="Arial" w:hAnsi="Arial"/>
          <w:sz w:val="17"/>
          <w:szCs w:val="17"/>
          <w:color w:val="auto"/>
        </w:rPr>
        <w:t>The key measures for our insurance underwriting business for the periods indicated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238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Net premiums earned</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16,953,727</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15,010,875</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33,323,475</w:t>
            </w:r>
          </w:p>
        </w:tc>
        <w:tc>
          <w:tcPr>
            <w:tcW w:w="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29,542,550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Ceding commission revenue</w:t>
            </w:r>
          </w:p>
        </w:tc>
        <w:tc>
          <w:tcPr>
            <w:tcW w:w="34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7"/>
                <w:szCs w:val="17"/>
                <w:color w:val="auto"/>
              </w:rPr>
              <w:t>3,305,938</w:t>
            </w:r>
          </w:p>
        </w:tc>
        <w:tc>
          <w:tcPr>
            <w:tcW w:w="3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2,569,025</w:t>
            </w:r>
          </w:p>
        </w:tc>
        <w:tc>
          <w:tcPr>
            <w:tcW w:w="3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7"/>
                <w:szCs w:val="17"/>
                <w:color w:val="auto"/>
              </w:rPr>
              <w:t>6,490,390</w:t>
            </w:r>
          </w:p>
        </w:tc>
        <w:tc>
          <w:tcPr>
            <w:tcW w:w="36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5,339,362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296,285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277,101</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563,661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526,099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Loss and loss adjustment expenses (1)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7,454,922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5,786,836</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15,747,918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98"/>
              </w:rPr>
              <w:t>15,270,691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Acquistion costs and other underwriting expenses: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7"/>
                <w:szCs w:val="17"/>
                <w:color w:val="auto"/>
              </w:rPr>
              <w:t>Commission expense</w:t>
            </w:r>
          </w:p>
        </w:tc>
        <w:tc>
          <w:tcPr>
            <w:tcW w:w="34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7"/>
                <w:szCs w:val="17"/>
                <w:color w:val="auto"/>
              </w:rPr>
              <w:t>5,101,566</w:t>
            </w:r>
          </w:p>
        </w:tc>
        <w:tc>
          <w:tcPr>
            <w:tcW w:w="360" w:type="dxa"/>
            <w:vAlign w:val="bottom"/>
          </w:tcPr>
          <w:p>
            <w:pPr>
              <w:spacing w:after="0"/>
              <w:rPr>
                <w:sz w:val="18"/>
                <w:szCs w:val="18"/>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4,526,208</w:t>
            </w:r>
          </w:p>
        </w:tc>
        <w:tc>
          <w:tcPr>
            <w:tcW w:w="3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7"/>
                <w:szCs w:val="17"/>
                <w:color w:val="auto"/>
              </w:rPr>
              <w:t>9,990,544</w:t>
            </w:r>
          </w:p>
        </w:tc>
        <w:tc>
          <w:tcPr>
            <w:tcW w:w="36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color w:val="auto"/>
              </w:rPr>
              <w:t>8,796,274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underwriting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4,199,616</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3,596,134</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8,412,033</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6,942,575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Total acquistion costs and other</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underwriting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9,301,182</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8,122,342</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18,402,577</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98"/>
              </w:rPr>
              <w:t>15,738,849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Underwriting income</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3,799,846</w:t>
            </w:r>
          </w:p>
        </w:tc>
        <w:tc>
          <w:tcPr>
            <w:tcW w:w="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3,947,823</w:t>
            </w:r>
          </w:p>
        </w:tc>
        <w:tc>
          <w:tcPr>
            <w:tcW w:w="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6,227,031</w:t>
            </w:r>
          </w:p>
        </w:tc>
        <w:tc>
          <w:tcPr>
            <w:tcW w:w="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4,398,471</w:t>
            </w:r>
          </w:p>
        </w:tc>
        <w:tc>
          <w:tcPr>
            <w:tcW w:w="0" w:type="dxa"/>
            <w:vAlign w:val="bottom"/>
          </w:tcPr>
          <w:p>
            <w:pPr>
              <w:spacing w:after="0"/>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Key Measures: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Net loss ratio excluding the effect of catastrophes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44.0%</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38.6%</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47.3%</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Effect of catastrophe loss on net loss ratio (1) (2)</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7"/>
                <w:szCs w:val="17"/>
                <w:color w:val="auto"/>
              </w:rPr>
              <w:t>Net loss ratio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Net underwriting expense ratio excluding the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effect of catastrophes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Effect of catastrophe loss on net underwriting</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expense ratio (2)</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7"/>
                <w:szCs w:val="17"/>
                <w:color w:val="auto"/>
              </w:rPr>
              <w:t>Net underwriting expense ratio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Net combined ratio excluding the effect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of catastrophes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Effect of catastrophe loss on net combined</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ratio (1) (2)</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Net combined ratio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81.4%</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160"/>
              <w:spacing w:after="0"/>
              <w:rPr>
                <w:sz w:val="20"/>
                <w:szCs w:val="20"/>
                <w:color w:val="auto"/>
              </w:rPr>
            </w:pPr>
            <w:r>
              <w:rPr>
                <w:rFonts w:ascii="Arial" w:cs="Arial" w:eastAsia="Arial" w:hAnsi="Arial"/>
                <w:sz w:val="17"/>
                <w:szCs w:val="17"/>
                <w:color w:val="auto"/>
              </w:rPr>
              <w:t>Reconciliation of net underwriting expense ratio:</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Acquisition costs and other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320"/>
              <w:spacing w:after="0"/>
              <w:rPr>
                <w:sz w:val="20"/>
                <w:szCs w:val="20"/>
                <w:color w:val="auto"/>
              </w:rPr>
            </w:pPr>
            <w:r>
              <w:rPr>
                <w:rFonts w:ascii="Arial" w:cs="Arial" w:eastAsia="Arial" w:hAnsi="Arial"/>
                <w:sz w:val="17"/>
                <w:szCs w:val="17"/>
                <w:color w:val="auto"/>
              </w:rPr>
              <w:t>underwriting expenses</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9,301,182</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8,122,342</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18,402,577</w:t>
            </w:r>
          </w:p>
        </w:tc>
        <w:tc>
          <w:tcPr>
            <w:tcW w:w="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rPr>
                <w:sz w:val="20"/>
                <w:szCs w:val="20"/>
                <w:color w:val="auto"/>
              </w:rPr>
            </w:pPr>
            <w:r>
              <w:rPr>
                <w:rFonts w:ascii="Arial" w:cs="Arial" w:eastAsia="Arial" w:hAnsi="Arial"/>
                <w:sz w:val="17"/>
                <w:szCs w:val="17"/>
                <w:color w:val="auto"/>
              </w:rPr>
              <w:t>15,738,849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Less: Ceding commission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(3,305,938)</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(2,569,025)</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(6,490,390)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(5,339,362)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7"/>
                <w:szCs w:val="17"/>
                <w:color w:val="auto"/>
              </w:rPr>
              <w:t>Less: Other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(296,285)</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(277,101)</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(563,661)</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5,698,959</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5,276,216</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11,348,526</w:t>
            </w:r>
          </w:p>
        </w:tc>
        <w:tc>
          <w:tcPr>
            <w:tcW w:w="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9,873,388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earned premium</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16,953,727</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15,010,875</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33,323,475</w:t>
            </w:r>
          </w:p>
        </w:tc>
        <w:tc>
          <w:tcPr>
            <w:tcW w:w="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29,542,550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Underwriting Expense Ratio</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firstLine="5"/>
        <w:spacing w:after="0" w:line="281" w:lineRule="auto"/>
        <w:tabs>
          <w:tab w:leader="none" w:pos="251"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the six months ended June 30, 2017 and 2016, includes the sum of net catastrophe losses and loss adjustment expenses of $-0- and $1,402,477, respectively, resulting from severe winter weather.</w:t>
      </w:r>
    </w:p>
    <w:p>
      <w:pPr>
        <w:spacing w:after="0" w:line="104" w:lineRule="exact"/>
        <w:rPr>
          <w:rFonts w:ascii="Arial" w:cs="Arial" w:eastAsia="Arial" w:hAnsi="Arial"/>
          <w:sz w:val="17"/>
          <w:szCs w:val="17"/>
          <w:color w:val="auto"/>
        </w:rPr>
      </w:pPr>
    </w:p>
    <w:p>
      <w:pPr>
        <w:ind w:firstLine="5"/>
        <w:spacing w:after="0" w:line="281" w:lineRule="auto"/>
        <w:tabs>
          <w:tab w:leader="none" w:pos="247"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the six months ended June 30, 2016, the effect of catastrophe loss from severe winter weather on our net combined ratio includes the direct effects of loss and loss adjustment expenses and there were no indirect effects in other underwriting expenses.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Investments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Portfolio Summary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a breakdown of the amortized cost, fair value and unrealized gains and losses by investment type as of June 30, 2017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Available-for-Sale Securities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ind w:right="202"/>
              <w:spacing w:after="0"/>
              <w:rPr>
                <w:sz w:val="20"/>
                <w:szCs w:val="20"/>
                <w:color w:val="auto"/>
              </w:rPr>
            </w:pPr>
            <w:r>
              <w:rPr>
                <w:rFonts w:ascii="Arial" w:cs="Arial" w:eastAsia="Arial" w:hAnsi="Arial"/>
                <w:sz w:val="14"/>
                <w:szCs w:val="14"/>
                <w:b w:val="1"/>
                <w:bCs w:val="1"/>
                <w:color w:val="auto"/>
                <w:w w:val="92"/>
              </w:rPr>
              <w:t>June 30, 2017</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Cost or</w:t>
            </w:r>
          </w:p>
        </w:tc>
        <w:tc>
          <w:tcPr>
            <w:tcW w:w="300" w:type="dxa"/>
            <w:vAlign w:val="bottom"/>
          </w:tcPr>
          <w:p>
            <w:pPr>
              <w:spacing w:after="0"/>
              <w:rPr>
                <w:sz w:val="24"/>
                <w:szCs w:val="2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82"/>
              <w:spacing w:after="0"/>
              <w:rPr>
                <w:sz w:val="20"/>
                <w:szCs w:val="20"/>
                <w:color w:val="auto"/>
              </w:rPr>
            </w:pPr>
            <w:r>
              <w:rPr>
                <w:rFonts w:ascii="Arial" w:cs="Arial" w:eastAsia="Arial" w:hAnsi="Arial"/>
                <w:sz w:val="14"/>
                <w:szCs w:val="14"/>
                <w:b w:val="1"/>
                <w:bCs w:val="1"/>
                <w:color w:val="auto"/>
                <w:w w:val="89"/>
              </w:rPr>
              <w:t>Gross Unrealized Losses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7"/>
                <w:szCs w:val="17"/>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More than 12</w:t>
            </w:r>
          </w:p>
        </w:tc>
        <w:tc>
          <w:tcPr>
            <w:tcW w:w="220" w:type="dxa"/>
            <w:vAlign w:val="bottom"/>
          </w:tcPr>
          <w:p>
            <w:pPr>
              <w:spacing w:after="0"/>
              <w:rPr>
                <w:sz w:val="17"/>
                <w:szCs w:val="17"/>
                <w:color w:val="auto"/>
              </w:rPr>
            </w:pPr>
          </w:p>
        </w:tc>
        <w:tc>
          <w:tcPr>
            <w:tcW w:w="1060" w:type="dxa"/>
            <w:vAlign w:val="bottom"/>
          </w:tcPr>
          <w:p>
            <w:pPr>
              <w:jc w:val="center"/>
              <w:ind w:right="283"/>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7"/>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84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5"/>
                <w:szCs w:val="15"/>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900" w:type="dxa"/>
            <w:vAlign w:val="bottom"/>
          </w:tcPr>
          <w:p>
            <w:pPr>
              <w:jc w:val="center"/>
              <w:ind w:right="224"/>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860" w:type="dxa"/>
            <w:vAlign w:val="bottom"/>
          </w:tcPr>
          <w:p>
            <w:pPr>
              <w:jc w:val="center"/>
              <w:ind w:right="182"/>
              <w:spacing w:after="0"/>
              <w:rPr>
                <w:sz w:val="20"/>
                <w:szCs w:val="20"/>
                <w:color w:val="auto"/>
              </w:rPr>
            </w:pPr>
            <w:r>
              <w:rPr>
                <w:rFonts w:ascii="Arial" w:cs="Arial" w:eastAsia="Arial" w:hAnsi="Arial"/>
                <w:sz w:val="14"/>
                <w:szCs w:val="14"/>
                <w:b w:val="1"/>
                <w:bCs w:val="1"/>
                <w:color w:val="auto"/>
                <w:w w:val="96"/>
              </w:rPr>
              <w:t>Months</w:t>
            </w:r>
          </w:p>
        </w:tc>
        <w:tc>
          <w:tcPr>
            <w:tcW w:w="220" w:type="dxa"/>
            <w:vAlign w:val="bottom"/>
          </w:tcPr>
          <w:p>
            <w:pPr>
              <w:spacing w:after="0"/>
              <w:rPr>
                <w:sz w:val="15"/>
                <w:szCs w:val="15"/>
                <w:color w:val="auto"/>
              </w:rPr>
            </w:pPr>
          </w:p>
        </w:tc>
        <w:tc>
          <w:tcPr>
            <w:tcW w:w="1060" w:type="dxa"/>
            <w:vAlign w:val="bottom"/>
          </w:tcPr>
          <w:p>
            <w:pPr>
              <w:jc w:val="center"/>
              <w:ind w:right="283"/>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12"/>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Political subdivisions of States,</w:t>
            </w: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Territories and 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12,080,402</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269,275</w:t>
            </w:r>
          </w:p>
        </w:tc>
        <w:tc>
          <w:tcPr>
            <w:tcW w:w="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(40,955)</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w w:val="99"/>
              </w:rPr>
              <w:t>12,285,665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Corporate and other bonds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Industrial and miscellaneous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77,041,418</w:t>
            </w:r>
          </w:p>
        </w:tc>
        <w:tc>
          <w:tcPr>
            <w:tcW w:w="30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1,202,532</w:t>
            </w:r>
          </w:p>
        </w:tc>
        <w:tc>
          <w:tcPr>
            <w:tcW w:w="26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(371,550)</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(5,946)</w:t>
            </w:r>
          </w:p>
        </w:tc>
        <w:tc>
          <w:tcPr>
            <w:tcW w:w="220" w:type="dxa"/>
            <w:vAlign w:val="bottom"/>
          </w:tcPr>
          <w:p>
            <w:pPr>
              <w:spacing w:after="0"/>
              <w:rPr>
                <w:sz w:val="17"/>
                <w:szCs w:val="17"/>
                <w:color w:val="auto"/>
              </w:rPr>
            </w:pPr>
          </w:p>
        </w:tc>
        <w:tc>
          <w:tcPr>
            <w:tcW w:w="1060" w:type="dxa"/>
            <w:vAlign w:val="bottom"/>
          </w:tcPr>
          <w:p>
            <w:pPr>
              <w:jc w:val="right"/>
              <w:ind w:right="163"/>
              <w:spacing w:after="0"/>
              <w:rPr>
                <w:sz w:val="20"/>
                <w:szCs w:val="20"/>
                <w:color w:val="auto"/>
              </w:rPr>
            </w:pPr>
            <w:r>
              <w:rPr>
                <w:rFonts w:ascii="Arial" w:cs="Arial" w:eastAsia="Arial" w:hAnsi="Arial"/>
                <w:sz w:val="16"/>
                <w:szCs w:val="16"/>
                <w:color w:val="auto"/>
                <w:w w:val="99"/>
              </w:rPr>
              <w:t>77,866,454</w:t>
            </w:r>
          </w:p>
        </w:tc>
        <w:tc>
          <w:tcPr>
            <w:tcW w:w="1000" w:type="dxa"/>
            <w:vAlign w:val="bottom"/>
          </w:tcPr>
          <w:p>
            <w:pPr>
              <w:jc w:val="right"/>
              <w:spacing w:after="0"/>
              <w:rPr>
                <w:sz w:val="20"/>
                <w:szCs w:val="20"/>
                <w:color w:val="auto"/>
              </w:rPr>
            </w:pPr>
            <w:r>
              <w:rPr>
                <w:rFonts w:ascii="Arial" w:cs="Arial" w:eastAsia="Arial" w:hAnsi="Arial"/>
                <w:sz w:val="16"/>
                <w:szCs w:val="16"/>
                <w:color w:val="auto"/>
              </w:rPr>
              <w:t>62.7%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Residential mortgage and other</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asset backed securities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22,252,959</w:t>
            </w: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233,063</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(190,684)</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(23,946)</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color w:val="auto"/>
                <w:w w:val="99"/>
              </w:rPr>
              <w:t>22,271,392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Arial" w:cs="Arial" w:eastAsia="Arial" w:hAnsi="Arial"/>
                <w:sz w:val="16"/>
                <w:szCs w:val="16"/>
                <w:color w:val="auto"/>
              </w:rPr>
              <w:t>Total fixed-maturity securities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89"/>
              </w:rPr>
              <w:t>111,374,779</w:t>
            </w:r>
          </w:p>
        </w:tc>
        <w:tc>
          <w:tcPr>
            <w:tcW w:w="30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1,704,870</w:t>
            </w:r>
          </w:p>
        </w:tc>
        <w:tc>
          <w:tcPr>
            <w:tcW w:w="26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(603,189)</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(52,949)</w:t>
            </w:r>
          </w:p>
        </w:tc>
        <w:tc>
          <w:tcPr>
            <w:tcW w:w="220" w:type="dxa"/>
            <w:vAlign w:val="bottom"/>
          </w:tcPr>
          <w:p>
            <w:pPr>
              <w:spacing w:after="0"/>
              <w:rPr>
                <w:sz w:val="17"/>
                <w:szCs w:val="17"/>
                <w:color w:val="auto"/>
              </w:rPr>
            </w:pPr>
          </w:p>
        </w:tc>
        <w:tc>
          <w:tcPr>
            <w:tcW w:w="1060" w:type="dxa"/>
            <w:vAlign w:val="bottom"/>
          </w:tcPr>
          <w:p>
            <w:pPr>
              <w:jc w:val="right"/>
              <w:ind w:right="163"/>
              <w:spacing w:after="0"/>
              <w:rPr>
                <w:sz w:val="20"/>
                <w:szCs w:val="20"/>
                <w:color w:val="auto"/>
              </w:rPr>
            </w:pPr>
            <w:r>
              <w:rPr>
                <w:rFonts w:ascii="Arial" w:cs="Arial" w:eastAsia="Arial" w:hAnsi="Arial"/>
                <w:sz w:val="16"/>
                <w:szCs w:val="16"/>
                <w:color w:val="auto"/>
                <w:w w:val="89"/>
              </w:rPr>
              <w:t>112,423,511</w:t>
            </w:r>
          </w:p>
        </w:tc>
        <w:tc>
          <w:tcPr>
            <w:tcW w:w="1000" w:type="dxa"/>
            <w:vAlign w:val="bottom"/>
          </w:tcPr>
          <w:p>
            <w:pPr>
              <w:jc w:val="right"/>
              <w:spacing w:after="0"/>
              <w:rPr>
                <w:sz w:val="20"/>
                <w:szCs w:val="20"/>
                <w:color w:val="auto"/>
              </w:rPr>
            </w:pPr>
            <w:r>
              <w:rPr>
                <w:rFonts w:ascii="Arial" w:cs="Arial" w:eastAsia="Arial" w:hAnsi="Arial"/>
                <w:sz w:val="16"/>
                <w:szCs w:val="16"/>
                <w:color w:val="auto"/>
              </w:rPr>
              <w:t>90.5%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11,311,097</w:t>
            </w: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716,131</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(87,669)</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(166,741)</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color w:val="auto"/>
                <w:w w:val="99"/>
              </w:rPr>
              <w:t>11,772,818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122,685,876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2,421,001</w:t>
            </w:r>
          </w:p>
        </w:tc>
        <w:tc>
          <w:tcPr>
            <w:tcW w:w="2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(690,858)</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w w:val="89"/>
              </w:rPr>
              <w:t>124,196,329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202"/>
              <w:spacing w:after="0"/>
              <w:rPr>
                <w:sz w:val="20"/>
                <w:szCs w:val="20"/>
                <w:color w:val="auto"/>
              </w:rPr>
            </w:pPr>
            <w:r>
              <w:rPr>
                <w:rFonts w:ascii="Arial" w:cs="Arial" w:eastAsia="Arial" w:hAnsi="Arial"/>
                <w:sz w:val="14"/>
                <w:szCs w:val="14"/>
                <w:b w:val="1"/>
                <w:bCs w:val="1"/>
                <w:color w:val="auto"/>
                <w:w w:val="91"/>
              </w:rPr>
              <w:t>December 31, 2016</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Cost or</w:t>
            </w:r>
          </w:p>
        </w:tc>
        <w:tc>
          <w:tcPr>
            <w:tcW w:w="300" w:type="dxa"/>
            <w:vAlign w:val="bottom"/>
          </w:tcPr>
          <w:p>
            <w:pPr>
              <w:spacing w:after="0"/>
              <w:rPr>
                <w:sz w:val="24"/>
                <w:szCs w:val="2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82"/>
              <w:spacing w:after="0"/>
              <w:rPr>
                <w:sz w:val="20"/>
                <w:szCs w:val="20"/>
                <w:color w:val="auto"/>
              </w:rPr>
            </w:pPr>
            <w:r>
              <w:rPr>
                <w:rFonts w:ascii="Arial" w:cs="Arial" w:eastAsia="Arial" w:hAnsi="Arial"/>
                <w:sz w:val="14"/>
                <w:szCs w:val="14"/>
                <w:b w:val="1"/>
                <w:bCs w:val="1"/>
                <w:color w:val="auto"/>
                <w:w w:val="89"/>
              </w:rPr>
              <w:t>Gross Unrealized Losses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7"/>
                <w:szCs w:val="17"/>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More than 12</w:t>
            </w:r>
          </w:p>
        </w:tc>
        <w:tc>
          <w:tcPr>
            <w:tcW w:w="220" w:type="dxa"/>
            <w:vAlign w:val="bottom"/>
          </w:tcPr>
          <w:p>
            <w:pPr>
              <w:spacing w:after="0"/>
              <w:rPr>
                <w:sz w:val="17"/>
                <w:szCs w:val="17"/>
                <w:color w:val="auto"/>
              </w:rPr>
            </w:pPr>
          </w:p>
        </w:tc>
        <w:tc>
          <w:tcPr>
            <w:tcW w:w="1060" w:type="dxa"/>
            <w:vAlign w:val="bottom"/>
          </w:tcPr>
          <w:p>
            <w:pPr>
              <w:jc w:val="center"/>
              <w:ind w:right="283"/>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7"/>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84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Cost</w:t>
            </w:r>
          </w:p>
        </w:tc>
        <w:tc>
          <w:tcPr>
            <w:tcW w:w="300" w:type="dxa"/>
            <w:vAlign w:val="bottom"/>
          </w:tcPr>
          <w:p>
            <w:pPr>
              <w:spacing w:after="0"/>
              <w:rPr>
                <w:sz w:val="15"/>
                <w:szCs w:val="15"/>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900" w:type="dxa"/>
            <w:vAlign w:val="bottom"/>
          </w:tcPr>
          <w:p>
            <w:pPr>
              <w:jc w:val="center"/>
              <w:ind w:right="224"/>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860" w:type="dxa"/>
            <w:vAlign w:val="bottom"/>
          </w:tcPr>
          <w:p>
            <w:pPr>
              <w:jc w:val="center"/>
              <w:ind w:right="182"/>
              <w:spacing w:after="0"/>
              <w:rPr>
                <w:sz w:val="20"/>
                <w:szCs w:val="20"/>
                <w:color w:val="auto"/>
              </w:rPr>
            </w:pPr>
            <w:r>
              <w:rPr>
                <w:rFonts w:ascii="Arial" w:cs="Arial" w:eastAsia="Arial" w:hAnsi="Arial"/>
                <w:sz w:val="14"/>
                <w:szCs w:val="14"/>
                <w:b w:val="1"/>
                <w:bCs w:val="1"/>
                <w:color w:val="auto"/>
                <w:w w:val="96"/>
              </w:rPr>
              <w:t>Months</w:t>
            </w:r>
          </w:p>
        </w:tc>
        <w:tc>
          <w:tcPr>
            <w:tcW w:w="220" w:type="dxa"/>
            <w:vAlign w:val="bottom"/>
          </w:tcPr>
          <w:p>
            <w:pPr>
              <w:spacing w:after="0"/>
              <w:rPr>
                <w:sz w:val="15"/>
                <w:szCs w:val="15"/>
                <w:color w:val="auto"/>
              </w:rPr>
            </w:pPr>
          </w:p>
        </w:tc>
        <w:tc>
          <w:tcPr>
            <w:tcW w:w="1060" w:type="dxa"/>
            <w:vAlign w:val="bottom"/>
          </w:tcPr>
          <w:p>
            <w:pPr>
              <w:jc w:val="center"/>
              <w:ind w:right="283"/>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12"/>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Political subdivisions of States,</w:t>
            </w: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Territories and 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8,053,449</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199,028</w:t>
            </w:r>
          </w:p>
        </w:tc>
        <w:tc>
          <w:tcPr>
            <w:tcW w:w="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(46,589)</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8,205,888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Corporate and other bonds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Industrial and miscellaneous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53,728,395</w:t>
            </w:r>
          </w:p>
        </w:tc>
        <w:tc>
          <w:tcPr>
            <w:tcW w:w="30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600,519</w:t>
            </w:r>
          </w:p>
        </w:tc>
        <w:tc>
          <w:tcPr>
            <w:tcW w:w="26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(638,113)</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(5,612)</w:t>
            </w:r>
          </w:p>
        </w:tc>
        <w:tc>
          <w:tcPr>
            <w:tcW w:w="220" w:type="dxa"/>
            <w:vAlign w:val="bottom"/>
          </w:tcPr>
          <w:p>
            <w:pPr>
              <w:spacing w:after="0"/>
              <w:rPr>
                <w:sz w:val="17"/>
                <w:szCs w:val="17"/>
                <w:color w:val="auto"/>
              </w:rPr>
            </w:pPr>
          </w:p>
        </w:tc>
        <w:tc>
          <w:tcPr>
            <w:tcW w:w="1060" w:type="dxa"/>
            <w:vAlign w:val="bottom"/>
          </w:tcPr>
          <w:p>
            <w:pPr>
              <w:jc w:val="right"/>
              <w:ind w:right="163"/>
              <w:spacing w:after="0"/>
              <w:rPr>
                <w:sz w:val="20"/>
                <w:szCs w:val="20"/>
                <w:color w:val="auto"/>
              </w:rPr>
            </w:pPr>
            <w:r>
              <w:rPr>
                <w:rFonts w:ascii="Arial" w:cs="Arial" w:eastAsia="Arial" w:hAnsi="Arial"/>
                <w:sz w:val="16"/>
                <w:szCs w:val="16"/>
                <w:color w:val="auto"/>
                <w:w w:val="99"/>
              </w:rPr>
              <w:t>53,685,189</w:t>
            </w:r>
          </w:p>
        </w:tc>
        <w:tc>
          <w:tcPr>
            <w:tcW w:w="1000" w:type="dxa"/>
            <w:vAlign w:val="bottom"/>
          </w:tcPr>
          <w:p>
            <w:pPr>
              <w:jc w:val="right"/>
              <w:spacing w:after="0"/>
              <w:rPr>
                <w:sz w:val="20"/>
                <w:szCs w:val="20"/>
                <w:color w:val="auto"/>
              </w:rPr>
            </w:pPr>
            <w:r>
              <w:rPr>
                <w:rFonts w:ascii="Arial" w:cs="Arial" w:eastAsia="Arial" w:hAnsi="Arial"/>
                <w:sz w:val="16"/>
                <w:szCs w:val="16"/>
                <w:color w:val="auto"/>
              </w:rPr>
              <w:t>59.4%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Residential mortgage backed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securities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18,814,784</w:t>
            </w: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70,682</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(309,273)</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(38,442)</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color w:val="auto"/>
                <w:w w:val="99"/>
              </w:rPr>
              <w:t>18,537,751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Arial" w:cs="Arial" w:eastAsia="Arial" w:hAnsi="Arial"/>
                <w:sz w:val="16"/>
                <w:szCs w:val="16"/>
                <w:color w:val="auto"/>
              </w:rPr>
              <w:t>Total fixed-maturity securities</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80,596,628</w:t>
            </w:r>
          </w:p>
        </w:tc>
        <w:tc>
          <w:tcPr>
            <w:tcW w:w="30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870,229</w:t>
            </w:r>
          </w:p>
        </w:tc>
        <w:tc>
          <w:tcPr>
            <w:tcW w:w="26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(993,975)</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(44,054)</w:t>
            </w:r>
          </w:p>
        </w:tc>
        <w:tc>
          <w:tcPr>
            <w:tcW w:w="220" w:type="dxa"/>
            <w:vAlign w:val="bottom"/>
          </w:tcPr>
          <w:p>
            <w:pPr>
              <w:spacing w:after="0"/>
              <w:rPr>
                <w:sz w:val="17"/>
                <w:szCs w:val="17"/>
                <w:color w:val="auto"/>
              </w:rPr>
            </w:pPr>
          </w:p>
        </w:tc>
        <w:tc>
          <w:tcPr>
            <w:tcW w:w="1060" w:type="dxa"/>
            <w:vAlign w:val="bottom"/>
          </w:tcPr>
          <w:p>
            <w:pPr>
              <w:jc w:val="right"/>
              <w:ind w:right="163"/>
              <w:spacing w:after="0"/>
              <w:rPr>
                <w:sz w:val="20"/>
                <w:szCs w:val="20"/>
                <w:color w:val="auto"/>
              </w:rPr>
            </w:pPr>
            <w:r>
              <w:rPr>
                <w:rFonts w:ascii="Arial" w:cs="Arial" w:eastAsia="Arial" w:hAnsi="Arial"/>
                <w:sz w:val="16"/>
                <w:szCs w:val="16"/>
                <w:color w:val="auto"/>
                <w:w w:val="99"/>
              </w:rPr>
              <w:t>80,428,828</w:t>
            </w:r>
          </w:p>
        </w:tc>
        <w:tc>
          <w:tcPr>
            <w:tcW w:w="1000" w:type="dxa"/>
            <w:vAlign w:val="bottom"/>
          </w:tcPr>
          <w:p>
            <w:pPr>
              <w:jc w:val="right"/>
              <w:spacing w:after="0"/>
              <w:rPr>
                <w:sz w:val="20"/>
                <w:szCs w:val="20"/>
                <w:color w:val="auto"/>
              </w:rPr>
            </w:pPr>
            <w:r>
              <w:rPr>
                <w:rFonts w:ascii="Arial" w:cs="Arial" w:eastAsia="Arial" w:hAnsi="Arial"/>
                <w:sz w:val="16"/>
                <w:szCs w:val="16"/>
                <w:color w:val="auto"/>
              </w:rPr>
              <w:t>89.0%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9,709,385</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701,641</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(255,301)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(168,039)</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color w:val="auto"/>
              </w:rPr>
              <w:t>9,987,686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90,306,013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1,571,870</w:t>
            </w:r>
          </w:p>
        </w:tc>
        <w:tc>
          <w:tcPr>
            <w:tcW w:w="2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w w:val="95"/>
              </w:rPr>
              <w:t>(1,249,276)</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w w:val="99"/>
              </w:rPr>
              <w:t>90,416,514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color w:val="auto"/>
                <w:w w:val="82"/>
              </w:rPr>
              <w:t>56</w:t>
            </w: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46" w:right="219" w:bottom="1440" w:gutter="0" w:footer="0" w:header="0"/>
        </w:sectPr>
      </w:pPr>
    </w:p>
    <w:bookmarkStart w:id="58" w:name="page59"/>
    <w:bookmarkEnd w:id="58"/>
    <w:p>
      <w:pPr>
        <w:ind w:left="640"/>
        <w:spacing w:after="0"/>
        <w:rPr>
          <w:sz w:val="20"/>
          <w:szCs w:val="20"/>
          <w:color w:val="auto"/>
        </w:rPr>
      </w:pPr>
      <w:r>
        <w:rPr>
          <w:rFonts w:ascii="Arial" w:cs="Arial" w:eastAsia="Arial" w:hAnsi="Arial"/>
          <w:sz w:val="17"/>
          <w:szCs w:val="17"/>
          <w:u w:val="single" w:color="auto"/>
          <w:color w:val="auto"/>
        </w:rPr>
        <w:t>Held-to-Maturity Securities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ind w:right="198"/>
              <w:spacing w:after="0"/>
              <w:rPr>
                <w:sz w:val="20"/>
                <w:szCs w:val="20"/>
                <w:color w:val="auto"/>
              </w:rPr>
            </w:pPr>
            <w:r>
              <w:rPr>
                <w:rFonts w:ascii="Arial" w:cs="Arial" w:eastAsia="Arial" w:hAnsi="Arial"/>
                <w:sz w:val="14"/>
                <w:szCs w:val="14"/>
                <w:b w:val="1"/>
                <w:bCs w:val="1"/>
                <w:color w:val="auto"/>
                <w:w w:val="92"/>
              </w:rPr>
              <w:t>June 30, 2017</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78"/>
              <w:spacing w:after="0"/>
              <w:rPr>
                <w:sz w:val="20"/>
                <w:szCs w:val="20"/>
                <w:color w:val="auto"/>
              </w:rPr>
            </w:pPr>
            <w:r>
              <w:rPr>
                <w:rFonts w:ascii="Arial" w:cs="Arial" w:eastAsia="Arial" w:hAnsi="Arial"/>
                <w:sz w:val="14"/>
                <w:szCs w:val="14"/>
                <w:b w:val="1"/>
                <w:bCs w:val="1"/>
                <w:color w:val="auto"/>
                <w:w w:val="89"/>
              </w:rPr>
              <w:t>Gross Unrealized Losses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1"/>
              <w:spacing w:after="0" w:line="144"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920" w:type="dxa"/>
            <w:vAlign w:val="bottom"/>
          </w:tcPr>
          <w:p>
            <w:pPr>
              <w:jc w:val="center"/>
              <w:ind w:right="161"/>
              <w:spacing w:after="0" w:line="144" w:lineRule="exact"/>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7"/>
              </w:rPr>
              <w:t>More than 12</w:t>
            </w:r>
          </w:p>
        </w:tc>
        <w:tc>
          <w:tcPr>
            <w:tcW w:w="280" w:type="dxa"/>
            <w:vAlign w:val="bottom"/>
          </w:tcPr>
          <w:p>
            <w:pPr>
              <w:spacing w:after="0"/>
              <w:rPr>
                <w:sz w:val="12"/>
                <w:szCs w:val="12"/>
                <w:color w:val="auto"/>
              </w:rPr>
            </w:pPr>
          </w:p>
        </w:tc>
        <w:tc>
          <w:tcPr>
            <w:tcW w:w="1000" w:type="dxa"/>
            <w:vAlign w:val="bottom"/>
          </w:tcPr>
          <w:p>
            <w:pPr>
              <w:jc w:val="center"/>
              <w:ind w:right="339"/>
              <w:spacing w:after="0" w:line="144" w:lineRule="exact"/>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7"/>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940" w:type="dxa"/>
            <w:vAlign w:val="bottom"/>
          </w:tcPr>
          <w:p>
            <w:pPr>
              <w:jc w:val="center"/>
              <w:ind w:right="181"/>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5"/>
                <w:szCs w:val="15"/>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90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860" w:type="dxa"/>
            <w:vAlign w:val="bottom"/>
          </w:tcPr>
          <w:p>
            <w:pPr>
              <w:jc w:val="center"/>
              <w:ind w:right="178"/>
              <w:spacing w:after="0"/>
              <w:rPr>
                <w:sz w:val="20"/>
                <w:szCs w:val="20"/>
                <w:color w:val="auto"/>
              </w:rPr>
            </w:pPr>
            <w:r>
              <w:rPr>
                <w:rFonts w:ascii="Arial" w:cs="Arial" w:eastAsia="Arial" w:hAnsi="Arial"/>
                <w:sz w:val="14"/>
                <w:szCs w:val="14"/>
                <w:b w:val="1"/>
                <w:bCs w:val="1"/>
                <w:color w:val="auto"/>
                <w:w w:val="96"/>
              </w:rPr>
              <w:t>Months</w:t>
            </w:r>
          </w:p>
        </w:tc>
        <w:tc>
          <w:tcPr>
            <w:tcW w:w="280" w:type="dxa"/>
            <w:vAlign w:val="bottom"/>
          </w:tcPr>
          <w:p>
            <w:pPr>
              <w:spacing w:after="0"/>
              <w:rPr>
                <w:sz w:val="15"/>
                <w:szCs w:val="15"/>
                <w:color w:val="auto"/>
              </w:rPr>
            </w:pPr>
          </w:p>
        </w:tc>
        <w:tc>
          <w:tcPr>
            <w:tcW w:w="1000" w:type="dxa"/>
            <w:vAlign w:val="bottom"/>
          </w:tcPr>
          <w:p>
            <w:pPr>
              <w:jc w:val="center"/>
              <w:ind w:right="339"/>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606,446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147,593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754,039</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7"/>
                <w:szCs w:val="17"/>
                <w:color w:val="auto"/>
              </w:rPr>
              <w:t>1,149,077</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55,703</w:t>
            </w:r>
          </w:p>
        </w:tc>
        <w:tc>
          <w:tcPr>
            <w:tcW w:w="2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7"/>
                <w:szCs w:val="17"/>
                <w:color w:val="auto"/>
              </w:rPr>
              <w:t>(2,500)</w:t>
            </w:r>
          </w:p>
        </w:tc>
        <w:tc>
          <w:tcPr>
            <w:tcW w:w="24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7"/>
                <w:szCs w:val="17"/>
                <w:color w:val="auto"/>
                <w:w w:val="97"/>
              </w:rPr>
              <w:t>1,202,280</w:t>
            </w:r>
          </w:p>
        </w:tc>
        <w:tc>
          <w:tcPr>
            <w:tcW w:w="1000" w:type="dxa"/>
            <w:vAlign w:val="bottom"/>
          </w:tcPr>
          <w:p>
            <w:pPr>
              <w:jc w:val="right"/>
              <w:spacing w:after="0"/>
              <w:rPr>
                <w:sz w:val="20"/>
                <w:szCs w:val="20"/>
                <w:color w:val="auto"/>
              </w:rPr>
            </w:pPr>
            <w:r>
              <w:rPr>
                <w:rFonts w:ascii="Arial" w:cs="Arial" w:eastAsia="Arial" w:hAnsi="Arial"/>
                <w:sz w:val="17"/>
                <w:szCs w:val="17"/>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3,140,371</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117,338</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(5,025)</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(15,231)</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w w:val="97"/>
              </w:rPr>
              <w:t>3,237,453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4,895,894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320,634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(7,525)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w w:val="97"/>
              </w:rPr>
              <w:t>5,193,772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98"/>
              <w:spacing w:after="0"/>
              <w:rPr>
                <w:sz w:val="20"/>
                <w:szCs w:val="20"/>
                <w:color w:val="auto"/>
              </w:rPr>
            </w:pPr>
            <w:r>
              <w:rPr>
                <w:rFonts w:ascii="Arial" w:cs="Arial" w:eastAsia="Arial" w:hAnsi="Arial"/>
                <w:sz w:val="14"/>
                <w:szCs w:val="14"/>
                <w:b w:val="1"/>
                <w:bCs w:val="1"/>
                <w:color w:val="auto"/>
                <w:w w:val="91"/>
              </w:rPr>
              <w:t>December 31, 2016</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178"/>
              <w:spacing w:after="0"/>
              <w:rPr>
                <w:sz w:val="20"/>
                <w:szCs w:val="20"/>
                <w:color w:val="auto"/>
              </w:rPr>
            </w:pPr>
            <w:r>
              <w:rPr>
                <w:rFonts w:ascii="Arial" w:cs="Arial" w:eastAsia="Arial" w:hAnsi="Arial"/>
                <w:sz w:val="14"/>
                <w:szCs w:val="14"/>
                <w:b w:val="1"/>
                <w:bCs w:val="1"/>
                <w:color w:val="auto"/>
                <w:w w:val="89"/>
              </w:rPr>
              <w:t>Gross Unrealized Losses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1"/>
              <w:spacing w:after="0" w:line="144"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920" w:type="dxa"/>
            <w:vAlign w:val="bottom"/>
          </w:tcPr>
          <w:p>
            <w:pPr>
              <w:jc w:val="center"/>
              <w:ind w:right="161"/>
              <w:spacing w:after="0" w:line="144" w:lineRule="exact"/>
              <w:rPr>
                <w:sz w:val="20"/>
                <w:szCs w:val="20"/>
                <w:color w:val="auto"/>
              </w:rPr>
            </w:pPr>
            <w:r>
              <w:rPr>
                <w:rFonts w:ascii="Arial" w:cs="Arial" w:eastAsia="Arial" w:hAnsi="Arial"/>
                <w:sz w:val="14"/>
                <w:szCs w:val="14"/>
                <w:b w:val="1"/>
                <w:bCs w:val="1"/>
                <w:color w:val="auto"/>
                <w:w w:val="95"/>
              </w:rPr>
              <w:t>Unrealized</w:t>
            </w:r>
          </w:p>
        </w:tc>
        <w:tc>
          <w:tcPr>
            <w:tcW w:w="11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9"/>
              </w:rPr>
              <w:t>Less than 12</w:t>
            </w:r>
          </w:p>
        </w:tc>
        <w:tc>
          <w:tcPr>
            <w:tcW w:w="110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7"/>
              </w:rPr>
              <w:t>More than 12</w:t>
            </w:r>
          </w:p>
        </w:tc>
        <w:tc>
          <w:tcPr>
            <w:tcW w:w="280" w:type="dxa"/>
            <w:vAlign w:val="bottom"/>
          </w:tcPr>
          <w:p>
            <w:pPr>
              <w:spacing w:after="0"/>
              <w:rPr>
                <w:sz w:val="12"/>
                <w:szCs w:val="12"/>
                <w:color w:val="auto"/>
              </w:rPr>
            </w:pPr>
          </w:p>
        </w:tc>
        <w:tc>
          <w:tcPr>
            <w:tcW w:w="1000" w:type="dxa"/>
            <w:vAlign w:val="bottom"/>
          </w:tcPr>
          <w:p>
            <w:pPr>
              <w:jc w:val="center"/>
              <w:ind w:right="339"/>
              <w:spacing w:after="0" w:line="144" w:lineRule="exact"/>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7"/>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940" w:type="dxa"/>
            <w:vAlign w:val="bottom"/>
          </w:tcPr>
          <w:p>
            <w:pPr>
              <w:jc w:val="center"/>
              <w:ind w:right="181"/>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5"/>
                <w:szCs w:val="15"/>
                <w:color w:val="auto"/>
              </w:rPr>
            </w:pPr>
          </w:p>
        </w:tc>
        <w:tc>
          <w:tcPr>
            <w:tcW w:w="92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90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5"/>
                <w:szCs w:val="15"/>
                <w:color w:val="auto"/>
              </w:rPr>
            </w:pPr>
          </w:p>
        </w:tc>
        <w:tc>
          <w:tcPr>
            <w:tcW w:w="860" w:type="dxa"/>
            <w:vAlign w:val="bottom"/>
          </w:tcPr>
          <w:p>
            <w:pPr>
              <w:jc w:val="center"/>
              <w:ind w:right="178"/>
              <w:spacing w:after="0"/>
              <w:rPr>
                <w:sz w:val="20"/>
                <w:szCs w:val="20"/>
                <w:color w:val="auto"/>
              </w:rPr>
            </w:pPr>
            <w:r>
              <w:rPr>
                <w:rFonts w:ascii="Arial" w:cs="Arial" w:eastAsia="Arial" w:hAnsi="Arial"/>
                <w:sz w:val="14"/>
                <w:szCs w:val="14"/>
                <w:b w:val="1"/>
                <w:bCs w:val="1"/>
                <w:color w:val="auto"/>
                <w:w w:val="96"/>
              </w:rPr>
              <w:t>Months</w:t>
            </w:r>
          </w:p>
        </w:tc>
        <w:tc>
          <w:tcPr>
            <w:tcW w:w="280" w:type="dxa"/>
            <w:vAlign w:val="bottom"/>
          </w:tcPr>
          <w:p>
            <w:pPr>
              <w:spacing w:after="0"/>
              <w:rPr>
                <w:sz w:val="15"/>
                <w:szCs w:val="15"/>
                <w:color w:val="auto"/>
              </w:rPr>
            </w:pPr>
          </w:p>
        </w:tc>
        <w:tc>
          <w:tcPr>
            <w:tcW w:w="1000" w:type="dxa"/>
            <w:vAlign w:val="bottom"/>
          </w:tcPr>
          <w:p>
            <w:pPr>
              <w:jc w:val="center"/>
              <w:ind w:right="339"/>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606,427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147,612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59"/>
              <w:spacing w:after="0"/>
              <w:rPr>
                <w:sz w:val="20"/>
                <w:szCs w:val="20"/>
                <w:color w:val="auto"/>
              </w:rPr>
            </w:pPr>
            <w:r>
              <w:rPr>
                <w:rFonts w:ascii="Arial" w:cs="Arial" w:eastAsia="Arial" w:hAnsi="Arial"/>
                <w:sz w:val="17"/>
                <w:szCs w:val="17"/>
                <w:color w:val="auto"/>
              </w:rPr>
              <w:t>754,039</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22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7"/>
                <w:szCs w:val="17"/>
                <w:color w:val="auto"/>
              </w:rPr>
              <w:t>1,349,916</w:t>
            </w:r>
          </w:p>
        </w:tc>
        <w:tc>
          <w:tcPr>
            <w:tcW w:w="22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7"/>
                <w:szCs w:val="17"/>
                <w:color w:val="auto"/>
              </w:rPr>
              <w:t>37,321</w:t>
            </w:r>
          </w:p>
        </w:tc>
        <w:tc>
          <w:tcPr>
            <w:tcW w:w="26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7"/>
                <w:szCs w:val="17"/>
                <w:color w:val="auto"/>
                <w:w w:val="97"/>
              </w:rPr>
              <w:t>1,387,237</w:t>
            </w:r>
          </w:p>
        </w:tc>
        <w:tc>
          <w:tcPr>
            <w:tcW w:w="1000" w:type="dxa"/>
            <w:vAlign w:val="bottom"/>
          </w:tcPr>
          <w:p>
            <w:pPr>
              <w:jc w:val="right"/>
              <w:spacing w:after="0"/>
              <w:rPr>
                <w:sz w:val="20"/>
                <w:szCs w:val="20"/>
                <w:color w:val="auto"/>
              </w:rPr>
            </w:pPr>
            <w:r>
              <w:rPr>
                <w:rFonts w:ascii="Arial" w:cs="Arial" w:eastAsia="Arial" w:hAnsi="Arial"/>
                <w:sz w:val="17"/>
                <w:szCs w:val="17"/>
                <w:color w:val="auto"/>
              </w:rPr>
              <w:t>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3,138,559</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72,784</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(7,619)</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(46,881)</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w w:val="97"/>
              </w:rPr>
              <w:t>3,156,843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5,094,902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257,717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(7,619)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(46,881)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7"/>
                <w:szCs w:val="17"/>
                <w:color w:val="auto"/>
                <w:w w:val="97"/>
              </w:rPr>
              <w:t>5,298,119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U.S. Treasury securities included in held-to-maturity securities are held in trust pursuant to the New York State Department of Financial Services’ minimum funds requirement.</w:t>
      </w:r>
    </w:p>
    <w:p>
      <w:pPr>
        <w:spacing w:after="0" w:line="170"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A summary of the amortized cost and fair value of the Company’s investments in held-to-maturity securities by contractual maturity as of June 30, 2017 and December 31, 2016 is shown below:</w:t>
      </w:r>
    </w:p>
    <w:p>
      <w:pPr>
        <w:sectPr>
          <w:pgSz w:w="11900" w:h="16838" w:orient="portrait"/>
          <w:cols w:equalWidth="0" w:num="1">
            <w:col w:w="11460"/>
          </w:cols>
          <w:pgMar w:left="240" w:top="550"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Remaining Time to Maturity</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Less than one year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One to five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Five to ten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More than 10 years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2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3"/>
          </w:tcPr>
          <w:p>
            <w:pPr>
              <w:jc w:val="right"/>
              <w:ind w:right="1237"/>
              <w:spacing w:after="0"/>
              <w:rPr>
                <w:sz w:val="20"/>
                <w:szCs w:val="20"/>
                <w:color w:val="auto"/>
              </w:rPr>
            </w:pPr>
            <w:r>
              <w:rPr>
                <w:rFonts w:ascii="Arial" w:cs="Arial" w:eastAsia="Arial" w:hAnsi="Arial"/>
                <w:sz w:val="14"/>
                <w:szCs w:val="14"/>
                <w:b w:val="1"/>
                <w:bCs w:val="1"/>
                <w:color w:val="auto"/>
              </w:rPr>
              <w:t>June 30, 2017</w:t>
            </w:r>
          </w:p>
        </w:tc>
        <w:tc>
          <w:tcPr>
            <w:tcW w:w="7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4"/>
                <w:szCs w:val="14"/>
                <w:b w:val="1"/>
                <w:bCs w:val="1"/>
                <w:color w:val="auto"/>
              </w:rPr>
              <w:t>December 31, 2016</w:t>
            </w:r>
          </w:p>
        </w:tc>
      </w:tr>
      <w:tr>
        <w:trPr>
          <w:trHeight w:val="144"/>
        </w:trPr>
        <w:tc>
          <w:tcPr>
            <w:tcW w:w="220" w:type="dxa"/>
            <w:vAlign w:val="bottom"/>
          </w:tcPr>
          <w:p>
            <w:pPr>
              <w:spacing w:after="0"/>
              <w:rPr>
                <w:sz w:val="12"/>
                <w:szCs w:val="12"/>
                <w:color w:val="auto"/>
              </w:rPr>
            </w:pPr>
          </w:p>
        </w:tc>
        <w:tc>
          <w:tcPr>
            <w:tcW w:w="940" w:type="dxa"/>
            <w:vAlign w:val="bottom"/>
          </w:tcPr>
          <w:p>
            <w:pPr>
              <w:jc w:val="right"/>
              <w:ind w:right="180"/>
              <w:spacing w:after="0" w:line="144"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jc w:val="right"/>
              <w:ind w:right="160"/>
              <w:spacing w:after="0" w:line="144"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6"/>
        </w:trPr>
        <w:tc>
          <w:tcPr>
            <w:tcW w:w="220" w:type="dxa"/>
            <w:vAlign w:val="bottom"/>
          </w:tcPr>
          <w:p>
            <w:pPr>
              <w:spacing w:after="0"/>
              <w:rPr>
                <w:sz w:val="16"/>
                <w:szCs w:val="16"/>
                <w:color w:val="auto"/>
              </w:rPr>
            </w:pPr>
          </w:p>
        </w:tc>
        <w:tc>
          <w:tcPr>
            <w:tcW w:w="940" w:type="dxa"/>
            <w:vAlign w:val="bottom"/>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1520" w:type="dxa"/>
            <w:vAlign w:val="bottom"/>
          </w:tcPr>
          <w:p>
            <w:pPr>
              <w:jc w:val="right"/>
              <w:ind w:right="777"/>
              <w:spacing w:after="0"/>
              <w:rPr>
                <w:sz w:val="20"/>
                <w:szCs w:val="20"/>
                <w:color w:val="auto"/>
              </w:rPr>
            </w:pPr>
            <w:r>
              <w:rPr>
                <w:rFonts w:ascii="Arial" w:cs="Arial" w:eastAsia="Arial" w:hAnsi="Arial"/>
                <w:sz w:val="14"/>
                <w:szCs w:val="14"/>
                <w:b w:val="1"/>
                <w:bCs w:val="1"/>
                <w:color w:val="auto"/>
                <w:w w:val="95"/>
              </w:rPr>
              <w:t>Fair Value</w:t>
            </w:r>
          </w:p>
        </w:tc>
        <w:tc>
          <w:tcPr>
            <w:tcW w:w="760" w:type="dxa"/>
            <w:vAlign w:val="bottom"/>
          </w:tcPr>
          <w:p>
            <w:pPr>
              <w:spacing w:after="0"/>
              <w:rPr>
                <w:sz w:val="16"/>
                <w:szCs w:val="16"/>
                <w:color w:val="auto"/>
              </w:rPr>
            </w:pPr>
          </w:p>
        </w:tc>
        <w:tc>
          <w:tcPr>
            <w:tcW w:w="92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w w:val="95"/>
              </w:rPr>
              <w:t>Fair Value</w:t>
            </w:r>
          </w:p>
        </w:tc>
      </w:tr>
      <w:tr>
        <w:trPr>
          <w:trHeight w:val="420"/>
        </w:trPr>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317"/>
              <w:spacing w:after="0"/>
              <w:rPr>
                <w:sz w:val="20"/>
                <w:szCs w:val="20"/>
                <w:color w:val="auto"/>
              </w:rPr>
            </w:pPr>
            <w:r>
              <w:rPr>
                <w:rFonts w:ascii="Arial" w:cs="Arial" w:eastAsia="Arial" w:hAnsi="Arial"/>
                <w:sz w:val="17"/>
                <w:szCs w:val="17"/>
                <w:color w:val="auto"/>
              </w:rPr>
              <w:t>-   $</w:t>
            </w:r>
          </w:p>
        </w:tc>
        <w:tc>
          <w:tcPr>
            <w:tcW w:w="760" w:type="dxa"/>
            <w:vAlign w:val="bottom"/>
          </w:tcPr>
          <w:p>
            <w:pPr>
              <w:ind w:left="380"/>
              <w:spacing w:after="0"/>
              <w:rPr>
                <w:sz w:val="20"/>
                <w:szCs w:val="20"/>
                <w:color w:val="auto"/>
              </w:rPr>
            </w:pPr>
            <w:r>
              <w:rPr>
                <w:rFonts w:ascii="Arial" w:cs="Arial" w:eastAsia="Arial" w:hAnsi="Arial"/>
                <w:sz w:val="17"/>
                <w:szCs w:val="17"/>
                <w:color w:val="auto"/>
              </w:rPr>
              <w:t>-   $</w:t>
            </w: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w:t>
            </w:r>
          </w:p>
        </w:tc>
      </w:tr>
      <w:tr>
        <w:trPr>
          <w:trHeight w:val="209"/>
        </w:trPr>
        <w:tc>
          <w:tcPr>
            <w:tcW w:w="22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7"/>
                <w:szCs w:val="17"/>
                <w:color w:val="auto"/>
              </w:rPr>
              <w:t>1,300,771</w:t>
            </w:r>
          </w:p>
        </w:tc>
        <w:tc>
          <w:tcPr>
            <w:tcW w:w="200" w:type="dxa"/>
            <w:vAlign w:val="bottom"/>
          </w:tcPr>
          <w:p>
            <w:pPr>
              <w:spacing w:after="0"/>
              <w:rPr>
                <w:sz w:val="18"/>
                <w:szCs w:val="18"/>
                <w:color w:val="auto"/>
              </w:rPr>
            </w:pPr>
          </w:p>
        </w:tc>
        <w:tc>
          <w:tcPr>
            <w:tcW w:w="1520" w:type="dxa"/>
            <w:vAlign w:val="bottom"/>
          </w:tcPr>
          <w:p>
            <w:pPr>
              <w:jc w:val="right"/>
              <w:ind w:right="617"/>
              <w:spacing w:after="0"/>
              <w:rPr>
                <w:sz w:val="20"/>
                <w:szCs w:val="20"/>
                <w:color w:val="auto"/>
              </w:rPr>
            </w:pPr>
            <w:r>
              <w:rPr>
                <w:rFonts w:ascii="Arial" w:cs="Arial" w:eastAsia="Arial" w:hAnsi="Arial"/>
                <w:sz w:val="17"/>
                <w:szCs w:val="17"/>
                <w:color w:val="auto"/>
              </w:rPr>
              <w:t>1,327,098</w:t>
            </w:r>
          </w:p>
        </w:tc>
        <w:tc>
          <w:tcPr>
            <w:tcW w:w="760" w:type="dxa"/>
            <w:vAlign w:val="bottom"/>
          </w:tcPr>
          <w:p>
            <w:pPr>
              <w:ind w:left="3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650,000</w:t>
            </w:r>
          </w:p>
        </w:tc>
        <w:tc>
          <w:tcPr>
            <w:tcW w:w="22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642,455</w:t>
            </w:r>
          </w:p>
        </w:tc>
      </w:tr>
      <w:tr>
        <w:trPr>
          <w:trHeight w:val="209"/>
        </w:trPr>
        <w:tc>
          <w:tcPr>
            <w:tcW w:w="220" w:type="dxa"/>
            <w:vAlign w:val="bottom"/>
          </w:tcPr>
          <w:p>
            <w:pPr>
              <w:spacing w:after="0"/>
              <w:rPr>
                <w:sz w:val="18"/>
                <w:szCs w:val="18"/>
                <w:color w:val="auto"/>
              </w:rPr>
            </w:pPr>
          </w:p>
        </w:tc>
        <w:tc>
          <w:tcPr>
            <w:tcW w:w="940" w:type="dxa"/>
            <w:vAlign w:val="bottom"/>
          </w:tcPr>
          <w:p>
            <w:pPr>
              <w:jc w:val="right"/>
              <w:ind w:right="40"/>
              <w:spacing w:after="0"/>
              <w:rPr>
                <w:sz w:val="20"/>
                <w:szCs w:val="20"/>
                <w:color w:val="auto"/>
              </w:rPr>
            </w:pPr>
            <w:r>
              <w:rPr>
                <w:rFonts w:ascii="Arial" w:cs="Arial" w:eastAsia="Arial" w:hAnsi="Arial"/>
                <w:sz w:val="17"/>
                <w:szCs w:val="17"/>
                <w:color w:val="auto"/>
              </w:rPr>
              <w:t>2,988,677</w:t>
            </w:r>
          </w:p>
        </w:tc>
        <w:tc>
          <w:tcPr>
            <w:tcW w:w="200" w:type="dxa"/>
            <w:vAlign w:val="bottom"/>
          </w:tcPr>
          <w:p>
            <w:pPr>
              <w:spacing w:after="0"/>
              <w:rPr>
                <w:sz w:val="18"/>
                <w:szCs w:val="18"/>
                <w:color w:val="auto"/>
              </w:rPr>
            </w:pPr>
          </w:p>
        </w:tc>
        <w:tc>
          <w:tcPr>
            <w:tcW w:w="1520" w:type="dxa"/>
            <w:vAlign w:val="bottom"/>
          </w:tcPr>
          <w:p>
            <w:pPr>
              <w:jc w:val="right"/>
              <w:ind w:right="617"/>
              <w:spacing w:after="0"/>
              <w:rPr>
                <w:sz w:val="20"/>
                <w:szCs w:val="20"/>
                <w:color w:val="auto"/>
              </w:rPr>
            </w:pPr>
            <w:r>
              <w:rPr>
                <w:rFonts w:ascii="Arial" w:cs="Arial" w:eastAsia="Arial" w:hAnsi="Arial"/>
                <w:sz w:val="17"/>
                <w:szCs w:val="17"/>
                <w:color w:val="auto"/>
              </w:rPr>
              <w:t>3,112,635</w:t>
            </w:r>
          </w:p>
        </w:tc>
        <w:tc>
          <w:tcPr>
            <w:tcW w:w="760" w:type="dxa"/>
            <w:vAlign w:val="bottom"/>
          </w:tcPr>
          <w:p>
            <w:pPr>
              <w:ind w:left="38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0"/>
              <w:spacing w:after="0"/>
              <w:rPr>
                <w:sz w:val="20"/>
                <w:szCs w:val="20"/>
                <w:color w:val="auto"/>
              </w:rPr>
            </w:pPr>
            <w:r>
              <w:rPr>
                <w:rFonts w:ascii="Arial" w:cs="Arial" w:eastAsia="Arial" w:hAnsi="Arial"/>
                <w:sz w:val="17"/>
                <w:szCs w:val="17"/>
                <w:color w:val="auto"/>
              </w:rPr>
              <w:t>3,838,475</w:t>
            </w:r>
          </w:p>
        </w:tc>
        <w:tc>
          <w:tcPr>
            <w:tcW w:w="22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3,901,625</w:t>
            </w:r>
          </w:p>
        </w:tc>
      </w:tr>
      <w:tr>
        <w:trPr>
          <w:trHeight w:val="224"/>
        </w:trPr>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606,446</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7"/>
              <w:spacing w:after="0"/>
              <w:rPr>
                <w:sz w:val="20"/>
                <w:szCs w:val="20"/>
                <w:color w:val="auto"/>
              </w:rPr>
            </w:pPr>
            <w:r>
              <w:rPr>
                <w:rFonts w:ascii="Arial" w:cs="Arial" w:eastAsia="Arial" w:hAnsi="Arial"/>
                <w:sz w:val="17"/>
                <w:szCs w:val="17"/>
                <w:color w:val="auto"/>
              </w:rPr>
              <w:t>754,039</w:t>
            </w: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606,427</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754,039</w:t>
            </w:r>
          </w:p>
        </w:tc>
      </w:tr>
      <w:tr>
        <w:trPr>
          <w:trHeight w:val="209"/>
        </w:trPr>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4,895,894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ind w:right="617"/>
              <w:spacing w:after="0"/>
              <w:rPr>
                <w:sz w:val="20"/>
                <w:szCs w:val="20"/>
                <w:color w:val="auto"/>
              </w:rPr>
            </w:pPr>
            <w:r>
              <w:rPr>
                <w:rFonts w:ascii="Arial" w:cs="Arial" w:eastAsia="Arial" w:hAnsi="Arial"/>
                <w:sz w:val="17"/>
                <w:szCs w:val="17"/>
                <w:color w:val="auto"/>
              </w:rPr>
              <w:t>5,193,772</w:t>
            </w:r>
          </w:p>
        </w:tc>
        <w:tc>
          <w:tcPr>
            <w:tcW w:w="760" w:type="dxa"/>
            <w:vAlign w:val="bottom"/>
            <w:tcBorders>
              <w:bottom w:val="single" w:sz="8" w:color="auto"/>
            </w:tcBorders>
          </w:tcPr>
          <w:p>
            <w:pPr>
              <w:ind w:left="660"/>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5,094,902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5,298,119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-713740</wp:posOffset>
            </wp:positionV>
            <wp:extent cx="7251065" cy="132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-447675</wp:posOffset>
            </wp:positionV>
            <wp:extent cx="7251065" cy="132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-165735</wp:posOffset>
            </wp:positionV>
            <wp:extent cx="7251065" cy="166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16637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-862965</wp:posOffset>
            </wp:positionV>
            <wp:extent cx="725106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40"/>
          </w:cols>
          <w:pgMar w:left="240" w:top="550" w:right="19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510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60"/>
          </w:cols>
          <w:pgMar w:left="240" w:top="550" w:right="199" w:bottom="1440" w:gutter="0" w:footer="0" w:header="0"/>
          <w:type w:val="continuous"/>
        </w:sectPr>
      </w:pPr>
    </w:p>
    <w:bookmarkStart w:id="59" w:name="page60"/>
    <w:bookmarkEnd w:id="59"/>
    <w:p>
      <w:pPr>
        <w:ind w:left="640"/>
        <w:spacing w:after="0"/>
        <w:rPr>
          <w:sz w:val="20"/>
          <w:szCs w:val="20"/>
          <w:color w:val="auto"/>
        </w:rPr>
      </w:pPr>
      <w:r>
        <w:rPr>
          <w:rFonts w:ascii="Arial" w:cs="Arial" w:eastAsia="Arial" w:hAnsi="Arial"/>
          <w:sz w:val="17"/>
          <w:szCs w:val="17"/>
          <w:b w:val="1"/>
          <w:bCs w:val="1"/>
          <w:i w:val="1"/>
          <w:iCs w:val="1"/>
          <w:color w:val="auto"/>
        </w:rPr>
        <w:t>Credit Rating of Fixed-Maturity Securities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table below summarizes the credit quality of our available-for-sale fixed-maturity securities as of June 30, 2017 and December 31, 2016 as rated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Standard &amp; Poor’s (or, if unavailable from Standard &amp; Poor’s, then Moody’s or Fitch):</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2"/>
          </w:tcPr>
          <w:p>
            <w:pPr>
              <w:jc w:val="right"/>
              <w:ind w:right="937"/>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5"/>
                <w:szCs w:val="15"/>
                <w:color w:val="auto"/>
              </w:rPr>
            </w:pPr>
          </w:p>
        </w:tc>
        <w:tc>
          <w:tcPr>
            <w:tcW w:w="2500" w:type="dxa"/>
            <w:vAlign w:val="bottom"/>
            <w:gridSpan w:val="3"/>
          </w:tcPr>
          <w:p>
            <w:pPr>
              <w:ind w:left="54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ind w:right="57"/>
              <w:spacing w:after="0" w:line="144" w:lineRule="exact"/>
              <w:rPr>
                <w:sz w:val="20"/>
                <w:szCs w:val="20"/>
                <w:color w:val="auto"/>
              </w:rPr>
            </w:pPr>
            <w:r>
              <w:rPr>
                <w:rFonts w:ascii="Arial" w:cs="Arial" w:eastAsia="Arial" w:hAnsi="Arial"/>
                <w:sz w:val="14"/>
                <w:szCs w:val="14"/>
                <w:b w:val="1"/>
                <w:bCs w:val="1"/>
                <w:color w:val="auto"/>
                <w:w w:val="90"/>
              </w:rPr>
              <w:t>Percentage of</w:t>
            </w: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57"/>
              <w:spacing w:after="0" w:line="144" w:lineRule="exact"/>
              <w:rPr>
                <w:sz w:val="20"/>
                <w:szCs w:val="20"/>
                <w:color w:val="auto"/>
              </w:rPr>
            </w:pPr>
            <w:r>
              <w:rPr>
                <w:rFonts w:ascii="Arial" w:cs="Arial" w:eastAsia="Arial" w:hAnsi="Arial"/>
                <w:sz w:val="14"/>
                <w:szCs w:val="14"/>
                <w:b w:val="1"/>
                <w:bCs w:val="1"/>
                <w:color w:val="auto"/>
                <w:w w:val="90"/>
              </w:rPr>
              <w:t>Percentage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277"/>
              <w:spacing w:after="0" w:line="157" w:lineRule="exact"/>
              <w:rPr>
                <w:sz w:val="20"/>
                <w:szCs w:val="20"/>
                <w:color w:val="auto"/>
              </w:rPr>
            </w:pPr>
            <w:r>
              <w:rPr>
                <w:rFonts w:ascii="Arial" w:cs="Arial" w:eastAsia="Arial" w:hAnsi="Arial"/>
                <w:sz w:val="14"/>
                <w:szCs w:val="14"/>
                <w:b w:val="1"/>
                <w:bCs w:val="1"/>
                <w:color w:val="auto"/>
              </w:rPr>
              <w:t>Fair Market</w:t>
            </w:r>
          </w:p>
        </w:tc>
        <w:tc>
          <w:tcPr>
            <w:tcW w:w="1380" w:type="dxa"/>
            <w:vAlign w:val="bottom"/>
          </w:tcPr>
          <w:p>
            <w:pPr>
              <w:jc w:val="center"/>
              <w:ind w:right="57"/>
              <w:spacing w:after="0" w:line="157" w:lineRule="exact"/>
              <w:rPr>
                <w:sz w:val="20"/>
                <w:szCs w:val="20"/>
                <w:color w:val="auto"/>
              </w:rPr>
            </w:pPr>
            <w:r>
              <w:rPr>
                <w:rFonts w:ascii="Arial" w:cs="Arial" w:eastAsia="Arial" w:hAnsi="Arial"/>
                <w:sz w:val="14"/>
                <w:szCs w:val="14"/>
                <w:b w:val="1"/>
                <w:bCs w:val="1"/>
                <w:color w:val="auto"/>
              </w:rPr>
              <w:t>Fair Market</w:t>
            </w:r>
          </w:p>
        </w:tc>
        <w:tc>
          <w:tcPr>
            <w:tcW w:w="180" w:type="dxa"/>
            <w:vAlign w:val="bottom"/>
          </w:tcPr>
          <w:p>
            <w:pPr>
              <w:spacing w:after="0"/>
              <w:rPr>
                <w:sz w:val="13"/>
                <w:szCs w:val="13"/>
                <w:color w:val="auto"/>
              </w:rPr>
            </w:pPr>
          </w:p>
        </w:tc>
        <w:tc>
          <w:tcPr>
            <w:tcW w:w="1260" w:type="dxa"/>
            <w:vAlign w:val="bottom"/>
          </w:tcPr>
          <w:p>
            <w:pPr>
              <w:jc w:val="center"/>
              <w:ind w:right="297"/>
              <w:spacing w:after="0" w:line="157" w:lineRule="exact"/>
              <w:rPr>
                <w:sz w:val="20"/>
                <w:szCs w:val="20"/>
                <w:color w:val="auto"/>
              </w:rPr>
            </w:pPr>
            <w:r>
              <w:rPr>
                <w:rFonts w:ascii="Arial" w:cs="Arial" w:eastAsia="Arial" w:hAnsi="Arial"/>
                <w:sz w:val="14"/>
                <w:szCs w:val="14"/>
                <w:b w:val="1"/>
                <w:bCs w:val="1"/>
                <w:color w:val="auto"/>
              </w:rPr>
              <w:t>Fair Market</w:t>
            </w:r>
          </w:p>
        </w:tc>
        <w:tc>
          <w:tcPr>
            <w:tcW w:w="12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0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3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5020" w:type="dxa"/>
            <w:vAlign w:val="bottom"/>
            <w:gridSpan w:val="2"/>
          </w:tcPr>
          <w:p>
            <w:pPr>
              <w:spacing w:after="0"/>
              <w:rPr>
                <w:sz w:val="20"/>
                <w:szCs w:val="20"/>
                <w:color w:val="auto"/>
              </w:rPr>
            </w:pPr>
            <w:r>
              <w:rPr>
                <w:rFonts w:ascii="Arial" w:cs="Arial" w:eastAsia="Arial" w:hAnsi="Arial"/>
                <w:sz w:val="17"/>
                <w:szCs w:val="17"/>
                <w:b w:val="1"/>
                <w:bCs w:val="1"/>
                <w:color w:val="auto"/>
              </w:rPr>
              <w:t>Rating</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and municipal bonds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7"/>
                <w:szCs w:val="17"/>
                <w:color w:val="auto"/>
              </w:rPr>
              <w:t>AAA</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1,580,507</w:t>
            </w:r>
          </w:p>
        </w:tc>
        <w:tc>
          <w:tcPr>
            <w:tcW w:w="1380" w:type="dxa"/>
            <w:vAlign w:val="bottom"/>
          </w:tcPr>
          <w:p>
            <w:pPr>
              <w:jc w:val="right"/>
              <w:spacing w:after="0"/>
              <w:rPr>
                <w:sz w:val="20"/>
                <w:szCs w:val="20"/>
                <w:color w:val="auto"/>
              </w:rPr>
            </w:pPr>
            <w:r>
              <w:rPr>
                <w:rFonts w:ascii="Arial" w:cs="Arial" w:eastAsia="Arial" w:hAnsi="Arial"/>
                <w:sz w:val="17"/>
                <w:szCs w:val="17"/>
                <w:color w:val="auto"/>
              </w:rPr>
              <w:t>1.4%</w:t>
            </w:r>
          </w:p>
        </w:tc>
        <w:tc>
          <w:tcPr>
            <w:tcW w:w="18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Arial" w:cs="Arial" w:eastAsia="Arial" w:hAnsi="Arial"/>
                <w:sz w:val="17"/>
                <w:szCs w:val="17"/>
                <w:color w:val="auto"/>
              </w:rPr>
              <w:t>1,801,106</w:t>
            </w:r>
          </w:p>
        </w:tc>
        <w:tc>
          <w:tcPr>
            <w:tcW w:w="1220" w:type="dxa"/>
            <w:vAlign w:val="bottom"/>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AA</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12,323,495</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7,236,457</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7"/>
                <w:szCs w:val="17"/>
                <w:color w:val="auto"/>
              </w:rPr>
              <w:t>A</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29,387,924</w:t>
            </w:r>
          </w:p>
        </w:tc>
        <w:tc>
          <w:tcPr>
            <w:tcW w:w="1380" w:type="dxa"/>
            <w:vAlign w:val="bottom"/>
          </w:tcPr>
          <w:p>
            <w:pPr>
              <w:jc w:val="right"/>
              <w:spacing w:after="0"/>
              <w:rPr>
                <w:sz w:val="20"/>
                <w:szCs w:val="20"/>
                <w:color w:val="auto"/>
              </w:rPr>
            </w:pPr>
            <w:r>
              <w:rPr>
                <w:rFonts w:ascii="Arial" w:cs="Arial" w:eastAsia="Arial" w:hAnsi="Arial"/>
                <w:sz w:val="17"/>
                <w:szCs w:val="17"/>
                <w:color w:val="auto"/>
              </w:rPr>
              <w:t>26.1%</w:t>
            </w:r>
          </w:p>
        </w:tc>
        <w:tc>
          <w:tcPr>
            <w:tcW w:w="18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Arial" w:cs="Arial" w:eastAsia="Arial" w:hAnsi="Arial"/>
                <w:sz w:val="17"/>
                <w:szCs w:val="17"/>
                <w:color w:val="auto"/>
              </w:rPr>
              <w:t>13,944,784</w:t>
            </w:r>
          </w:p>
        </w:tc>
        <w:tc>
          <w:tcPr>
            <w:tcW w:w="1220" w:type="dxa"/>
            <w:vAlign w:val="bottom"/>
          </w:tcPr>
          <w:p>
            <w:pPr>
              <w:jc w:val="right"/>
              <w:spacing w:after="0"/>
              <w:rPr>
                <w:sz w:val="20"/>
                <w:szCs w:val="20"/>
                <w:color w:val="auto"/>
              </w:rPr>
            </w:pPr>
            <w:r>
              <w:rPr>
                <w:rFonts w:ascii="Arial" w:cs="Arial" w:eastAsia="Arial" w:hAnsi="Arial"/>
                <w:sz w:val="17"/>
                <w:szCs w:val="17"/>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BBB</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46,552,560</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38,908,731</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7"/>
                <w:szCs w:val="17"/>
                <w:color w:val="auto"/>
              </w:rPr>
              <w:t>BB</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307,632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corporate and municipal bonds</w:t>
            </w:r>
          </w:p>
        </w:tc>
        <w:tc>
          <w:tcPr>
            <w:tcW w:w="9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90,152,118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61,891,078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mortgage and other asset backed securities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7"/>
                <w:szCs w:val="17"/>
                <w:color w:val="auto"/>
              </w:rPr>
              <w:t>AAA</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15,178,424</w:t>
            </w:r>
          </w:p>
        </w:tc>
        <w:tc>
          <w:tcPr>
            <w:tcW w:w="1380" w:type="dxa"/>
            <w:vAlign w:val="bottom"/>
          </w:tcPr>
          <w:p>
            <w:pPr>
              <w:jc w:val="right"/>
              <w:spacing w:after="0"/>
              <w:rPr>
                <w:sz w:val="20"/>
                <w:szCs w:val="20"/>
                <w:color w:val="auto"/>
              </w:rPr>
            </w:pPr>
            <w:r>
              <w:rPr>
                <w:rFonts w:ascii="Arial" w:cs="Arial" w:eastAsia="Arial" w:hAnsi="Arial"/>
                <w:sz w:val="17"/>
                <w:szCs w:val="17"/>
                <w:color w:val="auto"/>
              </w:rPr>
              <w:t>13.5%</w:t>
            </w:r>
          </w:p>
        </w:tc>
        <w:tc>
          <w:tcPr>
            <w:tcW w:w="18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AA</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14,143,828</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7"/>
                <w:szCs w:val="17"/>
                <w:color w:val="auto"/>
              </w:rPr>
              <w:t>A</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3,168,034</w:t>
            </w:r>
          </w:p>
        </w:tc>
        <w:tc>
          <w:tcPr>
            <w:tcW w:w="1380" w:type="dxa"/>
            <w:vAlign w:val="bottom"/>
          </w:tcPr>
          <w:p>
            <w:pPr>
              <w:jc w:val="right"/>
              <w:spacing w:after="0"/>
              <w:rPr>
                <w:sz w:val="20"/>
                <w:szCs w:val="20"/>
                <w:color w:val="auto"/>
              </w:rPr>
            </w:pPr>
            <w:r>
              <w:rPr>
                <w:rFonts w:ascii="Arial" w:cs="Arial" w:eastAsia="Arial" w:hAnsi="Arial"/>
                <w:sz w:val="17"/>
                <w:szCs w:val="17"/>
                <w:color w:val="auto"/>
              </w:rPr>
              <w:t>2.8%</w:t>
            </w:r>
          </w:p>
        </w:tc>
        <w:tc>
          <w:tcPr>
            <w:tcW w:w="18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Arial" w:cs="Arial" w:eastAsia="Arial" w:hAnsi="Arial"/>
                <w:sz w:val="17"/>
                <w:szCs w:val="17"/>
                <w:color w:val="auto"/>
              </w:rPr>
              <w:t>173,973</w:t>
            </w:r>
          </w:p>
        </w:tc>
        <w:tc>
          <w:tcPr>
            <w:tcW w:w="1220" w:type="dxa"/>
            <w:vAlign w:val="bottom"/>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CCC</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2,687,007</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513,369</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7"/>
                <w:szCs w:val="17"/>
                <w:color w:val="auto"/>
              </w:rPr>
              <w:t>CC</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133,549</w:t>
            </w:r>
          </w:p>
        </w:tc>
        <w:tc>
          <w:tcPr>
            <w:tcW w:w="1380" w:type="dxa"/>
            <w:vAlign w:val="bottom"/>
          </w:tcPr>
          <w:p>
            <w:pPr>
              <w:jc w:val="right"/>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112,136</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7"/>
                <w:szCs w:val="17"/>
                <w:color w:val="auto"/>
              </w:rPr>
              <w:t>D</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7"/>
              <w:spacing w:after="0"/>
              <w:rPr>
                <w:sz w:val="20"/>
                <w:szCs w:val="20"/>
                <w:color w:val="auto"/>
              </w:rPr>
            </w:pPr>
            <w:r>
              <w:rPr>
                <w:rFonts w:ascii="Arial" w:cs="Arial" w:eastAsia="Arial" w:hAnsi="Arial"/>
                <w:sz w:val="17"/>
                <w:szCs w:val="17"/>
                <w:color w:val="auto"/>
              </w:rPr>
              <w:t>707,112</w:t>
            </w:r>
          </w:p>
        </w:tc>
        <w:tc>
          <w:tcPr>
            <w:tcW w:w="1380" w:type="dxa"/>
            <w:vAlign w:val="bottom"/>
          </w:tcPr>
          <w:p>
            <w:pPr>
              <w:jc w:val="right"/>
              <w:spacing w:after="0"/>
              <w:rPr>
                <w:sz w:val="20"/>
                <w:szCs w:val="20"/>
                <w:color w:val="auto"/>
              </w:rPr>
            </w:pPr>
            <w:r>
              <w:rPr>
                <w:rFonts w:ascii="Arial" w:cs="Arial" w:eastAsia="Arial" w:hAnsi="Arial"/>
                <w:sz w:val="17"/>
                <w:szCs w:val="17"/>
                <w:color w:val="auto"/>
              </w:rPr>
              <w:t>0.6%</w:t>
            </w:r>
          </w:p>
        </w:tc>
        <w:tc>
          <w:tcPr>
            <w:tcW w:w="180" w:type="dxa"/>
            <w:vAlign w:val="bottom"/>
          </w:tcPr>
          <w:p>
            <w:pPr>
              <w:spacing w:after="0"/>
              <w:rPr>
                <w:sz w:val="18"/>
                <w:szCs w:val="18"/>
                <w:color w:val="auto"/>
              </w:rPr>
            </w:pPr>
          </w:p>
        </w:tc>
        <w:tc>
          <w:tcPr>
            <w:tcW w:w="1260" w:type="dxa"/>
            <w:vAlign w:val="bottom"/>
          </w:tcPr>
          <w:p>
            <w:pPr>
              <w:jc w:val="right"/>
              <w:ind w:right="197"/>
              <w:spacing w:after="0"/>
              <w:rPr>
                <w:sz w:val="20"/>
                <w:szCs w:val="20"/>
                <w:color w:val="auto"/>
              </w:rPr>
            </w:pPr>
            <w:r>
              <w:rPr>
                <w:rFonts w:ascii="Arial" w:cs="Arial" w:eastAsia="Arial" w:hAnsi="Arial"/>
                <w:sz w:val="17"/>
                <w:szCs w:val="17"/>
                <w:color w:val="auto"/>
              </w:rPr>
              <w:t>3,594,444</w:t>
            </w:r>
          </w:p>
        </w:tc>
        <w:tc>
          <w:tcPr>
            <w:tcW w:w="1220" w:type="dxa"/>
            <w:vAlign w:val="bottom"/>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Not rated</w:t>
            </w:r>
          </w:p>
        </w:tc>
        <w:tc>
          <w:tcPr>
            <w:tcW w:w="9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397,267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7"/>
                <w:szCs w:val="17"/>
                <w:color w:val="auto"/>
              </w:rPr>
              <w:t>Total residential mortgage and other asset backed securities</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22,271,393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18,537,750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7"/>
                <w:szCs w:val="17"/>
                <w:b w:val="1"/>
                <w:bCs w:val="1"/>
                <w:color w:val="auto"/>
              </w:rPr>
              <w:t>Total</w:t>
            </w:r>
          </w:p>
        </w:tc>
        <w:tc>
          <w:tcPr>
            <w:tcW w:w="92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112,423,511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80,428,828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4260" w:type="dxa"/>
            <w:vAlign w:val="bottom"/>
            <w:tcBorders>
              <w:bottom w:val="single" w:sz="8" w:color="auto"/>
            </w:tcBorders>
            <w:gridSpan w:val="5"/>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20" w:type="dxa"/>
            <w:vAlign w:val="bottom"/>
          </w:tcPr>
          <w:p>
            <w:pPr>
              <w:spacing w:after="0"/>
              <w:rPr>
                <w:sz w:val="24"/>
                <w:szCs w:val="24"/>
                <w:color w:val="auto"/>
              </w:rPr>
            </w:pPr>
          </w:p>
        </w:tc>
        <w:tc>
          <w:tcPr>
            <w:tcW w:w="10180" w:type="dxa"/>
            <w:vAlign w:val="bottom"/>
            <w:gridSpan w:val="7"/>
          </w:tcPr>
          <w:p>
            <w:pPr>
              <w:jc w:val="right"/>
              <w:ind w:right="917"/>
              <w:spacing w:after="0"/>
              <w:rPr>
                <w:sz w:val="20"/>
                <w:szCs w:val="20"/>
                <w:color w:val="auto"/>
              </w:rPr>
            </w:pPr>
            <w:r>
              <w:rPr>
                <w:rFonts w:ascii="Arial" w:cs="Arial" w:eastAsia="Arial" w:hAnsi="Arial"/>
                <w:sz w:val="17"/>
                <w:szCs w:val="17"/>
                <w:color w:val="auto"/>
                <w:w w:val="96"/>
              </w:rPr>
              <w:t>The table below summarizes the average yield by type of fixed-maturity security as of June 30, 2017 and December 31, 2016:</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7"/>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Category</w:t>
            </w: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92"/>
              </w:rPr>
              <w:t>June 30, 2017</w:t>
            </w: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020" w:type="dxa"/>
            <w:vAlign w:val="bottom"/>
            <w:gridSpan w:val="2"/>
          </w:tcPr>
          <w:p>
            <w:pPr>
              <w:spacing w:after="0"/>
              <w:rPr>
                <w:sz w:val="20"/>
                <w:szCs w:val="20"/>
                <w:color w:val="auto"/>
              </w:rPr>
            </w:pPr>
            <w:r>
              <w:rPr>
                <w:rFonts w:ascii="Arial" w:cs="Arial" w:eastAsia="Arial" w:hAnsi="Arial"/>
                <w:sz w:val="17"/>
                <w:szCs w:val="17"/>
                <w:color w:val="auto"/>
              </w:rPr>
              <w:t>U.S. Treasury securities and</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7"/>
                <w:szCs w:val="17"/>
                <w:color w:val="auto"/>
              </w:rPr>
              <w:t>obligations of U.S. government</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corporations and agencies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3.44%</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7"/>
                <w:szCs w:val="17"/>
                <w:color w:val="auto"/>
              </w:rPr>
              <w:t>Territories and Possessions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57"/>
              <w:spacing w:after="0"/>
              <w:rPr>
                <w:sz w:val="20"/>
                <w:szCs w:val="20"/>
                <w:color w:val="auto"/>
              </w:rPr>
            </w:pPr>
            <w:r>
              <w:rPr>
                <w:rFonts w:ascii="Arial" w:cs="Arial" w:eastAsia="Arial" w:hAnsi="Arial"/>
                <w:sz w:val="17"/>
                <w:szCs w:val="17"/>
                <w:color w:val="auto"/>
              </w:rPr>
              <w:t>2.57%</w:t>
            </w:r>
          </w:p>
        </w:tc>
        <w:tc>
          <w:tcPr>
            <w:tcW w:w="1220" w:type="dxa"/>
            <w:vAlign w:val="bottom"/>
          </w:tcPr>
          <w:p>
            <w:pPr>
              <w:jc w:val="right"/>
              <w:spacing w:after="0"/>
              <w:rPr>
                <w:sz w:val="20"/>
                <w:szCs w:val="20"/>
                <w:color w:val="auto"/>
              </w:rPr>
            </w:pPr>
            <w:r>
              <w:rPr>
                <w:rFonts w:ascii="Arial" w:cs="Arial" w:eastAsia="Arial" w:hAnsi="Arial"/>
                <w:sz w:val="17"/>
                <w:szCs w:val="17"/>
                <w:color w:val="auto"/>
              </w:rPr>
              <w:t>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Industrial and miscellaneous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4.12%</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 and other asset backed securities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2.81%</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3.69%</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5"/>
              <w:spacing w:after="0"/>
              <w:rPr>
                <w:sz w:val="20"/>
                <w:szCs w:val="20"/>
                <w:color w:val="auto"/>
              </w:rPr>
            </w:pPr>
            <w:r>
              <w:rPr>
                <w:rFonts w:ascii="Arial" w:cs="Arial" w:eastAsia="Arial" w:hAnsi="Arial"/>
                <w:sz w:val="13"/>
                <w:szCs w:val="13"/>
                <w:color w:val="auto"/>
              </w:rPr>
              <w:t>58</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0" w:right="239" w:bottom="1440" w:gutter="0" w:footer="0" w:header="0"/>
        </w:sectPr>
      </w:pPr>
    </w:p>
    <w:bookmarkStart w:id="60" w:name="page61"/>
    <w:bookmarkEnd w:id="60"/>
    <w:p>
      <w:pPr>
        <w:ind w:left="640"/>
        <w:spacing w:after="0"/>
        <w:rPr>
          <w:sz w:val="20"/>
          <w:szCs w:val="20"/>
          <w:color w:val="auto"/>
        </w:rPr>
      </w:pPr>
      <w:r>
        <w:rPr>
          <w:rFonts w:ascii="Arial" w:cs="Arial" w:eastAsia="Arial" w:hAnsi="Arial"/>
          <w:sz w:val="15"/>
          <w:szCs w:val="15"/>
          <w:color w:val="auto"/>
        </w:rPr>
        <w:t>The table below lists the weighted average maturity and effective duration in years on our fixed-maturity securities as of June 30, 2017 and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0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0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June 30, 2017</w:t>
            </w:r>
          </w:p>
        </w:tc>
        <w:tc>
          <w:tcPr>
            <w:tcW w:w="13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effective maturity</w:t>
            </w:r>
          </w:p>
        </w:tc>
        <w:tc>
          <w:tcPr>
            <w:tcW w:w="44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5.7</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final maturity</w:t>
            </w:r>
          </w:p>
        </w:tc>
        <w:tc>
          <w:tcPr>
            <w:tcW w:w="44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8.1</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Effective duration</w:t>
            </w:r>
          </w:p>
        </w:tc>
        <w:tc>
          <w:tcPr>
            <w:tcW w:w="44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4.9</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Fair Value Consideration</w:t>
      </w:r>
    </w:p>
    <w:p>
      <w:pPr>
        <w:spacing w:after="0" w:line="158" w:lineRule="exact"/>
        <w:rPr>
          <w:sz w:val="20"/>
          <w:szCs w:val="20"/>
          <w:color w:val="auto"/>
        </w:rPr>
      </w:pPr>
    </w:p>
    <w:p>
      <w:pPr>
        <w:jc w:val="both"/>
        <w:ind w:firstLine="628"/>
        <w:spacing w:after="0" w:line="299" w:lineRule="auto"/>
        <w:rPr>
          <w:sz w:val="20"/>
          <w:szCs w:val="20"/>
          <w:color w:val="auto"/>
        </w:rPr>
      </w:pPr>
      <w:r>
        <w:rPr>
          <w:rFonts w:ascii="Arial" w:cs="Arial" w:eastAsia="Arial" w:hAnsi="Arial"/>
          <w:sz w:val="15"/>
          <w:szCs w:val="15"/>
          <w:color w:val="auto"/>
        </w:rPr>
        <w:t>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June 30, 2017 and December 31, 2016, 68% and 65%, respectively, of the investment portfolio recorded at fair value was priced based upon quoted market prices.</w:t>
      </w:r>
    </w:p>
    <w:p>
      <w:pPr>
        <w:spacing w:after="0" w:line="99" w:lineRule="exact"/>
        <w:rPr>
          <w:sz w:val="20"/>
          <w:szCs w:val="20"/>
          <w:color w:val="auto"/>
        </w:rPr>
      </w:pPr>
    </w:p>
    <w:p>
      <w:pPr>
        <w:jc w:val="both"/>
        <w:ind w:firstLine="628"/>
        <w:spacing w:after="0" w:line="261" w:lineRule="auto"/>
        <w:rPr>
          <w:sz w:val="20"/>
          <w:szCs w:val="20"/>
          <w:color w:val="auto"/>
        </w:rPr>
      </w:pPr>
      <w:r>
        <w:rPr>
          <w:rFonts w:ascii="Arial" w:cs="Arial" w:eastAsia="Arial" w:hAnsi="Arial"/>
          <w:sz w:val="17"/>
          <w:szCs w:val="17"/>
          <w:color w:val="auto"/>
        </w:rPr>
        <w:t>As more fully described in Note 3 to our Condensed Consolidated Financial Statements, “Investments—Impairment Review,” we completed a detailed review of all our securities in a continuous loss position as of June 30, 2017 and December 31, 2016. As of June 30, 2017 our held-to-maturity debt securities included an investment in one bond issued by the Commonwealth of Puerto Rico (“PR”). In July 2016, PR defaulted on its interest payment to bondholders. Due to the credit deterioration of PR, we recorded a credit loss component of other-than-temporary impairment (“OTTI”) on this investment as of June 30, 2016. As of December 31, 2016, the full amount of the write-down was recognized as a credit component of OTTI in the amount of $69,911. We concluded that the other unrealized losses in these asset classes are temporary in nature and the result of a decrease in value due to technical spread widening and broader market sentiment, rather than fundamental collateral deterioration.</w:t>
      </w:r>
    </w:p>
    <w:p>
      <w:pPr>
        <w:spacing w:after="0" w:line="121" w:lineRule="exact"/>
        <w:rPr>
          <w:sz w:val="20"/>
          <w:szCs w:val="20"/>
          <w:color w:val="auto"/>
        </w:rPr>
      </w:pPr>
    </w:p>
    <w:p>
      <w:pPr>
        <w:ind w:right="120" w:firstLine="628"/>
        <w:spacing w:after="0" w:line="281" w:lineRule="auto"/>
        <w:rPr>
          <w:sz w:val="20"/>
          <w:szCs w:val="20"/>
          <w:color w:val="auto"/>
        </w:rPr>
      </w:pPr>
      <w:r>
        <w:rPr>
          <w:rFonts w:ascii="Arial" w:cs="Arial" w:eastAsia="Arial" w:hAnsi="Arial"/>
          <w:sz w:val="17"/>
          <w:szCs w:val="17"/>
          <w:color w:val="auto"/>
        </w:rPr>
        <w:t>The table below summarizes the gross unrealized losses of our fixed-maturity securities available-for-sale and equity securities by length of time the security has continuously been in an unrealized loss position as of June 30, 2017 and December 31, 2016:</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798"/>
              <w:spacing w:after="0"/>
              <w:rPr>
                <w:sz w:val="20"/>
                <w:szCs w:val="20"/>
                <w:color w:val="auto"/>
              </w:rPr>
            </w:pPr>
            <w:r>
              <w:rPr>
                <w:rFonts w:ascii="Arial" w:cs="Arial" w:eastAsia="Arial" w:hAnsi="Arial"/>
                <w:sz w:val="14"/>
                <w:szCs w:val="14"/>
                <w:b w:val="1"/>
                <w:bCs w:val="1"/>
                <w:color w:val="auto"/>
              </w:rPr>
              <w:t>June 30, 2017</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18"/>
              <w:spacing w:after="0" w:line="157" w:lineRule="exact"/>
              <w:rPr>
                <w:sz w:val="20"/>
                <w:szCs w:val="20"/>
                <w:color w:val="auto"/>
              </w:rPr>
            </w:pPr>
            <w:r>
              <w:rPr>
                <w:rFonts w:ascii="Arial" w:cs="Arial" w:eastAsia="Arial" w:hAnsi="Arial"/>
                <w:sz w:val="14"/>
                <w:szCs w:val="14"/>
                <w:b w:val="1"/>
                <w:bCs w:val="1"/>
                <w:color w:val="auto"/>
                <w:w w:val="90"/>
              </w:rPr>
              <w:t>Less than 12 months</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No. of</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jc w:val="center"/>
              <w:ind w:right="59"/>
              <w:spacing w:after="0" w:line="144" w:lineRule="exact"/>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2"/>
                <w:szCs w:val="12"/>
                <w:color w:val="auto"/>
              </w:rPr>
            </w:pPr>
          </w:p>
        </w:tc>
        <w:tc>
          <w:tcPr>
            <w:tcW w:w="900" w:type="dxa"/>
            <w:vAlign w:val="bottom"/>
          </w:tcPr>
          <w:p>
            <w:pPr>
              <w:jc w:val="center"/>
              <w:ind w:right="139"/>
              <w:spacing w:after="0" w:line="144"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278"/>
              <w:spacing w:after="0" w:line="157"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00" w:type="dxa"/>
            <w:vAlign w:val="bottom"/>
          </w:tcPr>
          <w:p>
            <w:pPr>
              <w:jc w:val="center"/>
              <w:ind w:right="298"/>
              <w:spacing w:after="0" w:line="157" w:lineRule="exact"/>
              <w:rPr>
                <w:sz w:val="20"/>
                <w:szCs w:val="20"/>
                <w:color w:val="auto"/>
              </w:rPr>
            </w:pPr>
            <w:r>
              <w:rPr>
                <w:rFonts w:ascii="Arial" w:cs="Arial" w:eastAsia="Arial" w:hAnsi="Arial"/>
                <w:sz w:val="14"/>
                <w:szCs w:val="14"/>
                <w:b w:val="1"/>
                <w:bCs w:val="1"/>
                <w:color w:val="auto"/>
                <w:w w:val="95"/>
              </w:rPr>
              <w:t>Unrealized</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360" w:type="dxa"/>
            <w:vAlign w:val="bottom"/>
          </w:tcPr>
          <w:p>
            <w:pPr>
              <w:spacing w:after="0"/>
              <w:rPr>
                <w:sz w:val="13"/>
                <w:szCs w:val="13"/>
                <w:color w:val="auto"/>
              </w:rPr>
            </w:pPr>
          </w:p>
        </w:tc>
        <w:tc>
          <w:tcPr>
            <w:tcW w:w="800" w:type="dxa"/>
            <w:vAlign w:val="bottom"/>
          </w:tcPr>
          <w:p>
            <w:pPr>
              <w:jc w:val="right"/>
              <w:ind w:right="279"/>
              <w:spacing w:after="0" w:line="15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080" w:type="dxa"/>
            <w:vAlign w:val="bottom"/>
          </w:tcPr>
          <w:p>
            <w:pPr>
              <w:jc w:val="center"/>
              <w:ind w:right="278"/>
              <w:spacing w:after="0" w:line="157"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59"/>
              <w:spacing w:after="0" w:line="157" w:lineRule="exact"/>
              <w:rPr>
                <w:sz w:val="20"/>
                <w:szCs w:val="20"/>
                <w:color w:val="auto"/>
              </w:rPr>
            </w:pPr>
            <w:r>
              <w:rPr>
                <w:rFonts w:ascii="Arial" w:cs="Arial" w:eastAsia="Arial" w:hAnsi="Arial"/>
                <w:sz w:val="14"/>
                <w:szCs w:val="14"/>
                <w:b w:val="1"/>
                <w:bCs w:val="1"/>
                <w:color w:val="auto"/>
                <w:w w:val="88"/>
              </w:rPr>
              <w:t>Positions</w:t>
            </w:r>
          </w:p>
        </w:tc>
        <w:tc>
          <w:tcPr>
            <w:tcW w:w="240" w:type="dxa"/>
            <w:vAlign w:val="bottom"/>
          </w:tcPr>
          <w:p>
            <w:pPr>
              <w:spacing w:after="0"/>
              <w:rPr>
                <w:sz w:val="13"/>
                <w:szCs w:val="13"/>
                <w:color w:val="auto"/>
              </w:rPr>
            </w:pPr>
          </w:p>
        </w:tc>
        <w:tc>
          <w:tcPr>
            <w:tcW w:w="900" w:type="dxa"/>
            <w:vAlign w:val="bottom"/>
          </w:tcPr>
          <w:p>
            <w:pPr>
              <w:jc w:val="center"/>
              <w:ind w:right="159"/>
              <w:spacing w:after="0" w:line="15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920" w:type="dxa"/>
            <w:vAlign w:val="bottom"/>
          </w:tcPr>
          <w:p>
            <w:pPr>
              <w:jc w:val="right"/>
              <w:ind w:right="158"/>
              <w:spacing w:after="0" w:line="157"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7"/>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98"/>
              <w:spacing w:after="0"/>
              <w:rPr>
                <w:sz w:val="20"/>
                <w:szCs w:val="20"/>
                <w:color w:val="auto"/>
              </w:rPr>
            </w:pPr>
            <w:r>
              <w:rPr>
                <w:rFonts w:ascii="Arial" w:cs="Arial" w:eastAsia="Arial" w:hAnsi="Arial"/>
                <w:sz w:val="14"/>
                <w:szCs w:val="14"/>
                <w:b w:val="1"/>
                <w:bCs w:val="1"/>
                <w:color w:val="auto"/>
                <w:w w:val="82"/>
              </w:rPr>
              <w:t>Losses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Held</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10"/>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00" w:type="dxa"/>
            <w:vAlign w:val="bottom"/>
            <w:gridSpan w:val="2"/>
          </w:tcPr>
          <w:p>
            <w:pPr>
              <w:spacing w:after="0"/>
              <w:rPr>
                <w:sz w:val="20"/>
                <w:szCs w:val="20"/>
                <w:color w:val="auto"/>
              </w:rPr>
            </w:pPr>
            <w:r>
              <w:rPr>
                <w:rFonts w:ascii="Arial" w:cs="Arial" w:eastAsia="Arial" w:hAnsi="Arial"/>
                <w:sz w:val="17"/>
                <w:szCs w:val="17"/>
                <w:color w:val="auto"/>
              </w:rPr>
              <w:t>Political subdivisions of</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7"/>
                <w:szCs w:val="17"/>
                <w:color w:val="auto"/>
              </w:rPr>
              <w:t>States, Territories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Possessions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4,767,571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(40,955)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307,632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(23,057)</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5,075,203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(64,012)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bonds industrial and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16,347,328</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(371,550)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(5,946)</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91"/>
              </w:rPr>
              <w:t>16,587,328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(377,496)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w w:val="95"/>
              </w:rPr>
              <w:t>Residential mortgage and other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asset backed securities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15,639,089</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(190,684)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168,088</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(23,946)</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3</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w w:val="91"/>
              </w:rPr>
              <w:t>15,807,177</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(214,630)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Total fixed-maturity</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36,753,988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(603,189)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715,720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(52,949)</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1"/>
              </w:rPr>
              <w:t>37,469,708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(656,138)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Securities: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Preferred stocks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3,033,150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8"/>
              <w:spacing w:after="0"/>
              <w:rPr>
                <w:sz w:val="20"/>
                <w:szCs w:val="20"/>
                <w:color w:val="auto"/>
              </w:rPr>
            </w:pPr>
            <w:r>
              <w:rPr>
                <w:rFonts w:ascii="Arial" w:cs="Arial" w:eastAsia="Arial" w:hAnsi="Arial"/>
                <w:sz w:val="17"/>
                <w:szCs w:val="17"/>
                <w:color w:val="auto"/>
              </w:rPr>
              <w:t>(77,538)</w:t>
            </w:r>
          </w:p>
        </w:tc>
        <w:tc>
          <w:tcPr>
            <w:tcW w:w="880" w:type="dxa"/>
            <w:vAlign w:val="bottom"/>
          </w:tcPr>
          <w:p>
            <w:pPr>
              <w:jc w:val="right"/>
              <w:spacing w:after="0"/>
              <w:rPr>
                <w:sz w:val="20"/>
                <w:szCs w:val="20"/>
                <w:color w:val="auto"/>
              </w:rPr>
            </w:pPr>
            <w:r>
              <w:rPr>
                <w:rFonts w:ascii="Arial" w:cs="Arial" w:eastAsia="Arial" w:hAnsi="Arial"/>
                <w:sz w:val="17"/>
                <w:szCs w:val="17"/>
                <w:color w:val="auto"/>
              </w:rPr>
              <w:t>7</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7"/>
              </w:rPr>
              <w:t>1,158,400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8"/>
              <w:spacing w:after="0"/>
              <w:rPr>
                <w:sz w:val="20"/>
                <w:szCs w:val="20"/>
                <w:color w:val="auto"/>
              </w:rPr>
            </w:pPr>
            <w:r>
              <w:rPr>
                <w:rFonts w:ascii="Arial" w:cs="Arial" w:eastAsia="Arial" w:hAnsi="Arial"/>
                <w:sz w:val="17"/>
                <w:szCs w:val="17"/>
                <w:color w:val="auto"/>
              </w:rPr>
              <w:t>(88,073)</w:t>
            </w: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4,191,550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(165,611)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stocks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725,031</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(10,131)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279,750</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(78,668)</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1,004,781</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(88,799)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equity securities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3,758,181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(87,669)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1,438,150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(166,741)</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5,196,331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(254,410)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vMerge w:val="continue"/>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40,512,169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(690,858)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2,153,870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(219,690)</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1"/>
              </w:rPr>
              <w:t>42,666,039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(910,548)</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color w:val="auto"/>
                <w:w w:val="82"/>
              </w:rPr>
              <w:t>60</w:t>
            </w: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5"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638"/>
              <w:spacing w:after="0"/>
              <w:rPr>
                <w:sz w:val="20"/>
                <w:szCs w:val="20"/>
                <w:color w:val="auto"/>
              </w:rPr>
            </w:pPr>
            <w:r>
              <w:rPr>
                <w:rFonts w:ascii="Arial" w:cs="Arial" w:eastAsia="Arial" w:hAnsi="Arial"/>
                <w:sz w:val="14"/>
                <w:szCs w:val="14"/>
                <w:b w:val="1"/>
                <w:bCs w:val="1"/>
                <w:color w:val="auto"/>
              </w:rPr>
              <w:t>December 31, 2016</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18"/>
              <w:spacing w:after="0" w:line="157" w:lineRule="exact"/>
              <w:rPr>
                <w:sz w:val="20"/>
                <w:szCs w:val="20"/>
                <w:color w:val="auto"/>
              </w:rPr>
            </w:pPr>
            <w:r>
              <w:rPr>
                <w:rFonts w:ascii="Arial" w:cs="Arial" w:eastAsia="Arial" w:hAnsi="Arial"/>
                <w:sz w:val="14"/>
                <w:szCs w:val="14"/>
                <w:b w:val="1"/>
                <w:bCs w:val="1"/>
                <w:color w:val="auto"/>
                <w:w w:val="90"/>
              </w:rPr>
              <w:t>Less than 12 months</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No. of</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jc w:val="center"/>
              <w:ind w:right="59"/>
              <w:spacing w:after="0" w:line="144" w:lineRule="exact"/>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2"/>
                <w:szCs w:val="12"/>
                <w:color w:val="auto"/>
              </w:rPr>
            </w:pPr>
          </w:p>
        </w:tc>
        <w:tc>
          <w:tcPr>
            <w:tcW w:w="900" w:type="dxa"/>
            <w:vAlign w:val="bottom"/>
          </w:tcPr>
          <w:p>
            <w:pPr>
              <w:jc w:val="center"/>
              <w:ind w:right="139"/>
              <w:spacing w:after="0" w:line="144"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278"/>
              <w:spacing w:after="0" w:line="157"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00" w:type="dxa"/>
            <w:vAlign w:val="bottom"/>
          </w:tcPr>
          <w:p>
            <w:pPr>
              <w:jc w:val="center"/>
              <w:ind w:right="298"/>
              <w:spacing w:after="0" w:line="157" w:lineRule="exact"/>
              <w:rPr>
                <w:sz w:val="20"/>
                <w:szCs w:val="20"/>
                <w:color w:val="auto"/>
              </w:rPr>
            </w:pPr>
            <w:r>
              <w:rPr>
                <w:rFonts w:ascii="Arial" w:cs="Arial" w:eastAsia="Arial" w:hAnsi="Arial"/>
                <w:sz w:val="14"/>
                <w:szCs w:val="14"/>
                <w:b w:val="1"/>
                <w:bCs w:val="1"/>
                <w:color w:val="auto"/>
                <w:w w:val="95"/>
              </w:rPr>
              <w:t>Unrealized</w:t>
            </w:r>
          </w:p>
        </w:tc>
        <w:tc>
          <w:tcPr>
            <w:tcW w:w="8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360" w:type="dxa"/>
            <w:vAlign w:val="bottom"/>
          </w:tcPr>
          <w:p>
            <w:pPr>
              <w:spacing w:after="0"/>
              <w:rPr>
                <w:sz w:val="13"/>
                <w:szCs w:val="13"/>
                <w:color w:val="auto"/>
              </w:rPr>
            </w:pPr>
          </w:p>
        </w:tc>
        <w:tc>
          <w:tcPr>
            <w:tcW w:w="800" w:type="dxa"/>
            <w:vAlign w:val="bottom"/>
          </w:tcPr>
          <w:p>
            <w:pPr>
              <w:jc w:val="right"/>
              <w:ind w:right="279"/>
              <w:spacing w:after="0" w:line="15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080" w:type="dxa"/>
            <w:vAlign w:val="bottom"/>
          </w:tcPr>
          <w:p>
            <w:pPr>
              <w:jc w:val="center"/>
              <w:ind w:right="278"/>
              <w:spacing w:after="0" w:line="157"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tcPr>
          <w:p>
            <w:pPr>
              <w:jc w:val="center"/>
              <w:ind w:right="59"/>
              <w:spacing w:after="0" w:line="157" w:lineRule="exact"/>
              <w:rPr>
                <w:sz w:val="20"/>
                <w:szCs w:val="20"/>
                <w:color w:val="auto"/>
              </w:rPr>
            </w:pPr>
            <w:r>
              <w:rPr>
                <w:rFonts w:ascii="Arial" w:cs="Arial" w:eastAsia="Arial" w:hAnsi="Arial"/>
                <w:sz w:val="14"/>
                <w:szCs w:val="14"/>
                <w:b w:val="1"/>
                <w:bCs w:val="1"/>
                <w:color w:val="auto"/>
                <w:w w:val="88"/>
              </w:rPr>
              <w:t>Positions</w:t>
            </w:r>
          </w:p>
        </w:tc>
        <w:tc>
          <w:tcPr>
            <w:tcW w:w="240" w:type="dxa"/>
            <w:vAlign w:val="bottom"/>
          </w:tcPr>
          <w:p>
            <w:pPr>
              <w:spacing w:after="0"/>
              <w:rPr>
                <w:sz w:val="13"/>
                <w:szCs w:val="13"/>
                <w:color w:val="auto"/>
              </w:rPr>
            </w:pPr>
          </w:p>
        </w:tc>
        <w:tc>
          <w:tcPr>
            <w:tcW w:w="900" w:type="dxa"/>
            <w:vAlign w:val="bottom"/>
          </w:tcPr>
          <w:p>
            <w:pPr>
              <w:jc w:val="center"/>
              <w:ind w:right="159"/>
              <w:spacing w:after="0" w:line="15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920" w:type="dxa"/>
            <w:vAlign w:val="bottom"/>
          </w:tcPr>
          <w:p>
            <w:pPr>
              <w:jc w:val="right"/>
              <w:ind w:right="158"/>
              <w:spacing w:after="0" w:line="157"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7"/>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Category</w:t>
            </w:r>
          </w:p>
        </w:tc>
        <w:tc>
          <w:tcPr>
            <w:tcW w:w="220" w:type="dxa"/>
            <w:vAlign w:val="bottom"/>
          </w:tcPr>
          <w:p>
            <w:pPr>
              <w:spacing w:after="0"/>
              <w:rPr>
                <w:sz w:val="15"/>
                <w:szCs w:val="15"/>
                <w:color w:val="auto"/>
              </w:rPr>
            </w:pPr>
          </w:p>
        </w:tc>
        <w:tc>
          <w:tcPr>
            <w:tcW w:w="840" w:type="dxa"/>
            <w:vAlign w:val="bottom"/>
          </w:tcPr>
          <w:p>
            <w:pPr>
              <w:jc w:val="right"/>
              <w:ind w:right="238"/>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5"/>
                <w:szCs w:val="15"/>
                <w:color w:val="auto"/>
              </w:rPr>
            </w:pPr>
          </w:p>
        </w:tc>
        <w:tc>
          <w:tcPr>
            <w:tcW w:w="1100" w:type="dxa"/>
            <w:vAlign w:val="bottom"/>
          </w:tcPr>
          <w:p>
            <w:pPr>
              <w:jc w:val="center"/>
              <w:ind w:right="298"/>
              <w:spacing w:after="0"/>
              <w:rPr>
                <w:sz w:val="20"/>
                <w:szCs w:val="20"/>
                <w:color w:val="auto"/>
              </w:rPr>
            </w:pPr>
            <w:r>
              <w:rPr>
                <w:rFonts w:ascii="Arial" w:cs="Arial" w:eastAsia="Arial" w:hAnsi="Arial"/>
                <w:sz w:val="14"/>
                <w:szCs w:val="14"/>
                <w:b w:val="1"/>
                <w:bCs w:val="1"/>
                <w:color w:val="auto"/>
                <w:w w:val="82"/>
              </w:rPr>
              <w:t>Losses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360" w:type="dxa"/>
            <w:vAlign w:val="bottom"/>
          </w:tcPr>
          <w:p>
            <w:pPr>
              <w:spacing w:after="0"/>
              <w:rPr>
                <w:sz w:val="15"/>
                <w:szCs w:val="15"/>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1080" w:type="dxa"/>
            <w:vAlign w:val="bottom"/>
          </w:tcPr>
          <w:p>
            <w:pPr>
              <w:jc w:val="center"/>
              <w:ind w:right="278"/>
              <w:spacing w:after="0"/>
              <w:rPr>
                <w:sz w:val="20"/>
                <w:szCs w:val="20"/>
                <w:color w:val="auto"/>
              </w:rPr>
            </w:pPr>
            <w:r>
              <w:rPr>
                <w:rFonts w:ascii="Arial" w:cs="Arial" w:eastAsia="Arial" w:hAnsi="Arial"/>
                <w:sz w:val="14"/>
                <w:szCs w:val="14"/>
                <w:b w:val="1"/>
                <w:bCs w:val="1"/>
                <w:color w:val="auto"/>
                <w:w w:val="82"/>
              </w:rPr>
              <w:t>Losses</w:t>
            </w: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Pr>
          <w:p>
            <w:pPr>
              <w:spacing w:after="0"/>
              <w:rPr>
                <w:sz w:val="15"/>
                <w:szCs w:val="15"/>
                <w:color w:val="auto"/>
              </w:rPr>
            </w:pPr>
          </w:p>
        </w:tc>
        <w:tc>
          <w:tcPr>
            <w:tcW w:w="90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5"/>
                <w:szCs w:val="15"/>
                <w:color w:val="auto"/>
              </w:rPr>
            </w:pPr>
          </w:p>
        </w:tc>
        <w:tc>
          <w:tcPr>
            <w:tcW w:w="920" w:type="dxa"/>
            <w:vAlign w:val="bottom"/>
          </w:tcPr>
          <w:p>
            <w:pPr>
              <w:jc w:val="right"/>
              <w:ind w:right="27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Political subdivisions of</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States, Territories 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Possessions</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1,067,574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8"/>
              <w:spacing w:after="0"/>
              <w:rPr>
                <w:sz w:val="20"/>
                <w:szCs w:val="20"/>
                <w:color w:val="auto"/>
              </w:rPr>
            </w:pPr>
            <w:r>
              <w:rPr>
                <w:rFonts w:ascii="Arial" w:cs="Arial" w:eastAsia="Arial" w:hAnsi="Arial"/>
                <w:sz w:val="17"/>
                <w:szCs w:val="17"/>
                <w:color w:val="auto"/>
              </w:rPr>
              <w:t>(46,589)</w:t>
            </w: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9"/>
              <w:spacing w:after="0"/>
              <w:rPr>
                <w:sz w:val="20"/>
                <w:szCs w:val="20"/>
                <w:color w:val="auto"/>
              </w:rPr>
            </w:pPr>
            <w:r>
              <w:rPr>
                <w:rFonts w:ascii="Arial" w:cs="Arial" w:eastAsia="Arial" w:hAnsi="Arial"/>
                <w:sz w:val="17"/>
                <w:szCs w:val="17"/>
                <w:color w:val="auto"/>
              </w:rPr>
              <w:t>1,067,574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(46,589)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Corporate and other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bonds industrial 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miscellaneous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1"/>
              </w:rPr>
              <w:t>19,859,293</w:t>
            </w:r>
          </w:p>
        </w:tc>
        <w:tc>
          <w:tcPr>
            <w:tcW w:w="300" w:type="dxa"/>
            <w:vAlign w:val="bottom"/>
          </w:tcPr>
          <w:p>
            <w:pPr>
              <w:spacing w:after="0"/>
              <w:rPr>
                <w:sz w:val="18"/>
                <w:szCs w:val="18"/>
                <w:color w:val="auto"/>
              </w:rPr>
            </w:pPr>
          </w:p>
        </w:tc>
        <w:tc>
          <w:tcPr>
            <w:tcW w:w="1100" w:type="dxa"/>
            <w:vAlign w:val="bottom"/>
          </w:tcPr>
          <w:p>
            <w:pPr>
              <w:jc w:val="right"/>
              <w:ind w:right="138"/>
              <w:spacing w:after="0"/>
              <w:rPr>
                <w:sz w:val="20"/>
                <w:szCs w:val="20"/>
                <w:color w:val="auto"/>
              </w:rPr>
            </w:pPr>
            <w:r>
              <w:rPr>
                <w:rFonts w:ascii="Arial" w:cs="Arial" w:eastAsia="Arial" w:hAnsi="Arial"/>
                <w:sz w:val="17"/>
                <w:szCs w:val="17"/>
                <w:color w:val="auto"/>
              </w:rPr>
              <w:t>(638,113)</w:t>
            </w: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239,970</w:t>
            </w:r>
          </w:p>
        </w:tc>
        <w:tc>
          <w:tcPr>
            <w:tcW w:w="280" w:type="dxa"/>
            <w:vAlign w:val="bottom"/>
          </w:tcPr>
          <w:p>
            <w:pPr>
              <w:spacing w:after="0"/>
              <w:rPr>
                <w:sz w:val="18"/>
                <w:szCs w:val="18"/>
                <w:color w:val="auto"/>
              </w:rPr>
            </w:pPr>
          </w:p>
        </w:tc>
        <w:tc>
          <w:tcPr>
            <w:tcW w:w="1080" w:type="dxa"/>
            <w:vAlign w:val="bottom"/>
          </w:tcPr>
          <w:p>
            <w:pPr>
              <w:jc w:val="right"/>
              <w:ind w:right="118"/>
              <w:spacing w:after="0"/>
              <w:rPr>
                <w:sz w:val="20"/>
                <w:szCs w:val="20"/>
                <w:color w:val="auto"/>
              </w:rPr>
            </w:pPr>
            <w:r>
              <w:rPr>
                <w:rFonts w:ascii="Arial" w:cs="Arial" w:eastAsia="Arial" w:hAnsi="Arial"/>
                <w:sz w:val="17"/>
                <w:szCs w:val="17"/>
                <w:color w:val="auto"/>
              </w:rPr>
              <w:t>(5,612)</w:t>
            </w:r>
          </w:p>
        </w:tc>
        <w:tc>
          <w:tcPr>
            <w:tcW w:w="980" w:type="dxa"/>
            <w:vAlign w:val="bottom"/>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7"/>
                <w:szCs w:val="17"/>
                <w:color w:val="auto"/>
                <w:w w:val="91"/>
              </w:rPr>
              <w:t>20,099,263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(643,725)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Residential mortgage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backed securities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15,918,090</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(309,273)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675,316</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(38,442)</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6</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91"/>
              </w:rPr>
              <w:t>16,593,406</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(347,715)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Total fixed-maturity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securities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36,844,957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(993,975)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915,286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(44,054)</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w w:val="91"/>
              </w:rPr>
              <w:t>37,760,243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(1,038,029)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b w:val="1"/>
                <w:bCs w:val="1"/>
                <w:color w:val="auto"/>
              </w:rPr>
              <w:t>Equity Securities: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3,759,850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(241,333)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660,750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(70,571)</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4,420,600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(311,904)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Common stocks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288,075</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(13,968)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424,550</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(97,468)</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712,625</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(111,436)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Total equity securities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4,047,925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(255,301)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1,085,300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(168,039)</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5,133,225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(423,340)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40,892,882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w w:val="98"/>
              </w:rPr>
              <w:t>(1,249,276)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2,000,586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color w:val="auto"/>
              </w:rPr>
              <w:t>(212,093)</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w w:val="91"/>
              </w:rPr>
              <w:t>42,893,468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(1,461,369)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color w:val="auto"/>
                <w:w w:val="82"/>
              </w:rPr>
              <w:t>61</w:t>
            </w: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5" w:right="239" w:bottom="1440" w:gutter="0" w:footer="0" w:header="0"/>
        </w:sectPr>
      </w:pPr>
    </w:p>
    <w:bookmarkStart w:id="63" w:name="page64"/>
    <w:bookmarkEnd w:id="63"/>
    <w:p>
      <w:pPr>
        <w:jc w:val="both"/>
        <w:ind w:firstLine="628"/>
        <w:spacing w:after="0" w:line="263" w:lineRule="auto"/>
        <w:rPr>
          <w:sz w:val="20"/>
          <w:szCs w:val="20"/>
          <w:color w:val="auto"/>
        </w:rPr>
      </w:pPr>
      <w:r>
        <w:rPr>
          <w:rFonts w:ascii="Arial" w:cs="Arial" w:eastAsia="Arial" w:hAnsi="Arial"/>
          <w:sz w:val="17"/>
          <w:szCs w:val="17"/>
          <w:color w:val="auto"/>
        </w:rPr>
        <w:t>There were 75 securities at June 30, 2017 that accounted for the gross unrealized loss, none of which were deemed by us to be other than temporarily impaired. There were 85 securities at December 31, 2016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Cash Flows</w:t>
      </w:r>
    </w:p>
    <w:p>
      <w:pPr>
        <w:spacing w:after="0" w:line="158"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19"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On January 31, 2017, we closed on an underwritten public offering of 2,500,000 shares of our common stock. On February 14, 2017, we closed on the underwriters’ purchase option for an additional 192,500 shares of our common stock. The public offering price for the 2,692,500 shares sold was $12.00 per share. The aggregate net proceeds to us were approximately $30,137,000. On March 1, 2017, we used $23,000,000 of the net proceeds of the offering to contribute capital to KICO, to support its ratings upgrade plan and additional growth. The remainder of the net proceeds will be used for general corporate purposes.</w:t>
      </w:r>
    </w:p>
    <w:p>
      <w:pPr>
        <w:spacing w:after="0" w:line="87"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Through the quarter ended June 30, 2017, the primary source of cash flow for our holding company are dividends received from KICO, subject to statutory restrictions. For the six months ended June 30, 2017, KICO paid dividends of $1,300,000 to us.</w:t>
      </w:r>
    </w:p>
    <w:p>
      <w:pPr>
        <w:spacing w:after="0" w:line="105"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If the aforementioned sources of cash flow currently available are insufficient to cover our holding company cash requirements, we will seek to obtain additional financing.</w:t>
      </w:r>
    </w:p>
    <w:p>
      <w:pPr>
        <w:spacing w:after="0" w:line="170"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4" w:name="page65"/>
    <w:bookmarkEnd w:id="64"/>
    <w:p>
      <w:pPr>
        <w:jc w:val="both"/>
        <w:ind w:firstLine="628"/>
        <w:spacing w:after="0" w:line="281" w:lineRule="auto"/>
        <w:rPr>
          <w:sz w:val="20"/>
          <w:szCs w:val="20"/>
          <w:color w:val="auto"/>
        </w:rPr>
      </w:pPr>
      <w:r>
        <w:rPr>
          <w:rFonts w:ascii="Arial" w:cs="Arial" w:eastAsia="Arial" w:hAnsi="Arial"/>
          <w:sz w:val="17"/>
          <w:szCs w:val="17"/>
          <w:color w:val="auto"/>
        </w:rPr>
        <w:t>Cash flow and liquidity are categorized into three sources: (1) operating activities; (2) investing activities; and (3) financing activities, which are shown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Six Months Ended June 30,</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r>
      <w:tr>
        <w:trPr>
          <w:trHeight w:val="417"/>
        </w:trPr>
        <w:tc>
          <w:tcPr>
            <w:tcW w:w="8680" w:type="dxa"/>
            <w:vAlign w:val="bottom"/>
            <w:gridSpan w:val="2"/>
          </w:tcPr>
          <w:p>
            <w:pPr>
              <w:spacing w:after="0"/>
              <w:rPr>
                <w:sz w:val="20"/>
                <w:szCs w:val="20"/>
                <w:color w:val="auto"/>
              </w:rPr>
            </w:pPr>
            <w:r>
              <w:rPr>
                <w:rFonts w:ascii="Arial" w:cs="Arial" w:eastAsia="Arial" w:hAnsi="Arial"/>
                <w:sz w:val="17"/>
                <w:szCs w:val="17"/>
                <w:color w:val="auto"/>
              </w:rPr>
              <w:t>Cash flows provided by (used in):</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activities</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7,372,859</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7,812,551</w:t>
            </w:r>
          </w:p>
        </w:tc>
      </w:tr>
      <w:tr>
        <w:trPr>
          <w:trHeight w:val="209"/>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Investing activities</w:t>
            </w:r>
          </w:p>
        </w:tc>
        <w:tc>
          <w:tcPr>
            <w:tcW w:w="320" w:type="dxa"/>
            <w:vAlign w:val="bottom"/>
          </w:tcPr>
          <w:p>
            <w:pPr>
              <w:spacing w:after="0"/>
              <w:rPr>
                <w:sz w:val="18"/>
                <w:szCs w:val="18"/>
                <w:color w:val="auto"/>
              </w:rPr>
            </w:pPr>
          </w:p>
        </w:tc>
        <w:tc>
          <w:tcPr>
            <w:tcW w:w="1100" w:type="dxa"/>
            <w:vAlign w:val="bottom"/>
          </w:tcPr>
          <w:p>
            <w:pPr>
              <w:jc w:val="right"/>
              <w:ind w:right="37"/>
              <w:spacing w:after="0"/>
              <w:rPr>
                <w:sz w:val="20"/>
                <w:szCs w:val="20"/>
                <w:color w:val="auto"/>
              </w:rPr>
            </w:pPr>
            <w:r>
              <w:rPr>
                <w:rFonts w:ascii="Arial" w:cs="Arial" w:eastAsia="Arial" w:hAnsi="Arial"/>
                <w:sz w:val="17"/>
                <w:szCs w:val="17"/>
                <w:color w:val="auto"/>
                <w:w w:val="99"/>
              </w:rPr>
              <w:t>(33,665,057)</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w w:val="97"/>
              </w:rPr>
              <w:t>(10,473,828)</w:t>
            </w: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28,605,143</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3,748,179</w:t>
            </w: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Net increase in cash and cash equivalents</w:t>
            </w:r>
          </w:p>
        </w:tc>
        <w:tc>
          <w:tcPr>
            <w:tcW w:w="320" w:type="dxa"/>
            <w:vAlign w:val="bottom"/>
          </w:tcPr>
          <w:p>
            <w:pPr>
              <w:spacing w:after="0"/>
              <w:rPr>
                <w:sz w:val="18"/>
                <w:szCs w:val="18"/>
                <w:color w:val="auto"/>
              </w:rPr>
            </w:pPr>
          </w:p>
        </w:tc>
        <w:tc>
          <w:tcPr>
            <w:tcW w:w="1100" w:type="dxa"/>
            <w:vAlign w:val="bottom"/>
          </w:tcPr>
          <w:p>
            <w:pPr>
              <w:jc w:val="right"/>
              <w:ind w:right="97"/>
              <w:spacing w:after="0"/>
              <w:rPr>
                <w:sz w:val="20"/>
                <w:szCs w:val="20"/>
                <w:color w:val="auto"/>
              </w:rPr>
            </w:pPr>
            <w:r>
              <w:rPr>
                <w:rFonts w:ascii="Arial" w:cs="Arial" w:eastAsia="Arial" w:hAnsi="Arial"/>
                <w:sz w:val="17"/>
                <w:szCs w:val="17"/>
                <w:color w:val="auto"/>
              </w:rPr>
              <w:t>2,312,945</w:t>
            </w:r>
          </w:p>
        </w:tc>
        <w:tc>
          <w:tcPr>
            <w:tcW w:w="28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7"/>
                <w:szCs w:val="17"/>
                <w:color w:val="auto"/>
              </w:rPr>
              <w:t>1,086,902</w:t>
            </w:r>
          </w:p>
        </w:tc>
      </w:tr>
      <w:tr>
        <w:trPr>
          <w:trHeight w:val="215"/>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12,044,520</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13,551,372</w:t>
            </w:r>
          </w:p>
        </w:tc>
      </w:tr>
      <w:tr>
        <w:trPr>
          <w:trHeight w:val="209"/>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and cash equivalents, end of period</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14,357,465</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14,638,274</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firstLine="628"/>
        <w:spacing w:after="0" w:line="263" w:lineRule="auto"/>
        <w:rPr>
          <w:sz w:val="20"/>
          <w:szCs w:val="20"/>
          <w:color w:val="auto"/>
        </w:rPr>
      </w:pPr>
      <w:r>
        <w:rPr>
          <w:rFonts w:ascii="Arial" w:cs="Arial" w:eastAsia="Arial" w:hAnsi="Arial"/>
          <w:sz w:val="17"/>
          <w:szCs w:val="17"/>
          <w:color w:val="auto"/>
        </w:rPr>
        <w:t>Net cash provided by operating activities was $7,373,000 in 2017 as compared to $7,813,000 in 2016. The $440,000 decrease in cash flows provided by operating activities in 2017 was primarily a result of a decrease in cash arising from net fluctuations in assets and liabilities relating to operating activities of KICO as affected by the growth in its operations which are described above, partially offset by an increase in net income (adjusted for non-cash items) of $932,000. We had a greater amount of payables and accrued liabilities including commissions and employee bonuses as of December 31, 2016 compared to December 31, 2015, which were paid in the subsequent six months ended in 2017 and 2016.</w:t>
      </w:r>
    </w:p>
    <w:p>
      <w:pPr>
        <w:spacing w:after="0" w:line="119"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Net cash used in investing activities was $33,665,000 in 2017 compared to $10,474,000 in 2016. The $23,191,000 increase in net cash used in investing activities is the result of a $10,169,000 increase in acquisitions of invested assets, an $11,796,000 decrease in sales or maturities of invested assets and a $975,000 increase in the amount of fixed asset acquisitions in 2017.</w:t>
      </w:r>
    </w:p>
    <w:p>
      <w:pPr>
        <w:spacing w:after="0" w:line="114"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Net cash provided by financing activities was $28,605,000 in 2017 compared to $3,748,000 provided in 2016. The $24,857,000 increase in net cash provided by financing activities is the result of the $30,137,000 net proceeds we received from the public offering of our common stock in January/February 2017, offset partially by the $4,814,000 net proceeds we received from the private placement of our common stock in April 2016 and a $562,000 increase in dividends paid due to an increase in the shares outstanding and dividend paid per share.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162"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Our quota share reinsurance treaties are on a July 1 through June 30 fiscal year basis; therefore, for year to date fiscal periods after June 30, two separate treaties will be included in such periods.</w:t>
      </w:r>
    </w:p>
    <w:p>
      <w:pPr>
        <w:spacing w:after="0" w:line="170" w:lineRule="exact"/>
        <w:rPr>
          <w:sz w:val="20"/>
          <w:szCs w:val="20"/>
          <w:color w:val="auto"/>
        </w:rPr>
      </w:pPr>
    </w:p>
    <w:p>
      <w:pPr>
        <w:jc w:val="both"/>
        <w:ind w:firstLine="628"/>
        <w:spacing w:after="0" w:line="269" w:lineRule="auto"/>
        <w:rPr>
          <w:sz w:val="20"/>
          <w:szCs w:val="20"/>
          <w:color w:val="auto"/>
        </w:rPr>
      </w:pPr>
      <w:r>
        <w:rPr>
          <w:rFonts w:ascii="Arial" w:cs="Arial" w:eastAsia="Arial" w:hAnsi="Arial"/>
          <w:sz w:val="17"/>
          <w:szCs w:val="17"/>
          <w:color w:val="auto"/>
        </w:rPr>
        <w:t>Our quota share reinsurance treaty in effect for 2017 for our personal lines business, which primarily consists of homeowners’ policies, was covered under the 2016/2017 Treaty. Our quota share reinsurance treaty in effect for 2016 for our personal lines business, which primarily consists of homeowners’ policies, was covered under the 2015/2016 Treaty.</w:t>
      </w:r>
    </w:p>
    <w:p>
      <w:pPr>
        <w:spacing w:after="0" w:line="180"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6"/>
          <w:szCs w:val="16"/>
          <w:color w:val="auto"/>
        </w:rPr>
        <w:t>In March 2017, we bound our personal lines quota share reinsurance treaty effective July 1, 2017. The treaty provides for a reduction in the quota share ceding rate to 20%, from the 40% in the 2016/2017 Treaty, and an increase in the provisional ceding commission rate to 52.5%, from the 52.0% in the 2016/2017 Treaty. The new treaty covers a two year period from July 1, 2017 through June 30, 2019 (“2017/2019 Treaty”). We have the option under certain circumstances to reduce the quota share ceding rate or terminate the 2017/2019 Treaty effective July 1, 2018 by giving advance notice to the two reinsurers who participate in the quota share reinsurance treaty. Such two reinsurers who participate in the quota share reinsurance treaty have the option under limited circumstances to reduce the quota share ceding rate or terminate the 2017/2019 Treaty effective July 1, 2018 by giving advance notice to us.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2015/2016 Treaty, 2016/2017 Treaty, and 2017/2019 Treaty provide for the following material terms: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256"/>
              <w:spacing w:after="0"/>
              <w:rPr>
                <w:sz w:val="20"/>
                <w:szCs w:val="20"/>
                <w:color w:val="auto"/>
              </w:rPr>
            </w:pPr>
            <w:r>
              <w:rPr>
                <w:rFonts w:ascii="Arial" w:cs="Arial" w:eastAsia="Arial" w:hAnsi="Arial"/>
                <w:sz w:val="14"/>
                <w:szCs w:val="14"/>
                <w:b w:val="1"/>
                <w:bCs w:val="1"/>
                <w:color w:val="auto"/>
                <w:w w:val="96"/>
              </w:rPr>
              <w:t>Treaty Year</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0" w:type="dxa"/>
            <w:vAlign w:val="bottom"/>
          </w:tcPr>
          <w:p>
            <w:pPr>
              <w:jc w:val="center"/>
              <w:ind w:right="236"/>
              <w:spacing w:after="0" w:line="157" w:lineRule="exact"/>
              <w:rPr>
                <w:sz w:val="20"/>
                <w:szCs w:val="20"/>
                <w:color w:val="auto"/>
              </w:rPr>
            </w:pPr>
            <w:r>
              <w:rPr>
                <w:rFonts w:ascii="Arial" w:cs="Arial" w:eastAsia="Arial" w:hAnsi="Arial"/>
                <w:sz w:val="14"/>
                <w:szCs w:val="14"/>
                <w:b w:val="1"/>
                <w:bCs w:val="1"/>
                <w:color w:val="auto"/>
                <w:w w:val="91"/>
              </w:rPr>
              <w:t>July 1, 2017</w:t>
            </w:r>
          </w:p>
        </w:tc>
        <w:tc>
          <w:tcPr>
            <w:tcW w:w="180" w:type="dxa"/>
            <w:vAlign w:val="bottom"/>
          </w:tcPr>
          <w:p>
            <w:pPr>
              <w:spacing w:after="0"/>
              <w:rPr>
                <w:sz w:val="13"/>
                <w:szCs w:val="13"/>
                <w:color w:val="auto"/>
              </w:rPr>
            </w:pPr>
          </w:p>
        </w:tc>
        <w:tc>
          <w:tcPr>
            <w:tcW w:w="1200" w:type="dxa"/>
            <w:vAlign w:val="bottom"/>
          </w:tcPr>
          <w:p>
            <w:pPr>
              <w:jc w:val="center"/>
              <w:ind w:right="236"/>
              <w:spacing w:after="0" w:line="157" w:lineRule="exact"/>
              <w:rPr>
                <w:sz w:val="20"/>
                <w:szCs w:val="20"/>
                <w:color w:val="auto"/>
              </w:rPr>
            </w:pPr>
            <w:r>
              <w:rPr>
                <w:rFonts w:ascii="Arial" w:cs="Arial" w:eastAsia="Arial" w:hAnsi="Arial"/>
                <w:sz w:val="14"/>
                <w:szCs w:val="14"/>
                <w:b w:val="1"/>
                <w:bCs w:val="1"/>
                <w:color w:val="auto"/>
                <w:w w:val="91"/>
              </w:rPr>
              <w:t>July 1, 2016</w:t>
            </w:r>
          </w:p>
        </w:tc>
        <w:tc>
          <w:tcPr>
            <w:tcW w:w="160" w:type="dxa"/>
            <w:vAlign w:val="bottom"/>
          </w:tcPr>
          <w:p>
            <w:pPr>
              <w:spacing w:after="0"/>
              <w:rPr>
                <w:sz w:val="13"/>
                <w:szCs w:val="13"/>
                <w:color w:val="auto"/>
              </w:rPr>
            </w:pPr>
          </w:p>
        </w:tc>
        <w:tc>
          <w:tcPr>
            <w:tcW w:w="1120" w:type="dxa"/>
            <w:vAlign w:val="bottom"/>
          </w:tcPr>
          <w:p>
            <w:pPr>
              <w:jc w:val="center"/>
              <w:ind w:right="156"/>
              <w:spacing w:after="0" w:line="157" w:lineRule="exact"/>
              <w:rPr>
                <w:sz w:val="20"/>
                <w:szCs w:val="20"/>
                <w:color w:val="auto"/>
              </w:rPr>
            </w:pPr>
            <w:r>
              <w:rPr>
                <w:rFonts w:ascii="Arial" w:cs="Arial" w:eastAsia="Arial" w:hAnsi="Arial"/>
                <w:sz w:val="14"/>
                <w:szCs w:val="14"/>
                <w:b w:val="1"/>
                <w:bCs w:val="1"/>
                <w:color w:val="auto"/>
                <w:w w:val="91"/>
              </w:rPr>
              <w:t>July 1, 2015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0" w:type="dxa"/>
            <w:vAlign w:val="bottom"/>
          </w:tcPr>
          <w:p>
            <w:pPr>
              <w:jc w:val="center"/>
              <w:ind w:right="236"/>
              <w:spacing w:after="0" w:line="157" w:lineRule="exact"/>
              <w:rPr>
                <w:sz w:val="20"/>
                <w:szCs w:val="20"/>
                <w:color w:val="auto"/>
              </w:rPr>
            </w:pPr>
            <w:r>
              <w:rPr>
                <w:rFonts w:ascii="Arial" w:cs="Arial" w:eastAsia="Arial" w:hAnsi="Arial"/>
                <w:sz w:val="14"/>
                <w:szCs w:val="14"/>
                <w:b w:val="1"/>
                <w:bCs w:val="1"/>
                <w:color w:val="auto"/>
                <w:w w:val="90"/>
              </w:rPr>
              <w:t>to</w:t>
            </w:r>
          </w:p>
        </w:tc>
        <w:tc>
          <w:tcPr>
            <w:tcW w:w="180" w:type="dxa"/>
            <w:vAlign w:val="bottom"/>
          </w:tcPr>
          <w:p>
            <w:pPr>
              <w:spacing w:after="0"/>
              <w:rPr>
                <w:sz w:val="13"/>
                <w:szCs w:val="13"/>
                <w:color w:val="auto"/>
              </w:rPr>
            </w:pPr>
          </w:p>
        </w:tc>
        <w:tc>
          <w:tcPr>
            <w:tcW w:w="1200" w:type="dxa"/>
            <w:vAlign w:val="bottom"/>
          </w:tcPr>
          <w:p>
            <w:pPr>
              <w:jc w:val="center"/>
              <w:ind w:right="236"/>
              <w:spacing w:after="0" w:line="157" w:lineRule="exact"/>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3"/>
                <w:szCs w:val="13"/>
                <w:color w:val="auto"/>
              </w:rPr>
            </w:pPr>
          </w:p>
        </w:tc>
        <w:tc>
          <w:tcPr>
            <w:tcW w:w="1120" w:type="dxa"/>
            <w:vAlign w:val="bottom"/>
          </w:tcPr>
          <w:p>
            <w:pPr>
              <w:jc w:val="center"/>
              <w:ind w:right="156"/>
              <w:spacing w:after="0" w:line="157"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77"/>
        </w:trPr>
        <w:tc>
          <w:tcPr>
            <w:tcW w:w="5580" w:type="dxa"/>
            <w:vAlign w:val="bottom"/>
            <w:gridSpan w:val="5"/>
          </w:tcPr>
          <w:p>
            <w:pPr>
              <w:spacing w:after="0"/>
              <w:rPr>
                <w:sz w:val="20"/>
                <w:szCs w:val="20"/>
                <w:color w:val="auto"/>
              </w:rPr>
            </w:pPr>
            <w:r>
              <w:rPr>
                <w:rFonts w:ascii="Arial" w:cs="Arial" w:eastAsia="Arial" w:hAnsi="Arial"/>
                <w:sz w:val="14"/>
                <w:szCs w:val="14"/>
                <w:b w:val="1"/>
                <w:bCs w:val="1"/>
                <w:color w:val="auto"/>
              </w:rPr>
              <w:t>Line of Busines</w:t>
            </w:r>
          </w:p>
        </w:tc>
        <w:tc>
          <w:tcPr>
            <w:tcW w:w="1980" w:type="dxa"/>
            <w:vAlign w:val="bottom"/>
          </w:tcPr>
          <w:p>
            <w:pPr>
              <w:spacing w:after="0"/>
              <w:rPr>
                <w:sz w:val="15"/>
                <w:szCs w:val="15"/>
                <w:color w:val="auto"/>
              </w:rPr>
            </w:pPr>
          </w:p>
        </w:tc>
        <w:tc>
          <w:tcPr>
            <w:tcW w:w="1200" w:type="dxa"/>
            <w:vAlign w:val="bottom"/>
          </w:tcPr>
          <w:p>
            <w:pPr>
              <w:jc w:val="center"/>
              <w:ind w:right="236"/>
              <w:spacing w:after="0"/>
              <w:rPr>
                <w:sz w:val="20"/>
                <w:szCs w:val="20"/>
                <w:color w:val="auto"/>
              </w:rPr>
            </w:pPr>
            <w:r>
              <w:rPr>
                <w:rFonts w:ascii="Arial" w:cs="Arial" w:eastAsia="Arial" w:hAnsi="Arial"/>
                <w:sz w:val="14"/>
                <w:szCs w:val="14"/>
                <w:b w:val="1"/>
                <w:bCs w:val="1"/>
                <w:color w:val="auto"/>
                <w:w w:val="92"/>
              </w:rPr>
              <w:t>June 30, 2018</w:t>
            </w:r>
          </w:p>
        </w:tc>
        <w:tc>
          <w:tcPr>
            <w:tcW w:w="180" w:type="dxa"/>
            <w:vAlign w:val="bottom"/>
          </w:tcPr>
          <w:p>
            <w:pPr>
              <w:spacing w:after="0"/>
              <w:rPr>
                <w:sz w:val="15"/>
                <w:szCs w:val="15"/>
                <w:color w:val="auto"/>
              </w:rPr>
            </w:pPr>
          </w:p>
        </w:tc>
        <w:tc>
          <w:tcPr>
            <w:tcW w:w="1200" w:type="dxa"/>
            <w:vAlign w:val="bottom"/>
          </w:tcPr>
          <w:p>
            <w:pPr>
              <w:jc w:val="center"/>
              <w:ind w:right="236"/>
              <w:spacing w:after="0"/>
              <w:rPr>
                <w:sz w:val="20"/>
                <w:szCs w:val="20"/>
                <w:color w:val="auto"/>
              </w:rPr>
            </w:pPr>
            <w:r>
              <w:rPr>
                <w:rFonts w:ascii="Arial" w:cs="Arial" w:eastAsia="Arial" w:hAnsi="Arial"/>
                <w:sz w:val="14"/>
                <w:szCs w:val="14"/>
                <w:b w:val="1"/>
                <w:bCs w:val="1"/>
                <w:color w:val="auto"/>
                <w:w w:val="92"/>
              </w:rPr>
              <w:t>June 30, 2017</w:t>
            </w:r>
          </w:p>
        </w:tc>
        <w:tc>
          <w:tcPr>
            <w:tcW w:w="160" w:type="dxa"/>
            <w:vAlign w:val="bottom"/>
          </w:tcPr>
          <w:p>
            <w:pPr>
              <w:spacing w:after="0"/>
              <w:rPr>
                <w:sz w:val="15"/>
                <w:szCs w:val="15"/>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w w:val="92"/>
              </w:rPr>
              <w:t>June 30, 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56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color w:val="auto"/>
              </w:rPr>
              <w:t>Personal Lines:</w:t>
            </w:r>
          </w:p>
        </w:tc>
        <w:tc>
          <w:tcPr>
            <w:tcW w:w="19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880" w:type="dxa"/>
            <w:vAlign w:val="bottom"/>
            <w:shd w:val="clear" w:color="auto" w:fill="CCEEFF"/>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7"/>
                <w:szCs w:val="17"/>
                <w:color w:val="auto"/>
              </w:rPr>
              <w:t>Homeowners, dwelling fire and canine legal liability</w:t>
            </w:r>
          </w:p>
        </w:tc>
        <w:tc>
          <w:tcPr>
            <w:tcW w:w="1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Quota share treaty:</w:t>
            </w:r>
          </w:p>
        </w:tc>
        <w:tc>
          <w:tcPr>
            <w:tcW w:w="1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Percent ceded</w:t>
            </w:r>
          </w:p>
        </w:tc>
        <w:tc>
          <w:tcPr>
            <w:tcW w:w="19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Risk retained</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800,000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w w:val="99"/>
              </w:rPr>
              <w:t>Losses per occurrence subject to quota share reinsurance coverage</w:t>
            </w:r>
          </w:p>
        </w:tc>
        <w:tc>
          <w:tcPr>
            <w:tcW w:w="19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1,000,000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833,333</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750,000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w w:val="90"/>
              </w:rPr>
              <w:t>Excess of loss coverage and facultative facility above quota share coverage (1)</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3,666,667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3,750,000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0" w:type="dxa"/>
            <w:vAlign w:val="bottom"/>
          </w:tcPr>
          <w:p>
            <w:pPr>
              <w:jc w:val="right"/>
              <w:ind w:right="236"/>
              <w:spacing w:after="0"/>
              <w:rPr>
                <w:sz w:val="20"/>
                <w:szCs w:val="20"/>
                <w:color w:val="auto"/>
              </w:rPr>
            </w:pPr>
            <w:r>
              <w:rPr>
                <w:rFonts w:ascii="Arial" w:cs="Arial" w:eastAsia="Arial" w:hAnsi="Arial"/>
                <w:sz w:val="17"/>
                <w:szCs w:val="17"/>
                <w:color w:val="auto"/>
                <w:w w:val="95"/>
              </w:rPr>
              <w:t>in excess of</w:t>
            </w:r>
          </w:p>
        </w:tc>
        <w:tc>
          <w:tcPr>
            <w:tcW w:w="180" w:type="dxa"/>
            <w:vAlign w:val="bottom"/>
          </w:tcPr>
          <w:p>
            <w:pPr>
              <w:spacing w:after="0"/>
              <w:rPr>
                <w:sz w:val="18"/>
                <w:szCs w:val="18"/>
                <w:color w:val="auto"/>
              </w:rPr>
            </w:pPr>
          </w:p>
        </w:tc>
        <w:tc>
          <w:tcPr>
            <w:tcW w:w="1200" w:type="dxa"/>
            <w:vAlign w:val="bottom"/>
          </w:tcPr>
          <w:p>
            <w:pPr>
              <w:jc w:val="center"/>
              <w:ind w:right="176"/>
              <w:spacing w:after="0"/>
              <w:rPr>
                <w:sz w:val="20"/>
                <w:szCs w:val="20"/>
                <w:color w:val="auto"/>
              </w:rPr>
            </w:pPr>
            <w:r>
              <w:rPr>
                <w:rFonts w:ascii="Arial" w:cs="Arial" w:eastAsia="Arial" w:hAnsi="Arial"/>
                <w:sz w:val="17"/>
                <w:szCs w:val="17"/>
                <w:color w:val="auto"/>
                <w:w w:val="91"/>
              </w:rPr>
              <w:t>in excess of</w:t>
            </w:r>
          </w:p>
        </w:tc>
        <w:tc>
          <w:tcPr>
            <w:tcW w:w="160" w:type="dxa"/>
            <w:vAlign w:val="bottom"/>
          </w:tcPr>
          <w:p>
            <w:pPr>
              <w:spacing w:after="0"/>
              <w:rPr>
                <w:sz w:val="18"/>
                <w:szCs w:val="18"/>
                <w:color w:val="auto"/>
              </w:rPr>
            </w:pPr>
          </w:p>
        </w:tc>
        <w:tc>
          <w:tcPr>
            <w:tcW w:w="1120" w:type="dxa"/>
            <w:vAlign w:val="bottom"/>
          </w:tcPr>
          <w:p>
            <w:pPr>
              <w:jc w:val="center"/>
              <w:ind w:right="76"/>
              <w:spacing w:after="0"/>
              <w:rPr>
                <w:sz w:val="20"/>
                <w:szCs w:val="20"/>
                <w:color w:val="auto"/>
              </w:rPr>
            </w:pPr>
            <w:r>
              <w:rPr>
                <w:rFonts w:ascii="Arial" w:cs="Arial" w:eastAsia="Arial" w:hAnsi="Arial"/>
                <w:sz w:val="17"/>
                <w:szCs w:val="17"/>
                <w:color w:val="auto"/>
                <w:w w:val="89"/>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833,333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750,000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Total reinsurance coverage per occurrence</w:t>
            </w:r>
          </w:p>
        </w:tc>
        <w:tc>
          <w:tcPr>
            <w:tcW w:w="19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9,200,000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4,000,000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4,050,000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Losses per occurrence subject to reinsurance coverage</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4,500,000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Expiration date</w:t>
            </w:r>
          </w:p>
        </w:tc>
        <w:tc>
          <w:tcPr>
            <w:tcW w:w="3180" w:type="dxa"/>
            <w:vAlign w:val="bottom"/>
            <w:gridSpan w:val="2"/>
          </w:tcPr>
          <w:p>
            <w:pPr>
              <w:jc w:val="center"/>
              <w:ind w:left="1576"/>
              <w:spacing w:after="0"/>
              <w:rPr>
                <w:sz w:val="20"/>
                <w:szCs w:val="20"/>
                <w:color w:val="auto"/>
              </w:rPr>
            </w:pPr>
            <w:r>
              <w:rPr>
                <w:rFonts w:ascii="Arial" w:cs="Arial" w:eastAsia="Arial" w:hAnsi="Arial"/>
                <w:sz w:val="17"/>
                <w:szCs w:val="17"/>
                <w:color w:val="auto"/>
                <w:w w:val="89"/>
              </w:rPr>
              <w:t>June 30, 2019</w:t>
            </w:r>
          </w:p>
        </w:tc>
        <w:tc>
          <w:tcPr>
            <w:tcW w:w="1380" w:type="dxa"/>
            <w:vAlign w:val="bottom"/>
            <w:gridSpan w:val="2"/>
          </w:tcPr>
          <w:p>
            <w:pPr>
              <w:jc w:val="center"/>
              <w:ind w:right="56"/>
              <w:spacing w:after="0"/>
              <w:rPr>
                <w:sz w:val="20"/>
                <w:szCs w:val="20"/>
                <w:color w:val="auto"/>
              </w:rPr>
            </w:pPr>
            <w:r>
              <w:rPr>
                <w:rFonts w:ascii="Arial" w:cs="Arial" w:eastAsia="Arial" w:hAnsi="Arial"/>
                <w:sz w:val="17"/>
                <w:szCs w:val="17"/>
                <w:color w:val="auto"/>
                <w:w w:val="89"/>
              </w:rPr>
              <w:t>June 30, 2017</w:t>
            </w:r>
          </w:p>
        </w:tc>
        <w:tc>
          <w:tcPr>
            <w:tcW w:w="1280" w:type="dxa"/>
            <w:vAlign w:val="bottom"/>
            <w:gridSpan w:val="2"/>
          </w:tcPr>
          <w:p>
            <w:pPr>
              <w:jc w:val="center"/>
              <w:spacing w:after="0"/>
              <w:rPr>
                <w:sz w:val="20"/>
                <w:szCs w:val="20"/>
                <w:color w:val="auto"/>
              </w:rPr>
            </w:pPr>
            <w:r>
              <w:rPr>
                <w:rFonts w:ascii="Arial" w:cs="Arial" w:eastAsia="Arial" w:hAnsi="Arial"/>
                <w:sz w:val="17"/>
                <w:szCs w:val="17"/>
                <w:color w:val="auto"/>
                <w:w w:val="89"/>
              </w:rPr>
              <w:t>June 30, 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7"/>
                <w:szCs w:val="17"/>
                <w:color w:val="auto"/>
              </w:rPr>
              <w:t>Personal Umbrella</w:t>
            </w:r>
          </w:p>
        </w:tc>
        <w:tc>
          <w:tcPr>
            <w:tcW w:w="1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Quota share treaty:</w:t>
            </w:r>
          </w:p>
        </w:tc>
        <w:tc>
          <w:tcPr>
            <w:tcW w:w="1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Percent ceded - first $1,000,000 of coverage</w:t>
            </w:r>
          </w:p>
        </w:tc>
        <w:tc>
          <w:tcPr>
            <w:tcW w:w="19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Percent ceded - excess of $1,000,000 dollars of coverage</w:t>
            </w:r>
          </w:p>
        </w:tc>
        <w:tc>
          <w:tcPr>
            <w:tcW w:w="1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Risk retained</w:t>
            </w:r>
          </w:p>
        </w:tc>
        <w:tc>
          <w:tcPr>
            <w:tcW w:w="19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100,000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100,000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Total reinsurance coverage per occurrence</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4,900,000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4,900,000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2,900,000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w w:val="99"/>
              </w:rPr>
              <w:t>Losses per occurrence subject to quota share reinsurance coverage</w:t>
            </w:r>
          </w:p>
        </w:tc>
        <w:tc>
          <w:tcPr>
            <w:tcW w:w="19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5,000,000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5,000,000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3,000,000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Expiration date</w:t>
            </w:r>
          </w:p>
        </w:tc>
        <w:tc>
          <w:tcPr>
            <w:tcW w:w="3180" w:type="dxa"/>
            <w:vAlign w:val="bottom"/>
            <w:gridSpan w:val="2"/>
            <w:shd w:val="clear" w:color="auto" w:fill="CCEEFF"/>
          </w:tcPr>
          <w:p>
            <w:pPr>
              <w:jc w:val="center"/>
              <w:ind w:left="1576"/>
              <w:spacing w:after="0"/>
              <w:rPr>
                <w:sz w:val="20"/>
                <w:szCs w:val="20"/>
                <w:color w:val="auto"/>
              </w:rPr>
            </w:pPr>
            <w:r>
              <w:rPr>
                <w:rFonts w:ascii="Arial" w:cs="Arial" w:eastAsia="Arial" w:hAnsi="Arial"/>
                <w:sz w:val="17"/>
                <w:szCs w:val="17"/>
                <w:color w:val="auto"/>
                <w:w w:val="89"/>
              </w:rPr>
              <w:t>June 30, 2018</w:t>
            </w:r>
          </w:p>
        </w:tc>
        <w:tc>
          <w:tcPr>
            <w:tcW w:w="1380" w:type="dxa"/>
            <w:vAlign w:val="bottom"/>
            <w:gridSpan w:val="2"/>
            <w:shd w:val="clear" w:color="auto" w:fill="CCEEFF"/>
          </w:tcPr>
          <w:p>
            <w:pPr>
              <w:jc w:val="center"/>
              <w:ind w:right="56"/>
              <w:spacing w:after="0"/>
              <w:rPr>
                <w:sz w:val="20"/>
                <w:szCs w:val="20"/>
                <w:color w:val="auto"/>
              </w:rPr>
            </w:pPr>
            <w:r>
              <w:rPr>
                <w:rFonts w:ascii="Arial" w:cs="Arial" w:eastAsia="Arial" w:hAnsi="Arial"/>
                <w:sz w:val="17"/>
                <w:szCs w:val="17"/>
                <w:color w:val="auto"/>
                <w:w w:val="89"/>
              </w:rPr>
              <w:t>June 30, 2017</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June 30, 2016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56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color w:val="auto"/>
              </w:rPr>
              <w:t>Commercial Lines:</w:t>
            </w:r>
          </w:p>
        </w:tc>
        <w:tc>
          <w:tcPr>
            <w:tcW w:w="19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880" w:type="dxa"/>
            <w:vAlign w:val="bottom"/>
            <w:shd w:val="clear" w:color="auto" w:fill="CCEEFF"/>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spacing w:after="0"/>
              <w:rPr>
                <w:sz w:val="20"/>
                <w:szCs w:val="20"/>
                <w:color w:val="auto"/>
              </w:rPr>
            </w:pPr>
            <w:r>
              <w:rPr>
                <w:rFonts w:ascii="Arial" w:cs="Arial" w:eastAsia="Arial" w:hAnsi="Arial"/>
                <w:sz w:val="17"/>
                <w:szCs w:val="17"/>
                <w:color w:val="auto"/>
              </w:rPr>
              <w:t>General liability commercial policies, except for commercial auto</w:t>
            </w:r>
          </w:p>
        </w:tc>
        <w:tc>
          <w:tcPr>
            <w:tcW w:w="1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Quota share treaty:</w:t>
            </w:r>
          </w:p>
        </w:tc>
        <w:tc>
          <w:tcPr>
            <w:tcW w:w="1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Percent ceded (terminated effective July 1, 2014)</w:t>
            </w:r>
          </w:p>
        </w:tc>
        <w:tc>
          <w:tcPr>
            <w:tcW w:w="1980" w:type="dxa"/>
            <w:vAlign w:val="bottom"/>
          </w:tcPr>
          <w:p>
            <w:pPr>
              <w:spacing w:after="0"/>
              <w:rPr>
                <w:sz w:val="18"/>
                <w:szCs w:val="18"/>
                <w:color w:val="auto"/>
              </w:rPr>
            </w:pPr>
          </w:p>
        </w:tc>
        <w:tc>
          <w:tcPr>
            <w:tcW w:w="1200" w:type="dxa"/>
            <w:vAlign w:val="bottom"/>
          </w:tcPr>
          <w:p>
            <w:pPr>
              <w:jc w:val="right"/>
              <w:ind w:right="456"/>
              <w:spacing w:after="0"/>
              <w:rPr>
                <w:sz w:val="20"/>
                <w:szCs w:val="20"/>
                <w:color w:val="auto"/>
              </w:rPr>
            </w:pPr>
            <w:r>
              <w:rPr>
                <w:rFonts w:ascii="Arial" w:cs="Arial" w:eastAsia="Arial" w:hAnsi="Arial"/>
                <w:sz w:val="17"/>
                <w:szCs w:val="17"/>
                <w:color w:val="auto"/>
              </w:rPr>
              <w:t>None</w:t>
            </w:r>
          </w:p>
        </w:tc>
        <w:tc>
          <w:tcPr>
            <w:tcW w:w="180" w:type="dxa"/>
            <w:vAlign w:val="bottom"/>
          </w:tcPr>
          <w:p>
            <w:pPr>
              <w:spacing w:after="0"/>
              <w:rPr>
                <w:sz w:val="18"/>
                <w:szCs w:val="18"/>
                <w:color w:val="auto"/>
              </w:rPr>
            </w:pPr>
          </w:p>
        </w:tc>
        <w:tc>
          <w:tcPr>
            <w:tcW w:w="1200" w:type="dxa"/>
            <w:vAlign w:val="bottom"/>
          </w:tcPr>
          <w:p>
            <w:pPr>
              <w:jc w:val="center"/>
              <w:ind w:right="176"/>
              <w:spacing w:after="0"/>
              <w:rPr>
                <w:sz w:val="20"/>
                <w:szCs w:val="20"/>
                <w:color w:val="auto"/>
              </w:rPr>
            </w:pPr>
            <w:r>
              <w:rPr>
                <w:rFonts w:ascii="Arial" w:cs="Arial" w:eastAsia="Arial" w:hAnsi="Arial"/>
                <w:sz w:val="17"/>
                <w:szCs w:val="17"/>
                <w:color w:val="auto"/>
                <w:w w:val="93"/>
              </w:rPr>
              <w:t>None</w:t>
            </w:r>
          </w:p>
        </w:tc>
        <w:tc>
          <w:tcPr>
            <w:tcW w:w="160" w:type="dxa"/>
            <w:vAlign w:val="bottom"/>
          </w:tcPr>
          <w:p>
            <w:pPr>
              <w:spacing w:after="0"/>
              <w:rPr>
                <w:sz w:val="18"/>
                <w:szCs w:val="18"/>
                <w:color w:val="auto"/>
              </w:rPr>
            </w:pPr>
          </w:p>
        </w:tc>
        <w:tc>
          <w:tcPr>
            <w:tcW w:w="1120" w:type="dxa"/>
            <w:vAlign w:val="bottom"/>
          </w:tcPr>
          <w:p>
            <w:pPr>
              <w:jc w:val="center"/>
              <w:ind w:right="76"/>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Risk retained</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750,000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425,000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w w:val="99"/>
              </w:rPr>
              <w:t>Losses per occurrence subject to quota share reinsurance coverage</w:t>
            </w:r>
          </w:p>
        </w:tc>
        <w:tc>
          <w:tcPr>
            <w:tcW w:w="1980" w:type="dxa"/>
            <w:vAlign w:val="bottom"/>
          </w:tcPr>
          <w:p>
            <w:pPr>
              <w:spacing w:after="0"/>
              <w:rPr>
                <w:sz w:val="18"/>
                <w:szCs w:val="18"/>
                <w:color w:val="auto"/>
              </w:rPr>
            </w:pPr>
          </w:p>
        </w:tc>
        <w:tc>
          <w:tcPr>
            <w:tcW w:w="1200" w:type="dxa"/>
            <w:vAlign w:val="bottom"/>
          </w:tcPr>
          <w:p>
            <w:pPr>
              <w:jc w:val="right"/>
              <w:ind w:right="456"/>
              <w:spacing w:after="0"/>
              <w:rPr>
                <w:sz w:val="20"/>
                <w:szCs w:val="20"/>
                <w:color w:val="auto"/>
              </w:rPr>
            </w:pPr>
            <w:r>
              <w:rPr>
                <w:rFonts w:ascii="Arial" w:cs="Arial" w:eastAsia="Arial" w:hAnsi="Arial"/>
                <w:sz w:val="17"/>
                <w:szCs w:val="17"/>
                <w:color w:val="auto"/>
              </w:rPr>
              <w:t>None</w:t>
            </w:r>
          </w:p>
        </w:tc>
        <w:tc>
          <w:tcPr>
            <w:tcW w:w="180" w:type="dxa"/>
            <w:vAlign w:val="bottom"/>
          </w:tcPr>
          <w:p>
            <w:pPr>
              <w:spacing w:after="0"/>
              <w:rPr>
                <w:sz w:val="18"/>
                <w:szCs w:val="18"/>
                <w:color w:val="auto"/>
              </w:rPr>
            </w:pPr>
          </w:p>
        </w:tc>
        <w:tc>
          <w:tcPr>
            <w:tcW w:w="1200" w:type="dxa"/>
            <w:vAlign w:val="bottom"/>
          </w:tcPr>
          <w:p>
            <w:pPr>
              <w:jc w:val="right"/>
              <w:ind w:right="416"/>
              <w:spacing w:after="0"/>
              <w:rPr>
                <w:sz w:val="20"/>
                <w:szCs w:val="20"/>
                <w:color w:val="auto"/>
              </w:rPr>
            </w:pPr>
            <w:r>
              <w:rPr>
                <w:rFonts w:ascii="Arial" w:cs="Arial" w:eastAsia="Arial" w:hAnsi="Arial"/>
                <w:sz w:val="17"/>
                <w:szCs w:val="17"/>
                <w:color w:val="auto"/>
              </w:rPr>
              <w:t>None</w:t>
            </w:r>
          </w:p>
        </w:tc>
        <w:tc>
          <w:tcPr>
            <w:tcW w:w="160" w:type="dxa"/>
            <w:vAlign w:val="bottom"/>
          </w:tcPr>
          <w:p>
            <w:pPr>
              <w:spacing w:after="0"/>
              <w:rPr>
                <w:sz w:val="18"/>
                <w:szCs w:val="18"/>
                <w:color w:val="auto"/>
              </w:rPr>
            </w:pPr>
          </w:p>
        </w:tc>
        <w:tc>
          <w:tcPr>
            <w:tcW w:w="1120" w:type="dxa"/>
            <w:vAlign w:val="bottom"/>
          </w:tcPr>
          <w:p>
            <w:pPr>
              <w:jc w:val="center"/>
              <w:ind w:right="76"/>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Excess of loss coverage above quota share coverage</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3,750,000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4,075,000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0" w:type="dxa"/>
            <w:vAlign w:val="bottom"/>
          </w:tcPr>
          <w:p>
            <w:pPr>
              <w:jc w:val="right"/>
              <w:ind w:right="196"/>
              <w:spacing w:after="0"/>
              <w:rPr>
                <w:sz w:val="20"/>
                <w:szCs w:val="20"/>
                <w:color w:val="auto"/>
              </w:rPr>
            </w:pPr>
            <w:r>
              <w:rPr>
                <w:rFonts w:ascii="Arial" w:cs="Arial" w:eastAsia="Arial" w:hAnsi="Arial"/>
                <w:sz w:val="17"/>
                <w:szCs w:val="17"/>
                <w:color w:val="auto"/>
              </w:rPr>
              <w:t>in excess of</w:t>
            </w:r>
          </w:p>
        </w:tc>
        <w:tc>
          <w:tcPr>
            <w:tcW w:w="180" w:type="dxa"/>
            <w:vAlign w:val="bottom"/>
          </w:tcPr>
          <w:p>
            <w:pPr>
              <w:spacing w:after="0"/>
              <w:rPr>
                <w:sz w:val="18"/>
                <w:szCs w:val="18"/>
                <w:color w:val="auto"/>
              </w:rPr>
            </w:pPr>
          </w:p>
        </w:tc>
        <w:tc>
          <w:tcPr>
            <w:tcW w:w="1200" w:type="dxa"/>
            <w:vAlign w:val="bottom"/>
          </w:tcPr>
          <w:p>
            <w:pPr>
              <w:jc w:val="center"/>
              <w:ind w:right="176"/>
              <w:spacing w:after="0"/>
              <w:rPr>
                <w:sz w:val="20"/>
                <w:szCs w:val="20"/>
                <w:color w:val="auto"/>
              </w:rPr>
            </w:pPr>
            <w:r>
              <w:rPr>
                <w:rFonts w:ascii="Arial" w:cs="Arial" w:eastAsia="Arial" w:hAnsi="Arial"/>
                <w:sz w:val="17"/>
                <w:szCs w:val="17"/>
                <w:color w:val="auto"/>
                <w:w w:val="91"/>
              </w:rPr>
              <w:t>in excess of</w:t>
            </w:r>
          </w:p>
        </w:tc>
        <w:tc>
          <w:tcPr>
            <w:tcW w:w="160" w:type="dxa"/>
            <w:vAlign w:val="bottom"/>
          </w:tcPr>
          <w:p>
            <w:pPr>
              <w:spacing w:after="0"/>
              <w:rPr>
                <w:sz w:val="18"/>
                <w:szCs w:val="18"/>
                <w:color w:val="auto"/>
              </w:rPr>
            </w:pPr>
          </w:p>
        </w:tc>
        <w:tc>
          <w:tcPr>
            <w:tcW w:w="1120" w:type="dxa"/>
            <w:vAlign w:val="bottom"/>
          </w:tcPr>
          <w:p>
            <w:pPr>
              <w:jc w:val="center"/>
              <w:ind w:right="76"/>
              <w:spacing w:after="0"/>
              <w:rPr>
                <w:sz w:val="20"/>
                <w:szCs w:val="20"/>
                <w:color w:val="auto"/>
              </w:rPr>
            </w:pPr>
            <w:r>
              <w:rPr>
                <w:rFonts w:ascii="Arial" w:cs="Arial" w:eastAsia="Arial" w:hAnsi="Arial"/>
                <w:sz w:val="17"/>
                <w:szCs w:val="17"/>
                <w:color w:val="auto"/>
                <w:w w:val="89"/>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750,000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425,000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Total reinsurance coverage per occurrence</w:t>
            </w:r>
          </w:p>
        </w:tc>
        <w:tc>
          <w:tcPr>
            <w:tcW w:w="19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3,750,000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4,000,000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4,075,000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Losses per occurrence subject to reinsurance coverage</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4,500,000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4,500,000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1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Quota share treaty:</w:t>
            </w:r>
          </w:p>
        </w:tc>
        <w:tc>
          <w:tcPr>
            <w:tcW w:w="1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Percent ceded - first $1,000,000 of coverage</w:t>
            </w:r>
          </w:p>
        </w:tc>
        <w:tc>
          <w:tcPr>
            <w:tcW w:w="1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Percent ceded - excess of $1,000,000 of coverage</w:t>
            </w:r>
          </w:p>
        </w:tc>
        <w:tc>
          <w:tcPr>
            <w:tcW w:w="19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rPr>
              <w:t>Risk retained</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100,000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460"/>
              <w:spacing w:after="0"/>
              <w:rPr>
                <w:sz w:val="20"/>
                <w:szCs w:val="20"/>
                <w:color w:val="auto"/>
              </w:rPr>
            </w:pPr>
            <w:r>
              <w:rPr>
                <w:rFonts w:ascii="Arial" w:cs="Arial" w:eastAsia="Arial" w:hAnsi="Arial"/>
                <w:sz w:val="17"/>
                <w:szCs w:val="17"/>
                <w:color w:val="auto"/>
              </w:rPr>
              <w:t>Total reinsurance coverage per occurrence</w:t>
            </w:r>
          </w:p>
        </w:tc>
        <w:tc>
          <w:tcPr>
            <w:tcW w:w="19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4,900,000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4,900,000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460"/>
              <w:spacing w:after="0"/>
              <w:rPr>
                <w:sz w:val="20"/>
                <w:szCs w:val="20"/>
                <w:color w:val="auto"/>
              </w:rPr>
            </w:pPr>
            <w:r>
              <w:rPr>
                <w:rFonts w:ascii="Arial" w:cs="Arial" w:eastAsia="Arial" w:hAnsi="Arial"/>
                <w:sz w:val="17"/>
                <w:szCs w:val="17"/>
                <w:color w:val="auto"/>
                <w:w w:val="99"/>
              </w:rPr>
              <w:t>Losses per occurrence subject to quota share reinsurance coverage</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5,000,000</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Expiration date</w:t>
            </w:r>
          </w:p>
        </w:tc>
        <w:tc>
          <w:tcPr>
            <w:tcW w:w="3180" w:type="dxa"/>
            <w:vAlign w:val="bottom"/>
            <w:gridSpan w:val="2"/>
          </w:tcPr>
          <w:p>
            <w:pPr>
              <w:jc w:val="center"/>
              <w:ind w:left="1576"/>
              <w:spacing w:after="0"/>
              <w:rPr>
                <w:sz w:val="20"/>
                <w:szCs w:val="20"/>
                <w:color w:val="auto"/>
              </w:rPr>
            </w:pPr>
            <w:r>
              <w:rPr>
                <w:rFonts w:ascii="Arial" w:cs="Arial" w:eastAsia="Arial" w:hAnsi="Arial"/>
                <w:sz w:val="17"/>
                <w:szCs w:val="17"/>
                <w:color w:val="auto"/>
                <w:w w:val="89"/>
              </w:rPr>
              <w:t>June 30, 2018</w:t>
            </w:r>
          </w:p>
        </w:tc>
        <w:tc>
          <w:tcPr>
            <w:tcW w:w="1380" w:type="dxa"/>
            <w:vAlign w:val="bottom"/>
            <w:gridSpan w:val="2"/>
          </w:tcPr>
          <w:p>
            <w:pPr>
              <w:jc w:val="center"/>
              <w:ind w:right="56"/>
              <w:spacing w:after="0"/>
              <w:rPr>
                <w:sz w:val="20"/>
                <w:szCs w:val="20"/>
                <w:color w:val="auto"/>
              </w:rPr>
            </w:pPr>
            <w:r>
              <w:rPr>
                <w:rFonts w:ascii="Arial" w:cs="Arial" w:eastAsia="Arial" w:hAnsi="Arial"/>
                <w:sz w:val="17"/>
                <w:szCs w:val="17"/>
                <w:color w:val="auto"/>
                <w:w w:val="89"/>
              </w:rPr>
              <w:t>June 30, 2017</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560" w:type="dxa"/>
            <w:vAlign w:val="bottom"/>
            <w:gridSpan w:val="4"/>
          </w:tcPr>
          <w:p>
            <w:pPr>
              <w:spacing w:after="0" w:line="170" w:lineRule="exact"/>
              <w:rPr>
                <w:sz w:val="20"/>
                <w:szCs w:val="20"/>
                <w:color w:val="auto"/>
              </w:rPr>
            </w:pPr>
            <w:r>
              <w:rPr>
                <w:rFonts w:ascii="Arial" w:cs="Arial" w:eastAsia="Arial" w:hAnsi="Arial"/>
                <w:sz w:val="17"/>
                <w:szCs w:val="17"/>
                <w:color w:val="auto"/>
              </w:rPr>
              <w:t>Commercial Auto:</w:t>
            </w:r>
          </w:p>
        </w:tc>
        <w:tc>
          <w:tcPr>
            <w:tcW w:w="1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40" w:type="dxa"/>
            <w:vAlign w:val="bottom"/>
            <w:tcBorders>
              <w:top w:val="single" w:sz="8" w:color="auto"/>
              <w:right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Risk retained</w:t>
            </w:r>
          </w:p>
        </w:tc>
        <w:tc>
          <w:tcPr>
            <w:tcW w:w="4320" w:type="dxa"/>
            <w:vAlign w:val="bottom"/>
            <w:gridSpan w:val="2"/>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Excess of loss coverage in excess of risk retained</w:t>
            </w:r>
          </w:p>
        </w:tc>
        <w:tc>
          <w:tcPr>
            <w:tcW w:w="1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1,700,000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76"/>
              <w:spacing w:after="0"/>
              <w:rPr>
                <w:sz w:val="20"/>
                <w:szCs w:val="20"/>
                <w:color w:val="auto"/>
              </w:rPr>
            </w:pPr>
            <w:r>
              <w:rPr>
                <w:rFonts w:ascii="Arial" w:cs="Arial" w:eastAsia="Arial" w:hAnsi="Arial"/>
                <w:sz w:val="17"/>
                <w:szCs w:val="17"/>
                <w:color w:val="auto"/>
                <w:w w:val="89"/>
              </w:rPr>
              <w:t>in excess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60" w:type="dxa"/>
            <w:vAlign w:val="bottom"/>
            <w:gridSpan w:val="4"/>
            <w:shd w:val="clear" w:color="auto" w:fill="CCEEFF"/>
          </w:tcPr>
          <w:p>
            <w:pPr>
              <w:spacing w:after="0" w:line="170" w:lineRule="exact"/>
              <w:rPr>
                <w:sz w:val="20"/>
                <w:szCs w:val="20"/>
                <w:color w:val="auto"/>
              </w:rPr>
            </w:pPr>
            <w:r>
              <w:rPr>
                <w:rFonts w:ascii="Arial" w:cs="Arial" w:eastAsia="Arial" w:hAnsi="Arial"/>
                <w:sz w:val="17"/>
                <w:szCs w:val="17"/>
                <w:color w:val="auto"/>
              </w:rPr>
              <w:t>Catastrophe Reinsurance:</w:t>
            </w:r>
          </w:p>
        </w:tc>
        <w:tc>
          <w:tcPr>
            <w:tcW w:w="19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3880" w:type="dxa"/>
            <w:vAlign w:val="bottom"/>
            <w:shd w:val="clear" w:color="auto" w:fill="CCEEFF"/>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Initial loss subject to personal lines quota share treaty</w:t>
            </w:r>
          </w:p>
        </w:tc>
        <w:tc>
          <w:tcPr>
            <w:tcW w:w="19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5,000,000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5,000,000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4,000,000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Risk retained per catastrophe occurrence (2)</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4,000,000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3,000,000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2,400,000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Catastrophe loss coverage in excess of quota share coverage (3) (4)</w:t>
            </w:r>
          </w:p>
        </w:tc>
        <w:tc>
          <w:tcPr>
            <w:tcW w:w="19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315,000,000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6"/>
              <w:spacing w:after="0"/>
              <w:rPr>
                <w:sz w:val="20"/>
                <w:szCs w:val="20"/>
                <w:color w:val="auto"/>
              </w:rPr>
            </w:pPr>
            <w:r>
              <w:rPr>
                <w:rFonts w:ascii="Arial" w:cs="Arial" w:eastAsia="Arial" w:hAnsi="Arial"/>
                <w:sz w:val="17"/>
                <w:szCs w:val="17"/>
                <w:color w:val="auto"/>
              </w:rPr>
              <w:t>247,000,000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6"/>
              <w:spacing w:after="0"/>
              <w:rPr>
                <w:sz w:val="20"/>
                <w:szCs w:val="20"/>
                <w:color w:val="auto"/>
              </w:rPr>
            </w:pPr>
            <w:r>
              <w:rPr>
                <w:rFonts w:ascii="Arial" w:cs="Arial" w:eastAsia="Arial" w:hAnsi="Arial"/>
                <w:sz w:val="17"/>
                <w:szCs w:val="17"/>
                <w:color w:val="auto"/>
              </w:rPr>
              <w:t>176,000,000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gridSpan w:val="4"/>
            <w:shd w:val="clear" w:color="auto" w:fill="CCEEFF"/>
          </w:tcPr>
          <w:p>
            <w:pPr>
              <w:ind w:left="140"/>
              <w:spacing w:after="0"/>
              <w:rPr>
                <w:sz w:val="20"/>
                <w:szCs w:val="20"/>
                <w:color w:val="auto"/>
              </w:rPr>
            </w:pPr>
            <w:r>
              <w:rPr>
                <w:rFonts w:ascii="Arial" w:cs="Arial" w:eastAsia="Arial" w:hAnsi="Arial"/>
                <w:sz w:val="17"/>
                <w:szCs w:val="17"/>
                <w:color w:val="auto"/>
              </w:rPr>
              <w:t>Severe winter weather aggregate (4)</w:t>
            </w:r>
          </w:p>
        </w:tc>
        <w:tc>
          <w:tcPr>
            <w:tcW w:w="19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236"/>
              <w:spacing w:after="0"/>
              <w:rPr>
                <w:sz w:val="20"/>
                <w:szCs w:val="20"/>
                <w:color w:val="auto"/>
              </w:rPr>
            </w:pPr>
            <w:r>
              <w:rPr>
                <w:rFonts w:ascii="Arial" w:cs="Arial" w:eastAsia="Arial" w:hAnsi="Arial"/>
                <w:sz w:val="17"/>
                <w:szCs w:val="17"/>
                <w:color w:val="auto"/>
                <w:w w:val="91"/>
              </w:rPr>
              <w:t>No</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right="236"/>
              <w:spacing w:after="0"/>
              <w:rPr>
                <w:sz w:val="20"/>
                <w:szCs w:val="20"/>
                <w:color w:val="auto"/>
              </w:rPr>
            </w:pPr>
            <w:r>
              <w:rPr>
                <w:rFonts w:ascii="Arial" w:cs="Arial" w:eastAsia="Arial" w:hAnsi="Arial"/>
                <w:sz w:val="17"/>
                <w:szCs w:val="17"/>
                <w:color w:val="auto"/>
                <w:w w:val="91"/>
              </w:rPr>
              <w:t>No</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56"/>
              <w:spacing w:after="0"/>
              <w:rPr>
                <w:sz w:val="20"/>
                <w:szCs w:val="20"/>
                <w:color w:val="auto"/>
              </w:rPr>
            </w:pPr>
            <w:r>
              <w:rPr>
                <w:rFonts w:ascii="Arial" w:cs="Arial" w:eastAsia="Arial" w:hAnsi="Arial"/>
                <w:sz w:val="17"/>
                <w:szCs w:val="17"/>
                <w:color w:val="auto"/>
                <w:w w:val="81"/>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4"/>
          </w:tcPr>
          <w:p>
            <w:pPr>
              <w:ind w:left="140"/>
              <w:spacing w:after="0"/>
              <w:rPr>
                <w:sz w:val="20"/>
                <w:szCs w:val="20"/>
                <w:color w:val="auto"/>
              </w:rPr>
            </w:pPr>
            <w:r>
              <w:rPr>
                <w:rFonts w:ascii="Arial" w:cs="Arial" w:eastAsia="Arial" w:hAnsi="Arial"/>
                <w:sz w:val="17"/>
                <w:szCs w:val="17"/>
                <w:color w:val="auto"/>
              </w:rPr>
              <w:t>Reinstatement premium protection (5)</w:t>
            </w:r>
          </w:p>
        </w:tc>
        <w:tc>
          <w:tcPr>
            <w:tcW w:w="1980" w:type="dxa"/>
            <w:vAlign w:val="bottom"/>
          </w:tcPr>
          <w:p>
            <w:pPr>
              <w:spacing w:after="0"/>
              <w:rPr>
                <w:sz w:val="18"/>
                <w:szCs w:val="18"/>
                <w:color w:val="auto"/>
              </w:rPr>
            </w:pPr>
          </w:p>
        </w:tc>
        <w:tc>
          <w:tcPr>
            <w:tcW w:w="1200" w:type="dxa"/>
            <w:vAlign w:val="bottom"/>
          </w:tcPr>
          <w:p>
            <w:pPr>
              <w:jc w:val="center"/>
              <w:ind w:right="236"/>
              <w:spacing w:after="0"/>
              <w:rPr>
                <w:sz w:val="20"/>
                <w:szCs w:val="20"/>
                <w:color w:val="auto"/>
              </w:rPr>
            </w:pPr>
            <w:r>
              <w:rPr>
                <w:rFonts w:ascii="Arial" w:cs="Arial" w:eastAsia="Arial" w:hAnsi="Arial"/>
                <w:sz w:val="17"/>
                <w:szCs w:val="17"/>
                <w:color w:val="auto"/>
                <w:w w:val="81"/>
              </w:rPr>
              <w:t>Yes</w:t>
            </w:r>
          </w:p>
        </w:tc>
        <w:tc>
          <w:tcPr>
            <w:tcW w:w="180" w:type="dxa"/>
            <w:vAlign w:val="bottom"/>
          </w:tcPr>
          <w:p>
            <w:pPr>
              <w:spacing w:after="0"/>
              <w:rPr>
                <w:sz w:val="18"/>
                <w:szCs w:val="18"/>
                <w:color w:val="auto"/>
              </w:rPr>
            </w:pPr>
          </w:p>
        </w:tc>
        <w:tc>
          <w:tcPr>
            <w:tcW w:w="1200" w:type="dxa"/>
            <w:vAlign w:val="bottom"/>
          </w:tcPr>
          <w:p>
            <w:pPr>
              <w:jc w:val="center"/>
              <w:ind w:right="236"/>
              <w:spacing w:after="0"/>
              <w:rPr>
                <w:sz w:val="20"/>
                <w:szCs w:val="20"/>
                <w:color w:val="auto"/>
              </w:rPr>
            </w:pPr>
            <w:r>
              <w:rPr>
                <w:rFonts w:ascii="Arial" w:cs="Arial" w:eastAsia="Arial" w:hAnsi="Arial"/>
                <w:sz w:val="17"/>
                <w:szCs w:val="17"/>
                <w:color w:val="auto"/>
                <w:w w:val="81"/>
              </w:rPr>
              <w:t>Yes</w:t>
            </w:r>
          </w:p>
        </w:tc>
        <w:tc>
          <w:tcPr>
            <w:tcW w:w="160" w:type="dxa"/>
            <w:vAlign w:val="bottom"/>
          </w:tcPr>
          <w:p>
            <w:pPr>
              <w:spacing w:after="0"/>
              <w:rPr>
                <w:sz w:val="18"/>
                <w:szCs w:val="18"/>
                <w:color w:val="auto"/>
              </w:rPr>
            </w:pPr>
          </w:p>
        </w:tc>
        <w:tc>
          <w:tcPr>
            <w:tcW w:w="1120" w:type="dxa"/>
            <w:vAlign w:val="bottom"/>
          </w:tcPr>
          <w:p>
            <w:pPr>
              <w:jc w:val="center"/>
              <w:ind w:right="156"/>
              <w:spacing w:after="0"/>
              <w:rPr>
                <w:sz w:val="20"/>
                <w:szCs w:val="20"/>
                <w:color w:val="auto"/>
              </w:rPr>
            </w:pPr>
            <w:r>
              <w:rPr>
                <w:rFonts w:ascii="Arial" w:cs="Arial" w:eastAsia="Arial" w:hAnsi="Arial"/>
                <w:sz w:val="17"/>
                <w:szCs w:val="17"/>
                <w:color w:val="auto"/>
                <w:w w:val="81"/>
              </w:rPr>
              <w:t>Yes</w:t>
            </w:r>
          </w:p>
        </w:tc>
        <w:tc>
          <w:tcPr>
            <w:tcW w:w="0" w:type="dxa"/>
            <w:vAlign w:val="bottom"/>
          </w:tcPr>
          <w:p>
            <w:pPr>
              <w:spacing w:after="0"/>
              <w:rPr>
                <w:sz w:val="1"/>
                <w:szCs w:val="1"/>
                <w:color w:val="auto"/>
              </w:rPr>
            </w:pPr>
          </w:p>
        </w:tc>
      </w:tr>
      <w:tr>
        <w:trPr>
          <w:trHeight w:val="556"/>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696"/>
              <w:spacing w:after="0"/>
              <w:rPr>
                <w:sz w:val="20"/>
                <w:szCs w:val="20"/>
                <w:color w:val="auto"/>
              </w:rPr>
            </w:pPr>
            <w:r>
              <w:rPr>
                <w:rFonts w:ascii="Arial" w:cs="Arial" w:eastAsia="Arial" w:hAnsi="Arial"/>
                <w:sz w:val="13"/>
                <w:szCs w:val="13"/>
                <w:color w:val="auto"/>
              </w:rPr>
              <w:t>64</w:t>
            </w: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1" w:right="239" w:bottom="1440" w:gutter="0" w:footer="0" w:header="0"/>
        </w:sectPr>
      </w:pPr>
    </w:p>
    <w:bookmarkStart w:id="66" w:name="page67"/>
    <w:bookmarkEnd w:id="66"/>
    <w:p>
      <w:pPr>
        <w:ind w:left="640" w:hanging="321"/>
        <w:spacing w:after="0" w:line="260"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13" w:lineRule="exact"/>
        <w:rPr>
          <w:rFonts w:ascii="Arial" w:cs="Arial" w:eastAsia="Arial" w:hAnsi="Arial"/>
          <w:sz w:val="17"/>
          <w:szCs w:val="17"/>
          <w:color w:val="auto"/>
        </w:rPr>
      </w:pPr>
    </w:p>
    <w:p>
      <w:pPr>
        <w:ind w:left="640" w:hanging="321"/>
        <w:spacing w:after="0" w:line="272"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1" w:lineRule="exact"/>
        <w:rPr>
          <w:rFonts w:ascii="Arial" w:cs="Arial" w:eastAsia="Arial" w:hAnsi="Arial"/>
          <w:sz w:val="16"/>
          <w:szCs w:val="16"/>
          <w:color w:val="auto"/>
        </w:rPr>
      </w:pPr>
    </w:p>
    <w:p>
      <w:pPr>
        <w:ind w:left="640" w:hanging="321"/>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From July 1, 2015 through June 30, 2016, catastrophe treaty also covered losses caused by severe winter weather during any consecutive 28 day period.</w:t>
      </w:r>
    </w:p>
    <w:p>
      <w:pPr>
        <w:spacing w:after="0" w:line="36" w:lineRule="exact"/>
        <w:rPr>
          <w:rFonts w:ascii="Arial" w:cs="Arial" w:eastAsia="Arial" w:hAnsi="Arial"/>
          <w:sz w:val="15"/>
          <w:szCs w:val="15"/>
          <w:color w:val="auto"/>
        </w:rPr>
      </w:pPr>
    </w:p>
    <w:p>
      <w:pPr>
        <w:jc w:val="both"/>
        <w:ind w:left="640" w:hanging="321"/>
        <w:spacing w:after="0" w:line="265"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Effective July 1, 2015, reinstatement premium protection for $16,000,000 of catastrophe coverage in excess of $4,000,000. Effective July 1, 2016, reinstatement premium protection for $20,000,000 of catastrophe coverage in excess of $5,000,000. Effective July 1, 2017, reinstatement premium protection for $145,000,000 of catastrophe coverage in excess of $5,000,000.</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single maximum risks per occurrence to which we are subject under the new treaties that expired on June 30, 2017 and 2016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82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Treaty</w:t>
            </w:r>
          </w:p>
        </w:tc>
        <w:tc>
          <w:tcPr>
            <w:tcW w:w="240" w:type="dxa"/>
            <w:vAlign w:val="bottom"/>
            <w:vMerge w:val="restart"/>
          </w:tcPr>
          <w:p>
            <w:pPr>
              <w:spacing w:after="0"/>
              <w:rPr>
                <w:sz w:val="15"/>
                <w:szCs w:val="15"/>
                <w:color w:val="auto"/>
              </w:rPr>
            </w:pPr>
          </w:p>
        </w:tc>
        <w:tc>
          <w:tcPr>
            <w:tcW w:w="3100" w:type="dxa"/>
            <w:vAlign w:val="bottom"/>
            <w:tcBorders>
              <w:bottom w:val="single" w:sz="8" w:color="auto"/>
            </w:tcBorders>
            <w:gridSpan w:val="2"/>
          </w:tcPr>
          <w:p>
            <w:pPr>
              <w:ind w:left="1380"/>
              <w:spacing w:after="0"/>
              <w:rPr>
                <w:sz w:val="20"/>
                <w:szCs w:val="20"/>
                <w:color w:val="auto"/>
              </w:rPr>
            </w:pPr>
            <w:r>
              <w:rPr>
                <w:rFonts w:ascii="Arial" w:cs="Arial" w:eastAsia="Arial" w:hAnsi="Arial"/>
                <w:sz w:val="14"/>
                <w:szCs w:val="14"/>
                <w:b w:val="1"/>
                <w:bCs w:val="1"/>
                <w:color w:val="auto"/>
                <w:w w:val="93"/>
              </w:rPr>
              <w:t>July 1, 2016 - June 30, 2017</w:t>
            </w: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3"/>
          </w:tcPr>
          <w:p>
            <w:pPr>
              <w:ind w:left="1500"/>
              <w:spacing w:after="0"/>
              <w:rPr>
                <w:sz w:val="20"/>
                <w:szCs w:val="20"/>
                <w:color w:val="auto"/>
              </w:rPr>
            </w:pPr>
            <w:r>
              <w:rPr>
                <w:rFonts w:ascii="Arial" w:cs="Arial" w:eastAsia="Arial" w:hAnsi="Arial"/>
                <w:sz w:val="14"/>
                <w:szCs w:val="14"/>
                <w:b w:val="1"/>
                <w:bCs w:val="1"/>
                <w:color w:val="auto"/>
                <w:w w:val="97"/>
              </w:rPr>
              <w:t>July 1, 2015 - June 30, 2016</w:t>
            </w: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860" w:type="dxa"/>
            <w:vAlign w:val="bottom"/>
            <w:tcBorders>
              <w:bottom w:val="single" w:sz="8" w:color="auto"/>
            </w:tcBorders>
          </w:tcPr>
          <w:p>
            <w:pPr>
              <w:ind w:left="1000"/>
              <w:spacing w:after="0" w:line="157" w:lineRule="exact"/>
              <w:rPr>
                <w:sz w:val="20"/>
                <w:szCs w:val="20"/>
                <w:color w:val="auto"/>
              </w:rPr>
            </w:pPr>
            <w:r>
              <w:rPr>
                <w:rFonts w:ascii="Arial" w:cs="Arial" w:eastAsia="Arial" w:hAnsi="Arial"/>
                <w:sz w:val="14"/>
                <w:szCs w:val="14"/>
                <w:b w:val="1"/>
                <w:bCs w:val="1"/>
                <w:color w:val="auto"/>
              </w:rPr>
              <w:t>Extent of Loss</w:t>
            </w:r>
          </w:p>
        </w:tc>
        <w:tc>
          <w:tcPr>
            <w:tcW w:w="240" w:type="dxa"/>
            <w:vAlign w:val="bottom"/>
          </w:tcPr>
          <w:p>
            <w:pPr>
              <w:spacing w:after="0"/>
              <w:rPr>
                <w:sz w:val="14"/>
                <w:szCs w:val="14"/>
                <w:color w:val="auto"/>
              </w:rPr>
            </w:pPr>
          </w:p>
        </w:tc>
        <w:tc>
          <w:tcPr>
            <w:tcW w:w="136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b w:val="1"/>
                <w:bCs w:val="1"/>
                <w:color w:val="auto"/>
              </w:rPr>
              <w:t>Risk Retained</w:t>
            </w:r>
          </w:p>
        </w:tc>
        <w:tc>
          <w:tcPr>
            <w:tcW w:w="220" w:type="dxa"/>
            <w:vAlign w:val="bottom"/>
          </w:tcPr>
          <w:p>
            <w:pPr>
              <w:spacing w:after="0"/>
              <w:rPr>
                <w:sz w:val="14"/>
                <w:szCs w:val="14"/>
                <w:color w:val="auto"/>
              </w:rPr>
            </w:pPr>
          </w:p>
        </w:tc>
        <w:tc>
          <w:tcPr>
            <w:tcW w:w="2860" w:type="dxa"/>
            <w:vAlign w:val="bottom"/>
            <w:tcBorders>
              <w:bottom w:val="single" w:sz="8" w:color="auto"/>
            </w:tcBorders>
          </w:tcPr>
          <w:p>
            <w:pPr>
              <w:ind w:left="1020"/>
              <w:spacing w:after="0" w:line="157" w:lineRule="exact"/>
              <w:rPr>
                <w:sz w:val="20"/>
                <w:szCs w:val="20"/>
                <w:color w:val="auto"/>
              </w:rPr>
            </w:pPr>
            <w:r>
              <w:rPr>
                <w:rFonts w:ascii="Arial" w:cs="Arial" w:eastAsia="Arial" w:hAnsi="Arial"/>
                <w:sz w:val="14"/>
                <w:szCs w:val="14"/>
                <w:b w:val="1"/>
                <w:bCs w:val="1"/>
                <w:color w:val="auto"/>
              </w:rPr>
              <w:t>Extent of Loss</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96"/>
              <w:spacing w:after="0" w:line="157" w:lineRule="exact"/>
              <w:rPr>
                <w:sz w:val="20"/>
                <w:szCs w:val="20"/>
                <w:color w:val="auto"/>
              </w:rPr>
            </w:pPr>
            <w:r>
              <w:rPr>
                <w:rFonts w:ascii="Arial" w:cs="Arial" w:eastAsia="Arial" w:hAnsi="Arial"/>
                <w:sz w:val="14"/>
                <w:szCs w:val="14"/>
                <w:b w:val="1"/>
                <w:bCs w:val="1"/>
                <w:color w:val="auto"/>
              </w:rPr>
              <w:t>Risk Retained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$833,333</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$500,000</w:t>
            </w:r>
          </w:p>
        </w:tc>
        <w:tc>
          <w:tcPr>
            <w:tcW w:w="33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7"/>
                <w:szCs w:val="17"/>
                <w:color w:val="auto"/>
              </w:rPr>
              <w:t>$833,333 - $4,500,000</w:t>
            </w: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None(1)</w:t>
            </w:r>
          </w:p>
        </w:tc>
        <w:tc>
          <w:tcPr>
            <w:tcW w:w="2860" w:type="dxa"/>
            <w:vAlign w:val="bottom"/>
          </w:tcPr>
          <w:p>
            <w:pPr>
              <w:ind w:left="40"/>
              <w:spacing w:after="0"/>
              <w:rPr>
                <w:sz w:val="20"/>
                <w:szCs w:val="20"/>
                <w:color w:val="auto"/>
              </w:rPr>
            </w:pPr>
            <w:r>
              <w:rPr>
                <w:rFonts w:ascii="Arial" w:cs="Arial" w:eastAsia="Arial" w:hAnsi="Arial"/>
                <w:sz w:val="17"/>
                <w:szCs w:val="17"/>
                <w:color w:val="auto"/>
              </w:rPr>
              <w:t>$750,000 - $4,500,000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None(1)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33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$100,000</w:t>
            </w:r>
          </w:p>
        </w:tc>
        <w:tc>
          <w:tcPr>
            <w:tcW w:w="33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None</w:t>
            </w:r>
          </w:p>
        </w:tc>
        <w:tc>
          <w:tcPr>
            <w:tcW w:w="2860" w:type="dxa"/>
            <w:vAlign w:val="bottom"/>
          </w:tcPr>
          <w:p>
            <w:pPr>
              <w:ind w:left="40"/>
              <w:spacing w:after="0"/>
              <w:rPr>
                <w:sz w:val="20"/>
                <w:szCs w:val="20"/>
                <w:color w:val="auto"/>
              </w:rPr>
            </w:pPr>
            <w:r>
              <w:rPr>
                <w:rFonts w:ascii="Arial" w:cs="Arial" w:eastAsia="Arial" w:hAnsi="Arial"/>
                <w:sz w:val="17"/>
                <w:szCs w:val="17"/>
                <w:color w:val="auto"/>
              </w:rPr>
              <w:t>$1,000,000 - $3,000,000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33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$3,000,000</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$500,000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$500,000</w:t>
            </w:r>
          </w:p>
        </w:tc>
        <w:tc>
          <w:tcPr>
            <w:tcW w:w="33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$425,000</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$425,000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7"/>
                <w:szCs w:val="17"/>
                <w:color w:val="auto"/>
              </w:rPr>
              <w:t>$500,000 - $4,500,000</w:t>
            </w: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None(1)</w:t>
            </w:r>
          </w:p>
        </w:tc>
        <w:tc>
          <w:tcPr>
            <w:tcW w:w="2860" w:type="dxa"/>
            <w:vAlign w:val="bottom"/>
          </w:tcPr>
          <w:p>
            <w:pPr>
              <w:ind w:left="40"/>
              <w:spacing w:after="0"/>
              <w:rPr>
                <w:sz w:val="20"/>
                <w:szCs w:val="20"/>
                <w:color w:val="auto"/>
              </w:rPr>
            </w:pPr>
            <w:r>
              <w:rPr>
                <w:rFonts w:ascii="Arial" w:cs="Arial" w:eastAsia="Arial" w:hAnsi="Arial"/>
                <w:sz w:val="17"/>
                <w:szCs w:val="17"/>
                <w:color w:val="auto"/>
              </w:rPr>
              <w:t>$425,000 - $4,500,000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None(1)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33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$100,000</w:t>
            </w: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None</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(2)</w:t>
            </w: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Initial $5,000,000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$3,000,000</w:t>
            </w:r>
          </w:p>
        </w:tc>
        <w:tc>
          <w:tcPr>
            <w:tcW w:w="33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Initial $4,000,000</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$2,400,000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ind w:left="40"/>
              <w:spacing w:after="0"/>
              <w:rPr>
                <w:sz w:val="20"/>
                <w:szCs w:val="20"/>
                <w:color w:val="auto"/>
              </w:rPr>
            </w:pPr>
            <w:r>
              <w:rPr>
                <w:rFonts w:ascii="Arial" w:cs="Arial" w:eastAsia="Arial" w:hAnsi="Arial"/>
                <w:sz w:val="17"/>
                <w:szCs w:val="17"/>
                <w:color w:val="auto"/>
              </w:rPr>
              <w:t>$5,000,000 - $252,000,000</w:t>
            </w: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None</w:t>
            </w:r>
          </w:p>
        </w:tc>
        <w:tc>
          <w:tcPr>
            <w:tcW w:w="2860" w:type="dxa"/>
            <w:vAlign w:val="bottom"/>
          </w:tcPr>
          <w:p>
            <w:pPr>
              <w:ind w:left="40"/>
              <w:spacing w:after="0"/>
              <w:rPr>
                <w:sz w:val="20"/>
                <w:szCs w:val="20"/>
                <w:color w:val="auto"/>
              </w:rPr>
            </w:pPr>
            <w:r>
              <w:rPr>
                <w:rFonts w:ascii="Arial" w:cs="Arial" w:eastAsia="Arial" w:hAnsi="Arial"/>
                <w:sz w:val="17"/>
                <w:szCs w:val="17"/>
                <w:color w:val="auto"/>
              </w:rPr>
              <w:t>$4,000,000 - $180,000,000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Over $252,000,000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330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Over $180,000,000</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40" w:hanging="308"/>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57" w:lineRule="exact"/>
        <w:rPr>
          <w:rFonts w:ascii="Arial" w:cs="Arial" w:eastAsia="Arial" w:hAnsi="Arial"/>
          <w:sz w:val="17"/>
          <w:szCs w:val="17"/>
          <w:color w:val="auto"/>
        </w:rPr>
      </w:pPr>
    </w:p>
    <w:p>
      <w:pPr>
        <w:ind w:left="940" w:hanging="308"/>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7" w:name="page68"/>
    <w:bookmarkEnd w:id="67"/>
    <w:p>
      <w:pPr>
        <w:ind w:left="40"/>
        <w:spacing w:after="0"/>
        <w:rPr>
          <w:sz w:val="20"/>
          <w:szCs w:val="20"/>
          <w:color w:val="auto"/>
        </w:rPr>
      </w:pPr>
      <w:r>
        <w:rPr>
          <w:rFonts w:ascii="Arial" w:cs="Arial" w:eastAsia="Arial" w:hAnsi="Arial"/>
          <w:sz w:val="17"/>
          <w:szCs w:val="17"/>
          <w:color w:val="auto"/>
        </w:rPr>
        <w:t>The single maximum risks per occurrence to which we are subject under the new treaties that effective July 1, 2017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98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Treaty</w:t>
            </w:r>
          </w:p>
        </w:tc>
        <w:tc>
          <w:tcPr>
            <w:tcW w:w="360" w:type="dxa"/>
            <w:vAlign w:val="bottom"/>
            <w:vMerge w:val="restart"/>
          </w:tcPr>
          <w:p>
            <w:pPr>
              <w:spacing w:after="0"/>
              <w:rPr>
                <w:sz w:val="15"/>
                <w:szCs w:val="15"/>
                <w:color w:val="auto"/>
              </w:rPr>
            </w:pPr>
          </w:p>
        </w:tc>
        <w:tc>
          <w:tcPr>
            <w:tcW w:w="2580" w:type="dxa"/>
            <w:vAlign w:val="bottom"/>
          </w:tcPr>
          <w:p>
            <w:pPr>
              <w:spacing w:after="0"/>
              <w:rPr>
                <w:sz w:val="15"/>
                <w:szCs w:val="15"/>
                <w:color w:val="auto"/>
              </w:rPr>
            </w:pPr>
          </w:p>
        </w:tc>
        <w:tc>
          <w:tcPr>
            <w:tcW w:w="4500" w:type="dxa"/>
            <w:vAlign w:val="bottom"/>
            <w:gridSpan w:val="4"/>
          </w:tcPr>
          <w:p>
            <w:pPr>
              <w:ind w:left="100"/>
              <w:spacing w:after="0"/>
              <w:rPr>
                <w:sz w:val="20"/>
                <w:szCs w:val="20"/>
                <w:color w:val="auto"/>
              </w:rPr>
            </w:pPr>
            <w:r>
              <w:rPr>
                <w:rFonts w:ascii="Arial" w:cs="Arial" w:eastAsia="Arial" w:hAnsi="Arial"/>
                <w:sz w:val="14"/>
                <w:szCs w:val="14"/>
                <w:b w:val="1"/>
                <w:bCs w:val="1"/>
                <w:color w:val="auto"/>
              </w:rPr>
              <w:t>July 1, 2017 - June 30, 2018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8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2580" w:type="dxa"/>
            <w:vAlign w:val="bottom"/>
            <w:tcBorders>
              <w:top w:val="single" w:sz="8" w:color="auto"/>
              <w:bottom w:val="single" w:sz="8" w:color="auto"/>
            </w:tcBorders>
          </w:tcPr>
          <w:p>
            <w:pPr>
              <w:ind w:left="1580"/>
              <w:spacing w:after="0" w:line="157" w:lineRule="exact"/>
              <w:rPr>
                <w:sz w:val="20"/>
                <w:szCs w:val="20"/>
                <w:color w:val="auto"/>
              </w:rPr>
            </w:pPr>
            <w:r>
              <w:rPr>
                <w:rFonts w:ascii="Arial" w:cs="Arial" w:eastAsia="Arial" w:hAnsi="Arial"/>
                <w:sz w:val="14"/>
                <w:szCs w:val="14"/>
                <w:b w:val="1"/>
                <w:bCs w:val="1"/>
                <w:color w:val="auto"/>
              </w:rPr>
              <w:t>Extent of Loss</w:t>
            </w:r>
          </w:p>
        </w:tc>
        <w:tc>
          <w:tcPr>
            <w:tcW w:w="14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740" w:type="dxa"/>
            <w:vAlign w:val="bottom"/>
            <w:tcBorders>
              <w:top w:val="single" w:sz="8" w:color="auto"/>
              <w:bottom w:val="single" w:sz="8" w:color="auto"/>
            </w:tcBorders>
          </w:tcPr>
          <w:p>
            <w:pPr>
              <w:jc w:val="right"/>
              <w:ind w:right="837"/>
              <w:spacing w:after="0" w:line="157" w:lineRule="exact"/>
              <w:rPr>
                <w:sz w:val="20"/>
                <w:szCs w:val="20"/>
                <w:color w:val="auto"/>
              </w:rPr>
            </w:pPr>
            <w:r>
              <w:rPr>
                <w:rFonts w:ascii="Arial" w:cs="Arial" w:eastAsia="Arial" w:hAnsi="Arial"/>
                <w:sz w:val="14"/>
                <w:szCs w:val="14"/>
                <w:b w:val="1"/>
                <w:bCs w:val="1"/>
                <w:color w:val="auto"/>
              </w:rPr>
              <w:t>Risk Retained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Lines (1)</w:t>
            </w:r>
          </w:p>
        </w:tc>
        <w:tc>
          <w:tcPr>
            <w:tcW w:w="2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Arial" w:cs="Arial" w:eastAsia="Arial" w:hAnsi="Arial"/>
                <w:sz w:val="17"/>
                <w:szCs w:val="17"/>
                <w:color w:val="auto"/>
              </w:rPr>
              <w:t>$1,000,000 - $10,000,000</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None(2)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$10,000,000</w:t>
            </w: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Personal Umbrella</w:t>
            </w:r>
          </w:p>
        </w:tc>
        <w:tc>
          <w:tcPr>
            <w:tcW w:w="2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Lines</w:t>
            </w:r>
          </w:p>
        </w:tc>
        <w:tc>
          <w:tcPr>
            <w:tcW w:w="2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$750,000</w:t>
            </w: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Arial" w:cs="Arial" w:eastAsia="Arial" w:hAnsi="Arial"/>
                <w:sz w:val="17"/>
                <w:szCs w:val="17"/>
                <w:color w:val="auto"/>
              </w:rPr>
              <w:t>$750,000 - $4,500,000</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None(3)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$4,500,000</w:t>
            </w: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 Umbrella</w:t>
            </w:r>
          </w:p>
        </w:tc>
        <w:tc>
          <w:tcPr>
            <w:tcW w:w="2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$1,000,000</w:t>
            </w: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Arial" w:cs="Arial" w:eastAsia="Arial" w:hAnsi="Arial"/>
                <w:sz w:val="17"/>
                <w:szCs w:val="17"/>
                <w:color w:val="auto"/>
              </w:rPr>
              <w:t>$1,000,000 - $5,000,000</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$5,000,000</w:t>
            </w: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Catastrophe (4)</w:t>
            </w:r>
          </w:p>
        </w:tc>
        <w:tc>
          <w:tcPr>
            <w:tcW w:w="2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Initial $5,000,000</w:t>
            </w: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Arial" w:cs="Arial" w:eastAsia="Arial" w:hAnsi="Arial"/>
                <w:sz w:val="17"/>
                <w:szCs w:val="17"/>
                <w:color w:val="auto"/>
              </w:rPr>
              <w:t>$5,000,000 - $320,000,000</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Over $320,000,000</w:t>
            </w:r>
          </w:p>
        </w:tc>
        <w:tc>
          <w:tcPr>
            <w:tcW w:w="4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40" w:hanging="321"/>
        <w:spacing w:after="0" w:line="281"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Two year treaty with expiration date of June 30, 2019. We and the reinsurers have the option to reduce quota share rate or terminate on June 30, 2018 as discussed above.</w:t>
      </w:r>
    </w:p>
    <w:p>
      <w:pPr>
        <w:spacing w:after="0" w:line="104" w:lineRule="exact"/>
        <w:rPr>
          <w:rFonts w:ascii="Arial" w:cs="Arial" w:eastAsia="Arial" w:hAnsi="Arial"/>
          <w:sz w:val="17"/>
          <w:szCs w:val="17"/>
          <w:color w:val="auto"/>
        </w:rPr>
      </w:pPr>
    </w:p>
    <w:p>
      <w:pPr>
        <w:ind w:left="640" w:hanging="321"/>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Covered by excess of loss treaties up to $3,500,000 and by facultative facility from $3,500,000 to $10,000,000.</w:t>
      </w:r>
    </w:p>
    <w:p>
      <w:pPr>
        <w:spacing w:after="0" w:line="157" w:lineRule="exact"/>
        <w:rPr>
          <w:rFonts w:ascii="Arial" w:cs="Arial" w:eastAsia="Arial" w:hAnsi="Arial"/>
          <w:sz w:val="17"/>
          <w:szCs w:val="17"/>
          <w:color w:val="auto"/>
        </w:rPr>
      </w:pPr>
    </w:p>
    <w:p>
      <w:pPr>
        <w:ind w:left="640" w:hanging="321"/>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Covered by excess of loss treaties.</w:t>
      </w:r>
    </w:p>
    <w:p>
      <w:pPr>
        <w:spacing w:after="0" w:line="157" w:lineRule="exact"/>
        <w:rPr>
          <w:rFonts w:ascii="Arial" w:cs="Arial" w:eastAsia="Arial" w:hAnsi="Arial"/>
          <w:sz w:val="17"/>
          <w:szCs w:val="17"/>
          <w:color w:val="auto"/>
        </w:rPr>
      </w:pPr>
    </w:p>
    <w:p>
      <w:pPr>
        <w:ind w:left="640" w:hanging="321"/>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62" w:lineRule="exact"/>
        <w:rPr>
          <w:sz w:val="20"/>
          <w:szCs w:val="20"/>
          <w:color w:val="auto"/>
        </w:rPr>
      </w:pPr>
    </w:p>
    <w:p>
      <w:pPr>
        <w:jc w:val="both"/>
        <w:ind w:firstLine="628"/>
        <w:spacing w:after="0" w:line="314"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That May Affect Future Results and Financial Condition</w:t>
      </w:r>
    </w:p>
    <w:p>
      <w:pPr>
        <w:spacing w:after="0" w:line="162" w:lineRule="exact"/>
        <w:rPr>
          <w:sz w:val="20"/>
          <w:szCs w:val="20"/>
          <w:color w:val="auto"/>
        </w:rPr>
      </w:pPr>
    </w:p>
    <w:p>
      <w:pPr>
        <w:jc w:val="both"/>
        <w:ind w:firstLine="628"/>
        <w:spacing w:after="0" w:line="311" w:lineRule="auto"/>
        <w:rPr>
          <w:sz w:val="20"/>
          <w:szCs w:val="20"/>
          <w:color w:val="auto"/>
        </w:rPr>
      </w:pPr>
      <w:r>
        <w:rPr>
          <w:rFonts w:ascii="Arial" w:cs="Arial" w:eastAsia="Arial" w:hAnsi="Arial"/>
          <w:sz w:val="15"/>
          <w:szCs w:val="15"/>
          <w:color w:val="auto"/>
        </w:rPr>
        <w:t>Based upon the factors set forth under “Factors That May Affect Future Results and Financial Condition” in Item 7 of our Annual Report on Form 10-K for the year ended December 31, 2016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In addition, such factors, among others, may affect the accuracy of certain forward-looking statements contained in our periodic reports, including this Quarterly Report.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Quantitative and Qualitative Disclosures About Market Risk</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u w:val="single" w:color="auto"/>
          <w:color w:val="auto"/>
        </w:rPr>
        <w:t>Controls and Procedures</w:t>
      </w:r>
      <w:r>
        <w:rPr>
          <w:rFonts w:ascii="Arial" w:cs="Arial" w:eastAsia="Arial" w:hAnsi="Arial"/>
          <w:sz w:val="17"/>
          <w:szCs w:val="17"/>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23"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We maintain disclosure controls and procedures (as defined in Exchange Act Rule 13a-15(e)) that are designed to assure that information required to be disclosed in our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118" w:lineRule="exact"/>
        <w:rPr>
          <w:sz w:val="20"/>
          <w:szCs w:val="20"/>
          <w:color w:val="auto"/>
        </w:rPr>
      </w:pPr>
    </w:p>
    <w:p>
      <w:pPr>
        <w:jc w:val="both"/>
        <w:ind w:firstLine="628"/>
        <w:spacing w:after="0" w:line="293" w:lineRule="auto"/>
        <w:rPr>
          <w:sz w:val="20"/>
          <w:szCs w:val="20"/>
          <w:color w:val="auto"/>
        </w:rPr>
      </w:pPr>
      <w:r>
        <w:rPr>
          <w:rFonts w:ascii="Arial" w:cs="Arial" w:eastAsia="Arial" w:hAnsi="Arial"/>
          <w:sz w:val="16"/>
          <w:szCs w:val="16"/>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June 30, 2017.</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58" w:lineRule="exact"/>
        <w:rPr>
          <w:sz w:val="20"/>
          <w:szCs w:val="20"/>
          <w:color w:val="auto"/>
        </w:rPr>
      </w:pPr>
    </w:p>
    <w:p>
      <w:pPr>
        <w:jc w:val="both"/>
        <w:ind w:firstLine="628"/>
        <w:spacing w:after="0" w:line="281" w:lineRule="auto"/>
        <w:rPr>
          <w:sz w:val="20"/>
          <w:szCs w:val="20"/>
          <w:color w:val="auto"/>
        </w:rPr>
      </w:pPr>
      <w:r>
        <w:rPr>
          <w:rFonts w:ascii="Arial" w:cs="Arial" w:eastAsia="Arial" w:hAnsi="Arial"/>
          <w:sz w:val="17"/>
          <w:szCs w:val="17"/>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7"/>
          <w:szCs w:val="17"/>
          <w:b w:val="1"/>
          <w:bCs w:val="1"/>
          <w:color w:val="auto"/>
        </w:rPr>
        <w:t xml:space="preserve">PART II. </w:t>
      </w:r>
      <w:r>
        <w:rPr>
          <w:rFonts w:ascii="Arial" w:cs="Arial" w:eastAsia="Arial" w:hAnsi="Arial"/>
          <w:sz w:val="17"/>
          <w:szCs w:val="17"/>
          <w:b w:val="1"/>
          <w:bCs w:val="1"/>
          <w:u w:val="single" w:color="auto"/>
          <w:color w:val="auto"/>
        </w:rPr>
        <w:t>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u w:val="single" w:color="auto"/>
          <w:color w:val="auto"/>
        </w:rPr>
        <w:t>Legal Proceedings</w:t>
      </w:r>
      <w:r>
        <w:rPr>
          <w:rFonts w:ascii="Arial" w:cs="Arial" w:eastAsia="Arial" w:hAnsi="Arial"/>
          <w:sz w:val="17"/>
          <w:szCs w:val="17"/>
          <w:color w:val="auto"/>
        </w:rPr>
        <w:t>.</w:t>
      </w:r>
    </w:p>
    <w:p>
      <w:pPr>
        <w:spacing w:after="0" w:line="227" w:lineRule="exact"/>
        <w:rPr>
          <w:sz w:val="20"/>
          <w:szCs w:val="20"/>
          <w:color w:val="auto"/>
        </w:rPr>
      </w:pPr>
    </w:p>
    <w:p>
      <w:pPr>
        <w:jc w:val="center"/>
        <w:ind w:right="9780"/>
        <w:spacing w:after="0"/>
        <w:rPr>
          <w:sz w:val="20"/>
          <w:szCs w:val="20"/>
          <w:color w:val="auto"/>
        </w:rPr>
      </w:pPr>
      <w:r>
        <w:rPr>
          <w:rFonts w:ascii="Arial" w:cs="Arial" w:eastAsia="Arial" w:hAnsi="Arial"/>
          <w:sz w:val="17"/>
          <w:szCs w:val="17"/>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u w:val="single" w:color="auto"/>
          <w:color w:val="auto"/>
        </w:rPr>
        <w:t>Risk Factors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1043305</wp:posOffset>
            </wp:positionH>
            <wp:positionV relativeFrom="paragraph">
              <wp:posOffset>-7620</wp:posOffset>
            </wp:positionV>
            <wp:extent cx="27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u w:val="single" w:color="auto"/>
          <w:color w:val="auto"/>
        </w:rPr>
        <w:t>Unregistered Sales of Equity Securities and Use of Proceeds</w:t>
      </w:r>
      <w:r>
        <w:rPr>
          <w:rFonts w:ascii="Arial" w:cs="Arial" w:eastAsia="Arial" w:hAnsi="Arial"/>
          <w:sz w:val="17"/>
          <w:szCs w:val="17"/>
          <w:color w:val="auto"/>
        </w:rPr>
        <w:t>.</w:t>
      </w:r>
    </w:p>
    <w:p>
      <w:pPr>
        <w:spacing w:after="0" w:line="162" w:lineRule="exact"/>
        <w:rPr>
          <w:sz w:val="20"/>
          <w:szCs w:val="20"/>
          <w:color w:val="auto"/>
        </w:rPr>
      </w:pPr>
    </w:p>
    <w:p>
      <w:pPr>
        <w:ind w:left="900" w:hanging="268"/>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None</w:t>
      </w:r>
    </w:p>
    <w:p>
      <w:pPr>
        <w:spacing w:after="0" w:line="223" w:lineRule="exact"/>
        <w:rPr>
          <w:rFonts w:ascii="Arial" w:cs="Arial" w:eastAsia="Arial" w:hAnsi="Arial"/>
          <w:sz w:val="17"/>
          <w:szCs w:val="17"/>
          <w:color w:val="auto"/>
        </w:rPr>
      </w:pPr>
    </w:p>
    <w:p>
      <w:pPr>
        <w:ind w:left="920" w:hanging="288"/>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23" w:lineRule="exact"/>
        <w:rPr>
          <w:rFonts w:ascii="Arial" w:cs="Arial" w:eastAsia="Arial" w:hAnsi="Arial"/>
          <w:sz w:val="17"/>
          <w:szCs w:val="17"/>
          <w:color w:val="auto"/>
        </w:rPr>
      </w:pPr>
    </w:p>
    <w:p>
      <w:pPr>
        <w:ind w:firstLine="632"/>
        <w:spacing w:after="0" w:line="281" w:lineRule="auto"/>
        <w:tabs>
          <w:tab w:leader="none" w:pos="86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following table sets forth certain information with respect to purchases of common stock made by us or any “affiliated purchaser” during the quarter ended June 30, 2017:</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3"/>
                <w:szCs w:val="13"/>
                <w:color w:val="auto"/>
              </w:rPr>
            </w:pPr>
          </w:p>
        </w:tc>
        <w:tc>
          <w:tcPr>
            <w:tcW w:w="1080" w:type="dxa"/>
            <w:vAlign w:val="bottom"/>
          </w:tcPr>
          <w:p>
            <w:pPr>
              <w:jc w:val="center"/>
              <w:ind w:right="221"/>
              <w:spacing w:after="0" w:line="157" w:lineRule="exact"/>
              <w:rPr>
                <w:sz w:val="20"/>
                <w:szCs w:val="20"/>
                <w:color w:val="auto"/>
              </w:rPr>
            </w:pPr>
            <w:r>
              <w:rPr>
                <w:rFonts w:ascii="Arial" w:cs="Arial" w:eastAsia="Arial" w:hAnsi="Arial"/>
                <w:sz w:val="14"/>
                <w:szCs w:val="14"/>
                <w:b w:val="1"/>
                <w:bCs w:val="1"/>
                <w:color w:val="auto"/>
                <w:w w:val="90"/>
              </w:rPr>
              <w:t>Average</w:t>
            </w:r>
          </w:p>
        </w:tc>
        <w:tc>
          <w:tcPr>
            <w:tcW w:w="2280" w:type="dxa"/>
            <w:vAlign w:val="bottom"/>
          </w:tcPr>
          <w:p>
            <w:pPr>
              <w:jc w:val="right"/>
              <w:ind w:right="162"/>
              <w:spacing w:after="0" w:line="157" w:lineRule="exact"/>
              <w:rPr>
                <w:sz w:val="20"/>
                <w:szCs w:val="20"/>
                <w:color w:val="auto"/>
              </w:rPr>
            </w:pPr>
            <w:r>
              <w:rPr>
                <w:rFonts w:ascii="Arial" w:cs="Arial" w:eastAsia="Arial" w:hAnsi="Arial"/>
                <w:sz w:val="14"/>
                <w:szCs w:val="14"/>
                <w:b w:val="1"/>
                <w:bCs w:val="1"/>
                <w:color w:val="auto"/>
              </w:rPr>
              <w:t>Purchased as Part of Publicly</w:t>
            </w:r>
          </w:p>
        </w:tc>
        <w:tc>
          <w:tcPr>
            <w:tcW w:w="22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0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Period</w:t>
            </w: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3"/>
                <w:szCs w:val="13"/>
                <w:color w:val="auto"/>
              </w:rPr>
            </w:pPr>
          </w:p>
        </w:tc>
        <w:tc>
          <w:tcPr>
            <w:tcW w:w="1080" w:type="dxa"/>
            <w:vAlign w:val="bottom"/>
          </w:tcPr>
          <w:p>
            <w:pPr>
              <w:jc w:val="center"/>
              <w:ind w:right="201"/>
              <w:spacing w:after="0" w:line="157" w:lineRule="exact"/>
              <w:rPr>
                <w:sz w:val="20"/>
                <w:szCs w:val="20"/>
                <w:color w:val="auto"/>
              </w:rPr>
            </w:pPr>
            <w:r>
              <w:rPr>
                <w:rFonts w:ascii="Arial" w:cs="Arial" w:eastAsia="Arial" w:hAnsi="Arial"/>
                <w:sz w:val="14"/>
                <w:szCs w:val="14"/>
                <w:b w:val="1"/>
                <w:bCs w:val="1"/>
                <w:color w:val="auto"/>
                <w:w w:val="94"/>
              </w:rPr>
              <w:t>Price Paid</w:t>
            </w:r>
          </w:p>
        </w:tc>
        <w:tc>
          <w:tcPr>
            <w:tcW w:w="22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2"/>
              </w:rPr>
              <w:t>Announced Plans or</w:t>
            </w:r>
          </w:p>
        </w:tc>
        <w:tc>
          <w:tcPr>
            <w:tcW w:w="22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that May Be Purchased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10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2"/>
              </w:rPr>
              <w:t>per Share</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4/1/17 – 4/30/17</w:t>
            </w:r>
          </w:p>
        </w:tc>
        <w:tc>
          <w:tcPr>
            <w:tcW w:w="138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280" w:type="dxa"/>
            <w:vAlign w:val="bottom"/>
            <w:shd w:val="clear" w:color="auto" w:fill="CCEEFF"/>
          </w:tcPr>
          <w:p>
            <w:pPr>
              <w:jc w:val="right"/>
              <w:ind w:right="162"/>
              <w:spacing w:after="0"/>
              <w:rPr>
                <w:sz w:val="20"/>
                <w:szCs w:val="20"/>
                <w:color w:val="auto"/>
              </w:rPr>
            </w:pPr>
            <w:r>
              <w:rPr>
                <w:rFonts w:ascii="Arial" w:cs="Arial" w:eastAsia="Arial" w:hAnsi="Arial"/>
                <w:sz w:val="17"/>
                <w:szCs w:val="17"/>
                <w:color w:val="auto"/>
              </w:rPr>
              <w:t>-</w:t>
            </w:r>
          </w:p>
        </w:tc>
        <w:tc>
          <w:tcPr>
            <w:tcW w:w="226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5/1/17 – 5/31/17</w:t>
            </w:r>
          </w:p>
        </w:tc>
        <w:tc>
          <w:tcPr>
            <w:tcW w:w="1380" w:type="dxa"/>
            <w:vAlign w:val="bottom"/>
          </w:tcPr>
          <w:p>
            <w:pPr>
              <w:jc w:val="right"/>
              <w:ind w:right="62"/>
              <w:spacing w:after="0"/>
              <w:rPr>
                <w:sz w:val="20"/>
                <w:szCs w:val="20"/>
                <w:color w:val="auto"/>
              </w:rPr>
            </w:pPr>
            <w:r>
              <w:rPr>
                <w:rFonts w:ascii="Arial" w:cs="Arial" w:eastAsia="Arial" w:hAnsi="Arial"/>
                <w:sz w:val="17"/>
                <w:szCs w:val="17"/>
                <w:color w:val="auto"/>
              </w:rPr>
              <w:t>1,225</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61"/>
              <w:spacing w:after="0"/>
              <w:rPr>
                <w:sz w:val="20"/>
                <w:szCs w:val="20"/>
                <w:color w:val="auto"/>
              </w:rPr>
            </w:pPr>
            <w:r>
              <w:rPr>
                <w:rFonts w:ascii="Arial" w:cs="Arial" w:eastAsia="Arial" w:hAnsi="Arial"/>
                <w:sz w:val="17"/>
                <w:szCs w:val="17"/>
                <w:color w:val="auto"/>
              </w:rPr>
              <w:t>14.65</w:t>
            </w:r>
          </w:p>
        </w:tc>
        <w:tc>
          <w:tcPr>
            <w:tcW w:w="2280" w:type="dxa"/>
            <w:vAlign w:val="bottom"/>
          </w:tcPr>
          <w:p>
            <w:pPr>
              <w:jc w:val="right"/>
              <w:ind w:right="162"/>
              <w:spacing w:after="0"/>
              <w:rPr>
                <w:sz w:val="20"/>
                <w:szCs w:val="20"/>
                <w:color w:val="auto"/>
              </w:rPr>
            </w:pPr>
            <w:r>
              <w:rPr>
                <w:rFonts w:ascii="Arial" w:cs="Arial" w:eastAsia="Arial" w:hAnsi="Arial"/>
                <w:sz w:val="17"/>
                <w:szCs w:val="17"/>
                <w:color w:val="auto"/>
              </w:rPr>
              <w:t>-</w:t>
            </w:r>
          </w:p>
        </w:tc>
        <w:tc>
          <w:tcPr>
            <w:tcW w:w="2260" w:type="dxa"/>
            <w:vAlign w:val="bottom"/>
          </w:tcPr>
          <w:p>
            <w:pPr>
              <w:jc w:val="right"/>
              <w:ind w:right="14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6/1/17 – 6/30/17</w:t>
            </w:r>
          </w:p>
        </w:tc>
        <w:tc>
          <w:tcPr>
            <w:tcW w:w="13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7"/>
                <w:szCs w:val="17"/>
                <w:color w:val="auto"/>
              </w:rPr>
              <w:t>2,103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14.40</w:t>
            </w:r>
          </w:p>
        </w:tc>
        <w:tc>
          <w:tcPr>
            <w:tcW w:w="22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Total</w:t>
            </w: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7"/>
                <w:szCs w:val="17"/>
                <w:color w:val="auto"/>
              </w:rPr>
              <w:t>3,328</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61"/>
              <w:spacing w:after="0"/>
              <w:rPr>
                <w:sz w:val="20"/>
                <w:szCs w:val="20"/>
                <w:color w:val="auto"/>
              </w:rPr>
            </w:pPr>
            <w:r>
              <w:rPr>
                <w:rFonts w:ascii="Arial" w:cs="Arial" w:eastAsia="Arial" w:hAnsi="Arial"/>
                <w:sz w:val="17"/>
                <w:szCs w:val="17"/>
                <w:color w:val="auto"/>
              </w:rPr>
              <w:t>14.49</w:t>
            </w:r>
          </w:p>
        </w:tc>
        <w:tc>
          <w:tcPr>
            <w:tcW w:w="2280" w:type="dxa"/>
            <w:vAlign w:val="bottom"/>
            <w:tcBorders>
              <w:bottom w:val="single" w:sz="8" w:color="auto"/>
            </w:tcBorders>
          </w:tcPr>
          <w:p>
            <w:pPr>
              <w:jc w:val="right"/>
              <w:ind w:right="162"/>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auto"/>
            </w:tcBorders>
          </w:tcPr>
          <w:p>
            <w:pPr>
              <w:jc w:val="right"/>
              <w:ind w:right="14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  Purchases were made by us in open market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Defaults Upon Senior Securities</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u w:val="single" w:color="auto"/>
          <w:color w:val="auto"/>
        </w:rPr>
        <w:t>Mine Safety Disclosures</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u w:val="single" w:color="auto"/>
          <w:color w:val="auto"/>
        </w:rPr>
        <w:t>Other Information</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u w:val="single" w:color="auto"/>
          <w:color w:val="auto"/>
        </w:rPr>
        <w:t>Exhibits</w:t>
      </w:r>
      <w:r>
        <w:rPr>
          <w:rFonts w:ascii="Arial" w:cs="Arial" w:eastAsia="Arial" w:hAnsi="Arial"/>
          <w:sz w:val="17"/>
          <w:szCs w:val="17"/>
          <w:color w:val="auto"/>
        </w:rPr>
        <w:t>.</w:t>
      </w:r>
    </w:p>
    <w:p>
      <w:pPr>
        <w:spacing w:after="0" w:line="227" w:lineRule="exact"/>
        <w:rPr>
          <w:sz w:val="20"/>
          <w:szCs w:val="20"/>
          <w:color w:val="auto"/>
        </w:rPr>
      </w:pPr>
    </w:p>
    <w:p>
      <w:pPr>
        <w:ind w:left="460"/>
        <w:spacing w:after="0"/>
        <w:tabs>
          <w:tab w:leader="none" w:pos="1140" w:val="left"/>
        </w:tabs>
        <w:rPr>
          <w:rFonts w:ascii="Arial" w:cs="Arial" w:eastAsia="Arial" w:hAnsi="Arial"/>
          <w:sz w:val="17"/>
          <w:szCs w:val="17"/>
          <w:color w:val="auto"/>
        </w:rPr>
      </w:pPr>
      <w:r>
        <w:rPr>
          <w:rFonts w:ascii="Arial" w:cs="Arial" w:eastAsia="Arial" w:hAnsi="Arial"/>
          <w:sz w:val="17"/>
          <w:szCs w:val="17"/>
          <w:color w:val="auto"/>
        </w:rPr>
        <w:t>3(a)</w:t>
      </w:r>
      <w:r>
        <w:rPr>
          <w:sz w:val="20"/>
          <w:szCs w:val="20"/>
          <w:color w:val="auto"/>
        </w:rPr>
        <w:tab/>
      </w:r>
      <w:r>
        <w:rPr>
          <w:rFonts w:ascii="Arial" w:cs="Arial" w:eastAsia="Arial" w:hAnsi="Arial"/>
          <w:sz w:val="17"/>
          <w:szCs w:val="17"/>
          <w:color w:val="auto"/>
        </w:rPr>
        <w:t>Restated Certificate of Incorporation, as amended</w:t>
      </w:r>
      <w:hyperlink w:anchor="page71">
        <w:r>
          <w:rPr>
            <w:rFonts w:ascii="Arial" w:cs="Arial" w:eastAsia="Arial" w:hAnsi="Arial"/>
            <w:sz w:val="11"/>
            <w:szCs w:val="11"/>
            <w:u w:val="single" w:color="auto"/>
            <w:color w:val="0000EE"/>
          </w:rPr>
          <w:t>1</w:t>
        </w:r>
      </w:hyperlink>
    </w:p>
    <w:p>
      <w:pPr>
        <w:spacing w:after="0" w:line="223" w:lineRule="exact"/>
        <w:rPr>
          <w:sz w:val="20"/>
          <w:szCs w:val="20"/>
          <w:color w:val="auto"/>
        </w:rPr>
      </w:pPr>
    </w:p>
    <w:p>
      <w:pPr>
        <w:ind w:left="440"/>
        <w:spacing w:after="0"/>
        <w:tabs>
          <w:tab w:leader="none" w:pos="1140" w:val="left"/>
        </w:tabs>
        <w:rPr>
          <w:rFonts w:ascii="Arial" w:cs="Arial" w:eastAsia="Arial" w:hAnsi="Arial"/>
          <w:sz w:val="17"/>
          <w:szCs w:val="17"/>
          <w:color w:val="auto"/>
        </w:rPr>
      </w:pPr>
      <w:r>
        <w:rPr>
          <w:rFonts w:ascii="Arial" w:cs="Arial" w:eastAsia="Arial" w:hAnsi="Arial"/>
          <w:sz w:val="17"/>
          <w:szCs w:val="17"/>
          <w:color w:val="auto"/>
        </w:rPr>
        <w:t>3(b)</w:t>
      </w:r>
      <w:r>
        <w:rPr>
          <w:sz w:val="20"/>
          <w:szCs w:val="20"/>
          <w:color w:val="auto"/>
        </w:rPr>
        <w:tab/>
      </w:r>
      <w:r>
        <w:rPr>
          <w:rFonts w:ascii="Arial" w:cs="Arial" w:eastAsia="Arial" w:hAnsi="Arial"/>
          <w:sz w:val="17"/>
          <w:szCs w:val="17"/>
          <w:color w:val="auto"/>
        </w:rPr>
        <w:t>By-laws, as amended</w:t>
      </w:r>
      <w:hyperlink w:anchor="page71">
        <w:r>
          <w:rPr>
            <w:rFonts w:ascii="Arial" w:cs="Arial" w:eastAsia="Arial" w:hAnsi="Arial"/>
            <w:sz w:val="11"/>
            <w:szCs w:val="11"/>
            <w:u w:val="single" w:color="auto"/>
            <w:color w:val="0000EE"/>
          </w:rPr>
          <w:t>2</w:t>
        </w:r>
      </w:hyperlink>
    </w:p>
    <w:p>
      <w:pPr>
        <w:spacing w:after="0" w:line="223"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6"/>
          <w:szCs w:val="16"/>
          <w:u w:val="single" w:color="auto"/>
          <w:color w:val="0000EE"/>
        </w:rPr>
        <w:t>31(a)</w:t>
      </w:r>
      <w:r>
        <w:rPr>
          <w:sz w:val="20"/>
          <w:szCs w:val="20"/>
          <w:color w:val="auto"/>
        </w:rPr>
        <w:tab/>
      </w:r>
      <w:r>
        <w:rPr>
          <w:rFonts w:ascii="Arial" w:cs="Arial" w:eastAsia="Arial" w:hAnsi="Arial"/>
          <w:sz w:val="16"/>
          <w:szCs w:val="16"/>
          <w:color w:val="auto"/>
        </w:rPr>
        <w:t>Rule 13a-14(a)/15d-14(a) Certification of Principal Executive Officer as adopted pursuant to Section 302 of the Sarbanes-Oxley Act of 2002</w:t>
      </w:r>
    </w:p>
    <w:p>
      <w:pPr>
        <w:spacing w:after="0" w:line="235"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6"/>
          <w:szCs w:val="16"/>
          <w:u w:val="single" w:color="auto"/>
          <w:color w:val="0000EE"/>
        </w:rPr>
        <w:t>31(b)</w:t>
      </w:r>
      <w:r>
        <w:rPr>
          <w:sz w:val="20"/>
          <w:szCs w:val="20"/>
          <w:color w:val="auto"/>
        </w:rPr>
        <w:tab/>
      </w:r>
      <w:r>
        <w:rPr>
          <w:rFonts w:ascii="Arial" w:cs="Arial" w:eastAsia="Arial" w:hAnsi="Arial"/>
          <w:sz w:val="16"/>
          <w:szCs w:val="16"/>
          <w:color w:val="auto"/>
        </w:rPr>
        <w:t>Rule 13a-14(a)/15d-14(a) Certification of Principal Financial Officer as adopted pursuant to Section 302 of the Sarbanes-Oxley Act of 2002</w:t>
      </w:r>
    </w:p>
    <w:p>
      <w:pPr>
        <w:spacing w:after="0" w:line="235" w:lineRule="exact"/>
        <w:rPr>
          <w:sz w:val="20"/>
          <w:szCs w:val="20"/>
          <w:color w:val="auto"/>
        </w:rPr>
      </w:pPr>
    </w:p>
    <w:p>
      <w:pPr>
        <w:ind w:left="1160" w:hanging="606"/>
        <w:spacing w:after="0" w:line="281" w:lineRule="auto"/>
        <w:tabs>
          <w:tab w:leader="none" w:pos="1160" w:val="left"/>
        </w:tabs>
        <w:numPr>
          <w:ilvl w:val="0"/>
          <w:numId w:val="16"/>
        </w:numPr>
        <w:rPr>
          <w:rFonts w:ascii="Arial" w:cs="Arial" w:eastAsia="Arial" w:hAnsi="Arial"/>
          <w:sz w:val="17"/>
          <w:szCs w:val="17"/>
          <w:u w:val="single" w:color="auto"/>
          <w:color w:val="0000EE"/>
        </w:rPr>
      </w:pPr>
      <w:r>
        <w:rPr>
          <w:rFonts w:ascii="Arial" w:cs="Arial" w:eastAsia="Arial" w:hAnsi="Arial"/>
          <w:sz w:val="17"/>
          <w:szCs w:val="17"/>
          <w:color w:val="auto"/>
        </w:rPr>
        <w:t>Certification of Chief Executive Officer and Chief Financial Officer Pursuant to 18 U.S.C. Section 1350, as Adopted Pursuant to Section 906 of the Sarbanes-Oxley Act of 2002</w:t>
      </w:r>
    </w:p>
    <w:p>
      <w:pPr>
        <w:spacing w:after="0" w:line="170"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860" w:type="dxa"/>
            <w:vAlign w:val="bottom"/>
          </w:tcPr>
          <w:p>
            <w:pPr>
              <w:jc w:val="right"/>
              <w:ind w:right="135"/>
              <w:spacing w:after="0"/>
              <w:rPr>
                <w:sz w:val="20"/>
                <w:szCs w:val="20"/>
                <w:color w:val="auto"/>
              </w:rPr>
            </w:pPr>
            <w:r>
              <w:rPr>
                <w:rFonts w:ascii="Arial" w:cs="Arial" w:eastAsia="Arial" w:hAnsi="Arial"/>
                <w:sz w:val="17"/>
                <w:szCs w:val="17"/>
                <w:color w:val="auto"/>
              </w:rPr>
              <w:t>101.INS</w:t>
            </w:r>
          </w:p>
        </w:tc>
        <w:tc>
          <w:tcPr>
            <w:tcW w:w="4400" w:type="dxa"/>
            <w:vAlign w:val="bottom"/>
          </w:tcPr>
          <w:p>
            <w:pPr>
              <w:ind w:left="220"/>
              <w:spacing w:after="0"/>
              <w:rPr>
                <w:sz w:val="20"/>
                <w:szCs w:val="20"/>
                <w:color w:val="auto"/>
              </w:rPr>
            </w:pPr>
            <w:r>
              <w:rPr>
                <w:rFonts w:ascii="Arial" w:cs="Arial" w:eastAsia="Arial" w:hAnsi="Arial"/>
                <w:sz w:val="17"/>
                <w:szCs w:val="17"/>
                <w:color w:val="auto"/>
              </w:rPr>
              <w:t>XBRL Instance Document</w:t>
            </w:r>
          </w:p>
        </w:tc>
      </w:tr>
      <w:tr>
        <w:trPr>
          <w:trHeight w:val="419"/>
        </w:trPr>
        <w:tc>
          <w:tcPr>
            <w:tcW w:w="860" w:type="dxa"/>
            <w:vAlign w:val="bottom"/>
          </w:tcPr>
          <w:p>
            <w:pPr>
              <w:jc w:val="right"/>
              <w:ind w:right="135"/>
              <w:spacing w:after="0"/>
              <w:rPr>
                <w:sz w:val="20"/>
                <w:szCs w:val="20"/>
                <w:color w:val="auto"/>
              </w:rPr>
            </w:pPr>
            <w:r>
              <w:rPr>
                <w:rFonts w:ascii="Arial" w:cs="Arial" w:eastAsia="Arial" w:hAnsi="Arial"/>
                <w:sz w:val="17"/>
                <w:szCs w:val="17"/>
                <w:color w:val="auto"/>
                <w:w w:val="89"/>
              </w:rPr>
              <w:t>101.SCH</w:t>
            </w:r>
          </w:p>
        </w:tc>
        <w:tc>
          <w:tcPr>
            <w:tcW w:w="4400" w:type="dxa"/>
            <w:vAlign w:val="bottom"/>
          </w:tcPr>
          <w:p>
            <w:pPr>
              <w:ind w:left="220"/>
              <w:spacing w:after="0"/>
              <w:rPr>
                <w:sz w:val="20"/>
                <w:szCs w:val="20"/>
                <w:color w:val="auto"/>
              </w:rPr>
            </w:pPr>
            <w:r>
              <w:rPr>
                <w:rFonts w:ascii="Arial" w:cs="Arial" w:eastAsia="Arial" w:hAnsi="Arial"/>
                <w:sz w:val="17"/>
                <w:szCs w:val="17"/>
                <w:color w:val="auto"/>
              </w:rPr>
              <w:t>101.SCH XBRL Taxonomy Extension Schema.</w:t>
            </w:r>
          </w:p>
        </w:tc>
      </w:tr>
      <w:tr>
        <w:trPr>
          <w:trHeight w:val="419"/>
        </w:trPr>
        <w:tc>
          <w:tcPr>
            <w:tcW w:w="860" w:type="dxa"/>
            <w:vAlign w:val="bottom"/>
          </w:tcPr>
          <w:p>
            <w:pPr>
              <w:jc w:val="right"/>
              <w:ind w:right="135"/>
              <w:spacing w:after="0"/>
              <w:rPr>
                <w:sz w:val="20"/>
                <w:szCs w:val="20"/>
                <w:color w:val="auto"/>
              </w:rPr>
            </w:pPr>
            <w:r>
              <w:rPr>
                <w:rFonts w:ascii="Arial" w:cs="Arial" w:eastAsia="Arial" w:hAnsi="Arial"/>
                <w:sz w:val="17"/>
                <w:szCs w:val="17"/>
                <w:color w:val="auto"/>
                <w:w w:val="93"/>
              </w:rPr>
              <w:t>101.CAL</w:t>
            </w:r>
          </w:p>
        </w:tc>
        <w:tc>
          <w:tcPr>
            <w:tcW w:w="4400" w:type="dxa"/>
            <w:vAlign w:val="bottom"/>
          </w:tcPr>
          <w:p>
            <w:pPr>
              <w:ind w:left="220"/>
              <w:spacing w:after="0"/>
              <w:rPr>
                <w:sz w:val="20"/>
                <w:szCs w:val="20"/>
                <w:color w:val="auto"/>
              </w:rPr>
            </w:pPr>
            <w:r>
              <w:rPr>
                <w:rFonts w:ascii="Arial" w:cs="Arial" w:eastAsia="Arial" w:hAnsi="Arial"/>
                <w:sz w:val="17"/>
                <w:szCs w:val="17"/>
                <w:color w:val="auto"/>
                <w:w w:val="93"/>
              </w:rPr>
              <w:t>101.CAL XBRL Taxonomy Extension Calculation Linkbase.</w:t>
            </w:r>
          </w:p>
        </w:tc>
      </w:tr>
      <w:tr>
        <w:trPr>
          <w:trHeight w:val="419"/>
        </w:trPr>
        <w:tc>
          <w:tcPr>
            <w:tcW w:w="860" w:type="dxa"/>
            <w:vAlign w:val="bottom"/>
          </w:tcPr>
          <w:p>
            <w:pPr>
              <w:jc w:val="right"/>
              <w:ind w:right="135"/>
              <w:spacing w:after="0"/>
              <w:rPr>
                <w:sz w:val="20"/>
                <w:szCs w:val="20"/>
                <w:color w:val="auto"/>
              </w:rPr>
            </w:pPr>
            <w:r>
              <w:rPr>
                <w:rFonts w:ascii="Arial" w:cs="Arial" w:eastAsia="Arial" w:hAnsi="Arial"/>
                <w:sz w:val="17"/>
                <w:szCs w:val="17"/>
                <w:color w:val="auto"/>
                <w:w w:val="92"/>
              </w:rPr>
              <w:t>101.DEF</w:t>
            </w:r>
          </w:p>
        </w:tc>
        <w:tc>
          <w:tcPr>
            <w:tcW w:w="4400" w:type="dxa"/>
            <w:vAlign w:val="bottom"/>
          </w:tcPr>
          <w:p>
            <w:pPr>
              <w:ind w:left="220"/>
              <w:spacing w:after="0"/>
              <w:rPr>
                <w:sz w:val="20"/>
                <w:szCs w:val="20"/>
                <w:color w:val="auto"/>
              </w:rPr>
            </w:pPr>
            <w:r>
              <w:rPr>
                <w:rFonts w:ascii="Arial" w:cs="Arial" w:eastAsia="Arial" w:hAnsi="Arial"/>
                <w:sz w:val="17"/>
                <w:szCs w:val="17"/>
                <w:color w:val="auto"/>
                <w:w w:val="96"/>
              </w:rPr>
              <w:t>101.DEF XBRL Taxonomy Extension Definition Linkbase.</w:t>
            </w:r>
          </w:p>
        </w:tc>
      </w:tr>
      <w:tr>
        <w:trPr>
          <w:trHeight w:val="419"/>
        </w:trPr>
        <w:tc>
          <w:tcPr>
            <w:tcW w:w="860" w:type="dxa"/>
            <w:vAlign w:val="bottom"/>
          </w:tcPr>
          <w:p>
            <w:pPr>
              <w:jc w:val="right"/>
              <w:ind w:right="135"/>
              <w:spacing w:after="0"/>
              <w:rPr>
                <w:sz w:val="20"/>
                <w:szCs w:val="20"/>
                <w:color w:val="auto"/>
              </w:rPr>
            </w:pPr>
            <w:r>
              <w:rPr>
                <w:rFonts w:ascii="Arial" w:cs="Arial" w:eastAsia="Arial" w:hAnsi="Arial"/>
                <w:sz w:val="17"/>
                <w:szCs w:val="17"/>
                <w:color w:val="auto"/>
                <w:w w:val="94"/>
              </w:rPr>
              <w:t>101.LAB</w:t>
            </w:r>
          </w:p>
        </w:tc>
        <w:tc>
          <w:tcPr>
            <w:tcW w:w="4400" w:type="dxa"/>
            <w:vAlign w:val="bottom"/>
          </w:tcPr>
          <w:p>
            <w:pPr>
              <w:ind w:left="220"/>
              <w:spacing w:after="0"/>
              <w:rPr>
                <w:sz w:val="20"/>
                <w:szCs w:val="20"/>
                <w:color w:val="auto"/>
              </w:rPr>
            </w:pPr>
            <w:r>
              <w:rPr>
                <w:rFonts w:ascii="Arial" w:cs="Arial" w:eastAsia="Arial" w:hAnsi="Arial"/>
                <w:sz w:val="17"/>
                <w:szCs w:val="17"/>
                <w:color w:val="auto"/>
              </w:rPr>
              <w:t>101.LAB XBRL Taxonomy Extension Label Linkbase.</w:t>
            </w:r>
          </w:p>
        </w:tc>
      </w:tr>
      <w:tr>
        <w:trPr>
          <w:trHeight w:val="419"/>
        </w:trPr>
        <w:tc>
          <w:tcPr>
            <w:tcW w:w="860" w:type="dxa"/>
            <w:vAlign w:val="bottom"/>
          </w:tcPr>
          <w:p>
            <w:pPr>
              <w:jc w:val="right"/>
              <w:ind w:right="135"/>
              <w:spacing w:after="0"/>
              <w:rPr>
                <w:sz w:val="20"/>
                <w:szCs w:val="20"/>
                <w:color w:val="auto"/>
              </w:rPr>
            </w:pPr>
            <w:r>
              <w:rPr>
                <w:rFonts w:ascii="Arial" w:cs="Arial" w:eastAsia="Arial" w:hAnsi="Arial"/>
                <w:sz w:val="17"/>
                <w:szCs w:val="17"/>
                <w:color w:val="auto"/>
                <w:w w:val="91"/>
              </w:rPr>
              <w:t>101.PRE</w:t>
            </w:r>
          </w:p>
        </w:tc>
        <w:tc>
          <w:tcPr>
            <w:tcW w:w="4400" w:type="dxa"/>
            <w:vAlign w:val="bottom"/>
          </w:tcPr>
          <w:p>
            <w:pPr>
              <w:ind w:left="220"/>
              <w:spacing w:after="0"/>
              <w:rPr>
                <w:sz w:val="20"/>
                <w:szCs w:val="20"/>
                <w:color w:val="auto"/>
              </w:rPr>
            </w:pPr>
            <w:r>
              <w:rPr>
                <w:rFonts w:ascii="Arial" w:cs="Arial" w:eastAsia="Arial" w:hAnsi="Arial"/>
                <w:sz w:val="17"/>
                <w:szCs w:val="17"/>
                <w:color w:val="auto"/>
                <w:w w:val="90"/>
              </w:rPr>
              <w:t>101.PRE XBRL Taxonomy Extension Presentation Linkbase.</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6"/>
          <w:szCs w:val="16"/>
          <w:color w:val="auto"/>
        </w:rPr>
        <w:t>Denotes document filed as Exhibit 3 (a) to our Quarterly Report on Form 10-Q for the period ended March 31, 2014 and incorporated herein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 </w:t>
      </w:r>
      <w:r>
        <w:rPr>
          <w:rFonts w:ascii="Arial" w:cs="Arial" w:eastAsia="Arial" w:hAnsi="Arial"/>
          <w:sz w:val="17"/>
          <w:szCs w:val="17"/>
          <w:color w:val="auto"/>
        </w:rPr>
        <w:t>Denotes document filed Exhibit 3.1 to our Current Report on Form 8-K for an event dated November 5, 2009 and incorporated herein by reference.</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320"/>
          </w:cols>
          <w:pgMar w:left="240" w:top="546"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7"/>
          <w:szCs w:val="17"/>
          <w:b w:val="1"/>
          <w:bCs w:val="1"/>
          <w:u w:val="single" w:color="auto"/>
          <w:color w:val="auto"/>
        </w:rPr>
        <w:t>SIGNATURES</w:t>
      </w:r>
    </w:p>
    <w:p>
      <w:pPr>
        <w:spacing w:after="0" w:line="200" w:lineRule="exact"/>
        <w:rPr>
          <w:sz w:val="20"/>
          <w:szCs w:val="20"/>
          <w:color w:val="auto"/>
        </w:rPr>
      </w:pPr>
    </w:p>
    <w:p>
      <w:pPr>
        <w:spacing w:after="0" w:line="236" w:lineRule="exact"/>
        <w:rPr>
          <w:sz w:val="20"/>
          <w:szCs w:val="20"/>
          <w:color w:val="auto"/>
        </w:rPr>
      </w:pPr>
    </w:p>
    <w:p>
      <w:pPr>
        <w:ind w:firstLine="628"/>
        <w:spacing w:after="0" w:line="28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19"/>
                <w:szCs w:val="19"/>
                <w:color w:val="auto"/>
              </w:rPr>
            </w:pPr>
          </w:p>
        </w:tc>
        <w:tc>
          <w:tcPr>
            <w:tcW w:w="6380" w:type="dxa"/>
            <w:vAlign w:val="bottom"/>
            <w:gridSpan w:val="2"/>
          </w:tcPr>
          <w:p>
            <w:pPr>
              <w:ind w:left="2040"/>
              <w:spacing w:after="0"/>
              <w:rPr>
                <w:sz w:val="20"/>
                <w:szCs w:val="20"/>
                <w:color w:val="auto"/>
              </w:rPr>
            </w:pPr>
            <w:r>
              <w:rPr>
                <w:rFonts w:ascii="Arial" w:cs="Arial" w:eastAsia="Arial" w:hAnsi="Arial"/>
                <w:sz w:val="17"/>
                <w:szCs w:val="17"/>
                <w:b w:val="1"/>
                <w:bCs w:val="1"/>
                <w:color w:val="auto"/>
              </w:rPr>
              <w:t>KINGSTONE COMPANIES, INC.</w:t>
            </w:r>
          </w:p>
        </w:tc>
      </w:tr>
      <w:tr>
        <w:trPr>
          <w:trHeight w:val="466"/>
        </w:trPr>
        <w:tc>
          <w:tcPr>
            <w:tcW w:w="3680" w:type="dxa"/>
            <w:vAlign w:val="bottom"/>
          </w:tcPr>
          <w:p>
            <w:pPr>
              <w:spacing w:after="0"/>
              <w:rPr>
                <w:sz w:val="20"/>
                <w:szCs w:val="20"/>
                <w:color w:val="auto"/>
              </w:rPr>
            </w:pPr>
            <w:r>
              <w:rPr>
                <w:rFonts w:ascii="Arial" w:cs="Arial" w:eastAsia="Arial" w:hAnsi="Arial"/>
                <w:sz w:val="17"/>
                <w:szCs w:val="17"/>
                <w:color w:val="auto"/>
              </w:rPr>
              <w:t>Dated: August 10, 2017</w:t>
            </w:r>
          </w:p>
        </w:tc>
        <w:tc>
          <w:tcPr>
            <w:tcW w:w="6380" w:type="dxa"/>
            <w:vAlign w:val="bottom"/>
            <w:gridSpan w:val="2"/>
          </w:tcPr>
          <w:p>
            <w:pPr>
              <w:ind w:left="2040"/>
              <w:spacing w:after="0"/>
              <w:rPr>
                <w:sz w:val="20"/>
                <w:szCs w:val="20"/>
                <w:color w:val="auto"/>
              </w:rPr>
            </w:pPr>
            <w:r>
              <w:rPr>
                <w:rFonts w:ascii="Arial" w:cs="Arial" w:eastAsia="Arial" w:hAnsi="Arial"/>
                <w:sz w:val="17"/>
                <w:szCs w:val="17"/>
                <w:color w:val="auto"/>
              </w:rPr>
              <w:t>By:  /s/ Barry B. Goldstein</w:t>
            </w:r>
          </w:p>
        </w:tc>
      </w:tr>
      <w:tr>
        <w:trPr>
          <w:trHeight w:val="201"/>
        </w:trPr>
        <w:tc>
          <w:tcPr>
            <w:tcW w:w="3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Barry B. Goldstein</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President</w:t>
            </w:r>
          </w:p>
        </w:tc>
      </w:tr>
      <w:tr>
        <w:trPr>
          <w:trHeight w:val="676"/>
        </w:trPr>
        <w:tc>
          <w:tcPr>
            <w:tcW w:w="3680" w:type="dxa"/>
            <w:vAlign w:val="bottom"/>
          </w:tcPr>
          <w:p>
            <w:pPr>
              <w:spacing w:after="0"/>
              <w:rPr>
                <w:sz w:val="20"/>
                <w:szCs w:val="20"/>
                <w:color w:val="auto"/>
              </w:rPr>
            </w:pPr>
            <w:r>
              <w:rPr>
                <w:rFonts w:ascii="Arial" w:cs="Arial" w:eastAsia="Arial" w:hAnsi="Arial"/>
                <w:sz w:val="17"/>
                <w:szCs w:val="17"/>
                <w:color w:val="auto"/>
              </w:rPr>
              <w:t>Dated: August 10, 2017</w:t>
            </w:r>
          </w:p>
        </w:tc>
        <w:tc>
          <w:tcPr>
            <w:tcW w:w="6380" w:type="dxa"/>
            <w:vAlign w:val="bottom"/>
            <w:gridSpan w:val="2"/>
          </w:tcPr>
          <w:p>
            <w:pPr>
              <w:ind w:left="2040"/>
              <w:spacing w:after="0"/>
              <w:rPr>
                <w:sz w:val="20"/>
                <w:szCs w:val="20"/>
                <w:color w:val="auto"/>
              </w:rPr>
            </w:pPr>
            <w:r>
              <w:rPr>
                <w:rFonts w:ascii="Arial" w:cs="Arial" w:eastAsia="Arial" w:hAnsi="Arial"/>
                <w:sz w:val="17"/>
                <w:szCs w:val="17"/>
                <w:color w:val="auto"/>
              </w:rPr>
              <w:t>By:  /s/ Victor Brodsky</w:t>
            </w:r>
          </w:p>
        </w:tc>
      </w:tr>
      <w:tr>
        <w:trPr>
          <w:trHeight w:val="201"/>
        </w:trPr>
        <w:tc>
          <w:tcPr>
            <w:tcW w:w="3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Victor Brodsky</w:t>
            </w:r>
          </w:p>
        </w:tc>
      </w:tr>
      <w:tr>
        <w:trPr>
          <w:trHeight w:val="216"/>
        </w:trPr>
        <w:tc>
          <w:tcPr>
            <w:tcW w:w="3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46"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313055</wp:posOffset>
            </wp:positionV>
            <wp:extent cx="725106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065" cy="16510"/>
                    </a:xfrm>
                    <a:prstGeom prst="rect">
                      <a:avLst/>
                    </a:prstGeom>
                    <a:noFill/>
                  </pic:spPr>
                </pic:pic>
              </a:graphicData>
            </a:graphic>
          </wp:anchor>
        </w:drawing>
        <w:t>Exhibit 31(a)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CERTIFICATION</w:t>
      </w:r>
    </w:p>
    <w:p>
      <w:pPr>
        <w:spacing w:after="0" w:line="36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 Barry B. Goldstein, certify that:</w:t>
      </w:r>
    </w:p>
    <w:p>
      <w:pPr>
        <w:spacing w:after="0" w:line="249" w:lineRule="exact"/>
        <w:rPr>
          <w:sz w:val="20"/>
          <w:szCs w:val="20"/>
          <w:color w:val="auto"/>
        </w:rPr>
      </w:pPr>
    </w:p>
    <w:p>
      <w:pPr>
        <w:ind w:left="340" w:hanging="335"/>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Form 10-Q of Kingstone Companies, Inc.;</w:t>
      </w:r>
    </w:p>
    <w:p>
      <w:pPr>
        <w:spacing w:after="0" w:line="249" w:lineRule="exact"/>
        <w:rPr>
          <w:rFonts w:ascii="Arial" w:cs="Arial" w:eastAsia="Arial" w:hAnsi="Arial"/>
          <w:sz w:val="17"/>
          <w:szCs w:val="17"/>
          <w:color w:val="auto"/>
        </w:rPr>
      </w:pPr>
    </w:p>
    <w:p>
      <w:pPr>
        <w:ind w:right="420" w:firstLine="5"/>
        <w:spacing w:after="0" w:line="314" w:lineRule="auto"/>
        <w:tabs>
          <w:tab w:leader="none" w:pos="337"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6"/>
          <w:szCs w:val="16"/>
          <w:color w:val="auto"/>
        </w:rPr>
      </w:pPr>
    </w:p>
    <w:p>
      <w:pPr>
        <w:ind w:right="520" w:firstLine="5"/>
        <w:spacing w:after="0" w:line="314" w:lineRule="auto"/>
        <w:tabs>
          <w:tab w:leader="none" w:pos="337"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72" w:lineRule="exact"/>
        <w:rPr>
          <w:rFonts w:ascii="Arial" w:cs="Arial" w:eastAsia="Arial" w:hAnsi="Arial"/>
          <w:sz w:val="16"/>
          <w:szCs w:val="16"/>
          <w:color w:val="auto"/>
        </w:rPr>
      </w:pPr>
    </w:p>
    <w:p>
      <w:pPr>
        <w:ind w:left="340" w:hanging="335"/>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small business issuer’s other certifying officers and I are responsible for establishing and maintaining disclosure controls and procedures (as defined in</w:t>
      </w:r>
    </w:p>
    <w:p>
      <w:pPr>
        <w:spacing w:after="0" w:line="31" w:lineRule="exact"/>
        <w:rPr>
          <w:rFonts w:ascii="Arial" w:cs="Arial" w:eastAsia="Arial" w:hAnsi="Arial"/>
          <w:sz w:val="16"/>
          <w:szCs w:val="16"/>
          <w:color w:val="auto"/>
        </w:rPr>
      </w:pPr>
    </w:p>
    <w:p>
      <w:pPr>
        <w:ind w:right="180"/>
        <w:spacing w:after="0" w:line="273" w:lineRule="auto"/>
        <w:rPr>
          <w:rFonts w:ascii="Arial" w:cs="Arial" w:eastAsia="Arial" w:hAnsi="Arial"/>
          <w:sz w:val="16"/>
          <w:szCs w:val="16"/>
          <w:color w:val="auto"/>
        </w:rPr>
      </w:pPr>
      <w:r>
        <w:rPr>
          <w:rFonts w:ascii="Arial" w:cs="Arial" w:eastAsia="Arial" w:hAnsi="Arial"/>
          <w:sz w:val="17"/>
          <w:szCs w:val="17"/>
          <w:color w:val="auto"/>
        </w:rPr>
        <w:t>Exchange Act Rules 13a-15(e) and 15d-15-(e)) and internal control over financial reporting (as defined in Exchange Act Rules 13a-15(f) and 15d-15(f)) for the small business issuer and have:</w:t>
      </w:r>
    </w:p>
    <w:p>
      <w:pPr>
        <w:spacing w:after="0" w:line="176" w:lineRule="exact"/>
        <w:rPr>
          <w:rFonts w:ascii="Arial" w:cs="Arial" w:eastAsia="Arial" w:hAnsi="Arial"/>
          <w:sz w:val="16"/>
          <w:szCs w:val="16"/>
          <w:color w:val="auto"/>
        </w:rPr>
      </w:pPr>
    </w:p>
    <w:p>
      <w:pPr>
        <w:jc w:val="both"/>
        <w:ind w:left="1100" w:hanging="624"/>
        <w:spacing w:after="0" w:line="269" w:lineRule="auto"/>
        <w:tabs>
          <w:tab w:leader="none" w:pos="11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jc w:val="both"/>
        <w:ind w:left="1100" w:hanging="624"/>
        <w:spacing w:after="0" w:line="269" w:lineRule="auto"/>
        <w:tabs>
          <w:tab w:leader="none" w:pos="11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100" w:hanging="624"/>
        <w:spacing w:after="0" w:line="314" w:lineRule="auto"/>
        <w:tabs>
          <w:tab w:leader="none" w:pos="11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6"/>
          <w:szCs w:val="16"/>
          <w:color w:val="auto"/>
        </w:rPr>
      </w:pPr>
    </w:p>
    <w:p>
      <w:pPr>
        <w:jc w:val="both"/>
        <w:ind w:left="1100" w:hanging="624"/>
        <w:spacing w:after="0" w:line="269" w:lineRule="auto"/>
        <w:tabs>
          <w:tab w:leader="none" w:pos="11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205" w:lineRule="exact"/>
        <w:rPr>
          <w:rFonts w:ascii="Arial" w:cs="Arial" w:eastAsia="Arial" w:hAnsi="Arial"/>
          <w:sz w:val="17"/>
          <w:szCs w:val="17"/>
          <w:color w:val="auto"/>
        </w:rPr>
      </w:pPr>
    </w:p>
    <w:p>
      <w:pPr>
        <w:ind w:right="120" w:firstLine="5"/>
        <w:spacing w:after="0" w:line="351" w:lineRule="auto"/>
        <w:tabs>
          <w:tab w:leader="none" w:pos="337"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57" w:lineRule="exact"/>
        <w:rPr>
          <w:rFonts w:ascii="Arial" w:cs="Arial" w:eastAsia="Arial" w:hAnsi="Arial"/>
          <w:sz w:val="15"/>
          <w:szCs w:val="15"/>
          <w:color w:val="auto"/>
        </w:rPr>
      </w:pPr>
    </w:p>
    <w:p>
      <w:pPr>
        <w:ind w:left="1100" w:hanging="624"/>
        <w:spacing w:after="0" w:line="314" w:lineRule="auto"/>
        <w:tabs>
          <w:tab w:leader="none" w:pos="11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46" w:lineRule="exact"/>
        <w:rPr>
          <w:rFonts w:ascii="Arial" w:cs="Arial" w:eastAsia="Arial" w:hAnsi="Arial"/>
          <w:sz w:val="16"/>
          <w:szCs w:val="16"/>
          <w:color w:val="auto"/>
        </w:rPr>
      </w:pPr>
    </w:p>
    <w:p>
      <w:pPr>
        <w:ind w:left="1100" w:hanging="624"/>
        <w:spacing w:after="0" w:line="281" w:lineRule="auto"/>
        <w:tabs>
          <w:tab w:leader="none" w:pos="11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small business issuer’s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August 10, 2017</w:t>
      </w:r>
      <w:r>
        <w:rPr>
          <w:sz w:val="20"/>
          <w:szCs w:val="20"/>
          <w:color w:val="auto"/>
        </w:rPr>
        <w:tab/>
      </w:r>
      <w:r>
        <w:rPr>
          <w:rFonts w:ascii="Arial" w:cs="Arial" w:eastAsia="Arial" w:hAnsi="Arial"/>
          <w:sz w:val="16"/>
          <w:szCs w:val="16"/>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22225</wp:posOffset>
            </wp:positionV>
            <wp:extent cx="254127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41270" cy="16510"/>
                    </a:xfrm>
                    <a:prstGeom prst="rect">
                      <a:avLst/>
                    </a:prstGeom>
                    <a:noFill/>
                  </pic:spPr>
                </pic:pic>
              </a:graphicData>
            </a:graphic>
          </wp:anchor>
        </w:drawing>
      </w:r>
    </w:p>
    <w:p>
      <w:pPr>
        <w:spacing w:after="0" w:line="3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Barry B. Goldstein</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408940</wp:posOffset>
            </wp:positionV>
            <wp:extent cx="72510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313055</wp:posOffset>
            </wp:positionV>
            <wp:extent cx="725106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16510"/>
                    </a:xfrm>
                    <a:prstGeom prst="rect">
                      <a:avLst/>
                    </a:prstGeom>
                    <a:noFill/>
                  </pic:spPr>
                </pic:pic>
              </a:graphicData>
            </a:graphic>
          </wp:anchor>
        </w:drawing>
        <w:t>Exhibit 31(b)</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CERTIFICATION</w:t>
      </w:r>
    </w:p>
    <w:p>
      <w:pPr>
        <w:spacing w:after="0" w:line="3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 Victor Brodsky, certify that:</w:t>
      </w:r>
    </w:p>
    <w:p>
      <w:pPr>
        <w:spacing w:after="0" w:line="249" w:lineRule="exact"/>
        <w:rPr>
          <w:sz w:val="20"/>
          <w:szCs w:val="20"/>
          <w:color w:val="auto"/>
        </w:rPr>
      </w:pPr>
    </w:p>
    <w:p>
      <w:pPr>
        <w:ind w:left="340" w:hanging="335"/>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Form 10-Q of Kingstone Companies, Inc.;</w:t>
      </w:r>
    </w:p>
    <w:p>
      <w:pPr>
        <w:spacing w:after="0" w:line="249" w:lineRule="exact"/>
        <w:rPr>
          <w:rFonts w:ascii="Arial" w:cs="Arial" w:eastAsia="Arial" w:hAnsi="Arial"/>
          <w:sz w:val="17"/>
          <w:szCs w:val="17"/>
          <w:color w:val="auto"/>
        </w:rPr>
      </w:pPr>
    </w:p>
    <w:p>
      <w:pPr>
        <w:ind w:right="420" w:firstLine="5"/>
        <w:spacing w:after="0" w:line="314" w:lineRule="auto"/>
        <w:tabs>
          <w:tab w:leader="none" w:pos="337"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6"/>
          <w:szCs w:val="16"/>
          <w:color w:val="auto"/>
        </w:rPr>
      </w:pPr>
    </w:p>
    <w:p>
      <w:pPr>
        <w:ind w:right="520" w:firstLine="5"/>
        <w:spacing w:after="0" w:line="314" w:lineRule="auto"/>
        <w:tabs>
          <w:tab w:leader="none" w:pos="337"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72" w:lineRule="exact"/>
        <w:rPr>
          <w:rFonts w:ascii="Arial" w:cs="Arial" w:eastAsia="Arial" w:hAnsi="Arial"/>
          <w:sz w:val="16"/>
          <w:szCs w:val="16"/>
          <w:color w:val="auto"/>
        </w:rPr>
      </w:pPr>
    </w:p>
    <w:p>
      <w:pPr>
        <w:ind w:left="340" w:hanging="335"/>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small business issuer’s other certifying officers and I are responsible for establishing and maintaining disclosure controls and procedures (as defined in</w:t>
      </w:r>
    </w:p>
    <w:p>
      <w:pPr>
        <w:spacing w:after="0" w:line="31" w:lineRule="exact"/>
        <w:rPr>
          <w:rFonts w:ascii="Arial" w:cs="Arial" w:eastAsia="Arial" w:hAnsi="Arial"/>
          <w:sz w:val="16"/>
          <w:szCs w:val="16"/>
          <w:color w:val="auto"/>
        </w:rPr>
      </w:pPr>
    </w:p>
    <w:p>
      <w:pPr>
        <w:ind w:right="180"/>
        <w:spacing w:after="0" w:line="273" w:lineRule="auto"/>
        <w:rPr>
          <w:rFonts w:ascii="Arial" w:cs="Arial" w:eastAsia="Arial" w:hAnsi="Arial"/>
          <w:sz w:val="16"/>
          <w:szCs w:val="16"/>
          <w:color w:val="auto"/>
        </w:rPr>
      </w:pPr>
      <w:r>
        <w:rPr>
          <w:rFonts w:ascii="Arial" w:cs="Arial" w:eastAsia="Arial" w:hAnsi="Arial"/>
          <w:sz w:val="17"/>
          <w:szCs w:val="17"/>
          <w:color w:val="auto"/>
        </w:rPr>
        <w:t>Exchange Act Rules 13a-15(e) and 15d-15-(e)) and internal control over financial reporting (as defined in Exchange Act Rules 13a-15(f) and 15d-15(f)) for the small business issuer and have:</w:t>
      </w:r>
    </w:p>
    <w:p>
      <w:pPr>
        <w:spacing w:after="0" w:line="176" w:lineRule="exact"/>
        <w:rPr>
          <w:rFonts w:ascii="Arial" w:cs="Arial" w:eastAsia="Arial" w:hAnsi="Arial"/>
          <w:sz w:val="16"/>
          <w:szCs w:val="16"/>
          <w:color w:val="auto"/>
        </w:rPr>
      </w:pPr>
    </w:p>
    <w:p>
      <w:pPr>
        <w:jc w:val="both"/>
        <w:ind w:left="1100" w:hanging="624"/>
        <w:spacing w:after="0" w:line="269" w:lineRule="auto"/>
        <w:tabs>
          <w:tab w:leader="none" w:pos="11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jc w:val="both"/>
        <w:ind w:left="1100" w:hanging="624"/>
        <w:spacing w:after="0" w:line="269" w:lineRule="auto"/>
        <w:tabs>
          <w:tab w:leader="none" w:pos="11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Arial" w:cs="Arial" w:eastAsia="Arial" w:hAnsi="Arial"/>
          <w:sz w:val="17"/>
          <w:szCs w:val="17"/>
          <w:color w:val="auto"/>
        </w:rPr>
      </w:pPr>
    </w:p>
    <w:p>
      <w:pPr>
        <w:ind w:left="1100" w:hanging="624"/>
        <w:spacing w:after="0" w:line="314" w:lineRule="auto"/>
        <w:tabs>
          <w:tab w:leader="none" w:pos="11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6"/>
          <w:szCs w:val="16"/>
          <w:color w:val="auto"/>
        </w:rPr>
      </w:pPr>
    </w:p>
    <w:p>
      <w:pPr>
        <w:jc w:val="both"/>
        <w:ind w:left="1100" w:hanging="624"/>
        <w:spacing w:after="0" w:line="269" w:lineRule="auto"/>
        <w:tabs>
          <w:tab w:leader="none" w:pos="11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205" w:lineRule="exact"/>
        <w:rPr>
          <w:rFonts w:ascii="Arial" w:cs="Arial" w:eastAsia="Arial" w:hAnsi="Arial"/>
          <w:sz w:val="17"/>
          <w:szCs w:val="17"/>
          <w:color w:val="auto"/>
        </w:rPr>
      </w:pPr>
    </w:p>
    <w:p>
      <w:pPr>
        <w:ind w:right="120" w:firstLine="5"/>
        <w:spacing w:after="0" w:line="351" w:lineRule="auto"/>
        <w:tabs>
          <w:tab w:leader="none" w:pos="337"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57" w:lineRule="exact"/>
        <w:rPr>
          <w:rFonts w:ascii="Arial" w:cs="Arial" w:eastAsia="Arial" w:hAnsi="Arial"/>
          <w:sz w:val="15"/>
          <w:szCs w:val="15"/>
          <w:color w:val="auto"/>
        </w:rPr>
      </w:pPr>
    </w:p>
    <w:p>
      <w:pPr>
        <w:ind w:left="1100" w:hanging="624"/>
        <w:spacing w:after="0" w:line="314" w:lineRule="auto"/>
        <w:tabs>
          <w:tab w:leader="none" w:pos="11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46" w:lineRule="exact"/>
        <w:rPr>
          <w:rFonts w:ascii="Arial" w:cs="Arial" w:eastAsia="Arial" w:hAnsi="Arial"/>
          <w:sz w:val="16"/>
          <w:szCs w:val="16"/>
          <w:color w:val="auto"/>
        </w:rPr>
      </w:pPr>
    </w:p>
    <w:p>
      <w:pPr>
        <w:ind w:left="1100" w:hanging="624"/>
        <w:spacing w:after="0" w:line="281" w:lineRule="auto"/>
        <w:tabs>
          <w:tab w:leader="none" w:pos="11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small business issuer’s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August 10, 2017</w:t>
      </w:r>
      <w:r>
        <w:rPr>
          <w:sz w:val="20"/>
          <w:szCs w:val="20"/>
          <w:color w:val="auto"/>
        </w:rPr>
        <w:tab/>
      </w:r>
      <w:r>
        <w:rPr>
          <w:rFonts w:ascii="Arial" w:cs="Arial" w:eastAsia="Arial" w:hAnsi="Arial"/>
          <w:sz w:val="16"/>
          <w:szCs w:val="16"/>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22225</wp:posOffset>
            </wp:positionV>
            <wp:extent cx="254127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41270" cy="16510"/>
                    </a:xfrm>
                    <a:prstGeom prst="rect">
                      <a:avLst/>
                    </a:prstGeom>
                    <a:noFill/>
                  </pic:spPr>
                </pic:pic>
              </a:graphicData>
            </a:graphic>
          </wp:anchor>
        </w:drawing>
      </w:r>
    </w:p>
    <w:p>
      <w:pPr>
        <w:spacing w:after="0" w:line="3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Victor Brodsky</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408940</wp:posOffset>
            </wp:positionV>
            <wp:extent cx="72510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74" w:name="page75"/>
    <w:bookmarkEnd w:id="74"/>
    <w:p>
      <w:pPr>
        <w:ind w:left="10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155575</wp:posOffset>
            </wp:positionH>
            <wp:positionV relativeFrom="page">
              <wp:posOffset>354965</wp:posOffset>
            </wp:positionV>
            <wp:extent cx="725106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1065" cy="16510"/>
                    </a:xfrm>
                    <a:prstGeom prst="rect">
                      <a:avLst/>
                    </a:prstGeom>
                    <a:noFill/>
                  </pic:spPr>
                </pic:pic>
              </a:graphicData>
            </a:graphic>
          </wp:anchor>
        </w:drawing>
        <w:t>Exhibit 32</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CHIEF FINANCIAL OFFICER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53" w:lineRule="exact"/>
        <w:rPr>
          <w:sz w:val="20"/>
          <w:szCs w:val="20"/>
          <w:color w:val="auto"/>
        </w:rPr>
      </w:pPr>
    </w:p>
    <w:p>
      <w:pPr>
        <w:jc w:val="both"/>
        <w:ind w:firstLine="628"/>
        <w:spacing w:after="0" w:line="265" w:lineRule="auto"/>
        <w:rPr>
          <w:sz w:val="20"/>
          <w:szCs w:val="20"/>
          <w:color w:val="auto"/>
        </w:rPr>
      </w:pPr>
      <w:r>
        <w:rPr>
          <w:rFonts w:ascii="Arial" w:cs="Arial" w:eastAsia="Arial" w:hAnsi="Arial"/>
          <w:sz w:val="17"/>
          <w:szCs w:val="17"/>
          <w:color w:val="auto"/>
        </w:rPr>
        <w:t>The undersigned hereby certify, pursuant to, and as required by, 18 U.S.C. Section 1350, as adopted pursuant to Section 906 of the Sarbanes-Oxley Act of 2002, that the Quarterly Report of Kingstone Companies, Inc. (the “Company”) on Form 10-Q for the period ended June 30, 2017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August 10, 2017</w:t>
      </w:r>
      <w:r>
        <w:rPr>
          <w:sz w:val="20"/>
          <w:szCs w:val="20"/>
          <w:color w:val="auto"/>
        </w:rPr>
        <w:tab/>
      </w:r>
      <w:r>
        <w:rPr>
          <w:rFonts w:ascii="Arial" w:cs="Arial" w:eastAsia="Arial" w:hAnsi="Arial"/>
          <w:sz w:val="16"/>
          <w:szCs w:val="16"/>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22225</wp:posOffset>
            </wp:positionV>
            <wp:extent cx="254127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41270" cy="16510"/>
                    </a:xfrm>
                    <a:prstGeom prst="rect">
                      <a:avLst/>
                    </a:prstGeom>
                    <a:noFill/>
                  </pic:spPr>
                </pic:pic>
              </a:graphicData>
            </a:graphic>
          </wp:anchor>
        </w:drawing>
      </w:r>
    </w:p>
    <w:p>
      <w:pPr>
        <w:spacing w:after="0" w:line="3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Barry B. Goldstein</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2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13970</wp:posOffset>
            </wp:positionV>
            <wp:extent cx="254127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41270" cy="16510"/>
                    </a:xfrm>
                    <a:prstGeom prst="rect">
                      <a:avLst/>
                    </a:prstGeom>
                    <a:noFill/>
                  </pic:spPr>
                </pic:pic>
              </a:graphicData>
            </a:graphic>
          </wp:anchor>
        </w:drawing>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Victor Brodsky</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675005</wp:posOffset>
            </wp:positionV>
            <wp:extent cx="72510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sectPr>
      <w:pgSz w:w="11900" w:h="16838" w:orient="portrait"/>
      <w:cols w:equalWidth="0" w:num="1">
        <w:col w:w="11420"/>
      </w:cols>
      <w:pgMar w:left="240" w:top="6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lowerRoman"/>
      <w:start w:val="2"/>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upperLetter"/>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32"/>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2020-01-18T00:02:04Z</dcterms:created>
  <dcterms:modified xsi:type="dcterms:W3CDTF">2020-01-18T00:02:04Z</dcterms:modified>
</cp:coreProperties>
</file>