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200" w:hanging="3207"/>
        <w:spacing w:after="0" w:line="493" w:lineRule="auto"/>
        <w:tabs>
          <w:tab w:leader="none" w:pos="9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540" w:right="1180" w:hanging="3087"/>
        <w:spacing w:after="0" w:line="500" w:lineRule="auto"/>
        <w:tabs>
          <w:tab w:leader="none" w:pos="90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highlight w:val="black"/>
        </w:rPr>
      </w:pPr>
    </w:p>
    <w:p>
      <w:pPr>
        <w:ind w:left="43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0-1665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KINGSTONE COMPANIES,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1270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38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36-2476480</w:t>
            </w:r>
          </w:p>
        </w:tc>
      </w:tr>
      <w:tr>
        <w:trPr>
          <w:trHeight w:val="191"/>
        </w:trPr>
        <w:tc>
          <w:tcPr>
            <w:tcW w:w="43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9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638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4000" w:type="dxa"/>
            <w:vAlign w:val="bottom"/>
          </w:tcPr>
          <w:p>
            <w:pPr>
              <w:spacing w:after="0"/>
              <w:rPr>
                <w:sz w:val="24"/>
                <w:szCs w:val="24"/>
                <w:color w:val="auto"/>
              </w:rPr>
            </w:pPr>
          </w:p>
        </w:tc>
        <w:tc>
          <w:tcPr>
            <w:tcW w:w="2380" w:type="dxa"/>
            <w:vAlign w:val="bottom"/>
            <w:gridSpan w:val="4"/>
          </w:tcPr>
          <w:p>
            <w:pPr>
              <w:jc w:val="center"/>
              <w:ind w:right="860"/>
              <w:spacing w:after="0"/>
              <w:rPr>
                <w:sz w:val="20"/>
                <w:szCs w:val="20"/>
                <w:color w:val="auto"/>
              </w:rPr>
            </w:pPr>
            <w:r>
              <w:rPr>
                <w:rFonts w:ascii="Arial" w:cs="Arial" w:eastAsia="Arial" w:hAnsi="Arial"/>
                <w:sz w:val="18"/>
                <w:szCs w:val="18"/>
                <w:b w:val="1"/>
                <w:bCs w:val="1"/>
                <w:color w:val="auto"/>
                <w:w w:val="88"/>
              </w:rPr>
              <w:t>15 Joys Lane</w:t>
            </w:r>
          </w:p>
        </w:tc>
        <w:tc>
          <w:tcPr>
            <w:tcW w:w="316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1"/>
              </w:rPr>
              <w:t>Kingston, NY 12401</w:t>
            </w:r>
          </w:p>
        </w:tc>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37"/>
        </w:trPr>
        <w:tc>
          <w:tcPr>
            <w:tcW w:w="6380" w:type="dxa"/>
            <w:vAlign w:val="bottom"/>
            <w:gridSpan w:val="5"/>
          </w:tcPr>
          <w:p>
            <w:pPr>
              <w:jc w:val="center"/>
              <w:ind w:left="3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(845) 802-7900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KINS</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14, 2022, there were 10,684,499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4"/>
          <w:szCs w:val="24"/>
          <w:color w:val="auto"/>
        </w:rPr>
      </w:pPr>
    </w:p>
    <w:p>
      <w:pPr>
        <w:ind w:left="1038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6434455</wp:posOffset>
            </wp:positionH>
            <wp:positionV relativeFrom="paragraph">
              <wp:posOffset>17145</wp:posOffset>
            </wp:positionV>
            <wp:extent cx="63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ectPr>
          <w:pgSz w:w="11900" w:h="16838" w:orient="portrait"/>
          <w:cols w:equalWidth="0" w:num="1">
            <w:col w:w="11240"/>
          </w:cols>
          <w:pgMar w:left="320" w:top="675"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60" w:type="dxa"/>
            <w:vAlign w:val="bottom"/>
            <w:gridSpan w:val="2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
        </w:trPr>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gridSpan w:val="20"/>
          </w:tcPr>
          <w:p>
            <w:pPr>
              <w:spacing w:after="0" w:line="176" w:lineRule="exact"/>
              <w:rPr>
                <w:sz w:val="20"/>
                <w:szCs w:val="20"/>
                <w:color w:val="auto"/>
              </w:rPr>
            </w:pPr>
            <w:r>
              <w:rPr>
                <w:rFonts w:ascii="Arial" w:cs="Arial" w:eastAsia="Arial" w:hAnsi="Arial"/>
                <w:sz w:val="18"/>
                <w:szCs w:val="18"/>
                <w:color w:val="0000EE"/>
              </w:rPr>
              <w:t>Condensed Consolidated Balance Sheets at September 30, 2022 (Unaudited) and December 31, 2021</w:t>
            </w: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Operations and Comprehensive Income (Loss) for the three months and nine months</w:t>
            </w:r>
          </w:p>
        </w:tc>
        <w:tc>
          <w:tcPr>
            <w:tcW w:w="780" w:type="dxa"/>
            <w:vAlign w:val="bottom"/>
            <w:shd w:val="clear" w:color="auto" w:fill="CCEEFF"/>
          </w:tcPr>
          <w:p>
            <w:pPr>
              <w:spacing w:after="0"/>
              <w:rPr>
                <w:sz w:val="15"/>
                <w:szCs w:val="15"/>
                <w:color w:val="auto"/>
              </w:rPr>
            </w:pPr>
          </w:p>
        </w:tc>
      </w:tr>
      <w:tr>
        <w:trPr>
          <w:trHeight w:val="196"/>
        </w:trPr>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96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ended September 30, 2022 (Unaudited) and 2021 (Unaudited)</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00" w:type="dxa"/>
            <w:vAlign w:val="bottom"/>
            <w:tcBorders>
              <w:bottom w:val="single" w:sz="8" w:color="0000EE"/>
            </w:tcBorders>
            <w:gridSpan w:val="17"/>
          </w:tcPr>
          <w:p>
            <w:pPr>
              <w:spacing w:after="0" w:line="176" w:lineRule="exact"/>
              <w:rPr>
                <w:sz w:val="20"/>
                <w:szCs w:val="20"/>
                <w:color w:val="auto"/>
              </w:rPr>
            </w:pPr>
            <w:r>
              <w:rPr>
                <w:rFonts w:ascii="Arial" w:cs="Arial" w:eastAsia="Arial" w:hAnsi="Arial"/>
                <w:sz w:val="18"/>
                <w:szCs w:val="18"/>
                <w:color w:val="0000EE"/>
                <w:w w:val="89"/>
              </w:rPr>
              <w:t>Condensed Consolidated Statements of Stockholders’ Equity for the three months and nine months ended September 30,</w:t>
            </w:r>
          </w:p>
        </w:tc>
        <w:tc>
          <w:tcPr>
            <w:tcW w:w="76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Arial" w:cs="Arial" w:eastAsia="Arial" w:hAnsi="Arial"/>
                <w:sz w:val="18"/>
                <w:szCs w:val="18"/>
                <w:color w:val="0000EE"/>
              </w:rPr>
              <w:t>2022 (Unaudited) and 2021 (Unaudited)</w:t>
            </w: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w:t>
            </w:r>
          </w:p>
        </w:tc>
      </w:tr>
      <w:tr>
        <w:trPr>
          <w:trHeight w:val="21"/>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Cash Flows for the nine months ended September 30, 2022 (Unaudited) and 2021</w:t>
            </w:r>
          </w:p>
        </w:tc>
        <w:tc>
          <w:tcPr>
            <w:tcW w:w="70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1"/>
              </w:rPr>
              <w:t>(Unaudited)</w:t>
            </w:r>
          </w:p>
        </w:tc>
        <w:tc>
          <w:tcPr>
            <w:tcW w:w="8580" w:type="dxa"/>
            <w:vAlign w:val="bottom"/>
            <w:tcBorders>
              <w:bottom w:val="single" w:sz="8" w:color="CCEEFF"/>
            </w:tcBorders>
            <w:gridSpan w:val="18"/>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76"/>
        </w:trPr>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60" w:type="dxa"/>
            <w:vAlign w:val="bottom"/>
            <w:gridSpan w:val="20"/>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2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42</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0000EE"/>
              </w:rPr>
              <w:t>Item 3 —</w:t>
            </w:r>
          </w:p>
        </w:tc>
        <w:tc>
          <w:tcPr>
            <w:tcW w:w="9460" w:type="dxa"/>
            <w:vAlign w:val="bottom"/>
            <w:gridSpan w:val="20"/>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76</w:t>
            </w: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4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76</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392"/>
        </w:trPr>
        <w:tc>
          <w:tcPr>
            <w:tcW w:w="10460" w:type="dxa"/>
            <w:vAlign w:val="bottom"/>
            <w:gridSpan w:val="26"/>
          </w:tcPr>
          <w:p>
            <w:pPr>
              <w:spacing w:after="0"/>
              <w:rPr>
                <w:sz w:val="20"/>
                <w:szCs w:val="20"/>
                <w:color w:val="auto"/>
              </w:rPr>
            </w:pPr>
            <w:r>
              <w:rPr>
                <w:rFonts w:ascii="Arial" w:cs="Arial" w:eastAsia="Arial" w:hAnsi="Arial"/>
                <w:sz w:val="18"/>
                <w:szCs w:val="18"/>
                <w:b w:val="1"/>
                <w:bCs w:val="1"/>
                <w:color w:val="0000EE"/>
              </w:rPr>
              <w:t>PART II — OTHER INFORMATION</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1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176"/>
        </w:trPr>
        <w:tc>
          <w:tcPr>
            <w:tcW w:w="220" w:type="dxa"/>
            <w:vAlign w:val="bottom"/>
            <w:tcBorders>
              <w:top w:val="single" w:sz="8" w:color="CCEEFF"/>
            </w:tcBorders>
          </w:tcPr>
          <w:p>
            <w:pPr>
              <w:spacing w:after="0"/>
              <w:rPr>
                <w:sz w:val="15"/>
                <w:szCs w:val="15"/>
                <w:color w:val="auto"/>
              </w:rPr>
            </w:pPr>
          </w:p>
        </w:tc>
        <w:tc>
          <w:tcPr>
            <w:tcW w:w="6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Item 1A</w:t>
            </w:r>
          </w:p>
        </w:tc>
        <w:tc>
          <w:tcPr>
            <w:tcW w:w="100" w:type="dxa"/>
            <w:vAlign w:val="bottom"/>
            <w:tcBorders>
              <w:top w:val="single" w:sz="8" w:color="CCEEFF"/>
            </w:tcBorders>
          </w:tcPr>
          <w:p>
            <w:pPr>
              <w:spacing w:after="0"/>
              <w:rPr>
                <w:sz w:val="15"/>
                <w:szCs w:val="15"/>
                <w:color w:val="auto"/>
              </w:rPr>
            </w:pPr>
          </w:p>
        </w:tc>
        <w:tc>
          <w:tcPr>
            <w:tcW w:w="13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Risk Factors</w:t>
            </w:r>
          </w:p>
        </w:tc>
        <w:tc>
          <w:tcPr>
            <w:tcW w:w="8120" w:type="dxa"/>
            <w:vAlign w:val="bottom"/>
            <w:tcBorders>
              <w:top w:val="single" w:sz="8" w:color="CCEEFF"/>
            </w:tcBorders>
            <w:gridSpan w:val="15"/>
          </w:tcPr>
          <w:p>
            <w:pPr>
              <w:spacing w:after="0"/>
              <w:rPr>
                <w:sz w:val="15"/>
                <w:szCs w:val="15"/>
                <w:color w:val="auto"/>
              </w:rPr>
            </w:pPr>
          </w:p>
        </w:tc>
        <w:tc>
          <w:tcPr>
            <w:tcW w:w="78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196"/>
        </w:trPr>
        <w:tc>
          <w:tcPr>
            <w:tcW w:w="22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w:t>
            </w:r>
          </w:p>
        </w:tc>
        <w:tc>
          <w:tcPr>
            <w:tcW w:w="200" w:type="dxa"/>
            <w:vAlign w:val="bottom"/>
            <w:gridSpan w:val="2"/>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2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0000EE"/>
              </w:rPr>
              <w:t>Item 3 —</w:t>
            </w:r>
          </w:p>
        </w:tc>
        <w:tc>
          <w:tcPr>
            <w:tcW w:w="9460" w:type="dxa"/>
            <w:vAlign w:val="bottom"/>
            <w:gridSpan w:val="20"/>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0"/>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4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0000EE"/>
              </w:rPr>
              <w:t>Item 5 —</w:t>
            </w:r>
          </w:p>
        </w:tc>
        <w:tc>
          <w:tcPr>
            <w:tcW w:w="9460" w:type="dxa"/>
            <w:vAlign w:val="bottom"/>
            <w:gridSpan w:val="20"/>
          </w:tcPr>
          <w:p>
            <w:pPr>
              <w:spacing w:after="0" w:line="176" w:lineRule="exact"/>
              <w:rPr>
                <w:sz w:val="20"/>
                <w:szCs w:val="20"/>
                <w:color w:val="auto"/>
              </w:rPr>
            </w:pPr>
            <w:r>
              <w:rPr>
                <w:rFonts w:ascii="Arial" w:cs="Arial" w:eastAsia="Arial" w:hAnsi="Arial"/>
                <w:sz w:val="18"/>
                <w:szCs w:val="18"/>
                <w:color w:val="0000EE"/>
              </w:rPr>
              <w:t>Other Information</w:t>
            </w: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77</w:t>
            </w: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Item 6 —</w:t>
            </w:r>
          </w:p>
        </w:tc>
        <w:tc>
          <w:tcPr>
            <w:tcW w:w="94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78</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00" w:type="dxa"/>
            <w:vAlign w:val="bottom"/>
            <w:gridSpan w:val="6"/>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79</w:t>
            </w:r>
          </w:p>
        </w:tc>
      </w:tr>
      <w:tr>
        <w:trPr>
          <w:trHeight w:val="668"/>
        </w:trPr>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4"/>
          </w:tcPr>
          <w:p>
            <w:pPr>
              <w:ind w:left="4580"/>
              <w:spacing w:after="0"/>
              <w:rPr>
                <w:sz w:val="20"/>
                <w:szCs w:val="20"/>
                <w:color w:val="auto"/>
              </w:rPr>
            </w:pPr>
            <w:r>
              <w:rPr>
                <w:rFonts w:ascii="Arial" w:cs="Arial" w:eastAsia="Arial" w:hAnsi="Arial"/>
                <w:sz w:val="18"/>
                <w:szCs w:val="18"/>
                <w:color w:val="auto"/>
              </w:rPr>
              <w:t>2</w:t>
            </w:r>
          </w:p>
        </w:tc>
        <w:tc>
          <w:tcPr>
            <w:tcW w:w="1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under “Factors That May Affect Future Results and Financial Condition” on Form 10-K for the year ended December 31, 2021, Part I, Item 2 of this Quarterly Report and Part II, Item 1A of this Quarterly Report.</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2"/>
              </w:rPr>
              <w:t>September</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4"/>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Fixed-maturity securities, held-to-maturity, at amortized cost (fair value of $6,611,858 at September 30, 2022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$8,753,159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7,767,183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8,266,334</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94"/>
              </w:rPr>
              <w:t>Fixed-maturity securities, available-for-sale, at fair value (amortized cost of $165,534,467 at September 30, 2022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and $155,808,478 at December 31, 2021)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145,305,707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Equity securities, at fair value (cost of $26,776,016 at September 30, 2022 and $37,470,669 at December 31, 2021)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21,468,446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2,576,272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7,561,415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177,117,608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213,594,861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15,111,206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12,891,464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59,365,937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c>
          <w:tcPr>
            <w:tcW w:w="0" w:type="dxa"/>
            <w:vAlign w:val="bottom"/>
          </w:tcPr>
          <w:p>
            <w:pPr>
              <w:spacing w:after="0"/>
              <w:rPr>
                <w:sz w:val="1"/>
                <w:szCs w:val="1"/>
                <w:color w:val="auto"/>
              </w:rPr>
            </w:pPr>
          </w:p>
        </w:tc>
      </w:tr>
      <w:tr>
        <w:trPr>
          <w:trHeight w:val="90"/>
        </w:trPr>
        <w:tc>
          <w:tcPr>
            <w:tcW w:w="8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24"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23,205,684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22,238,987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10,161,507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9,291,597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8,856,948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192,253</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8,497,592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8,593,205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315,707,946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331,312,275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106,928,898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94,948,745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103,789,380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97,759,607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2,693,466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11,475,247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10,320,370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9,748,508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7,740,737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7,704,396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29,955,926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29,823,791</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276,837,833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255,640,081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authorized 2,500,000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ind w:left="220"/>
              <w:spacing w:after="0" w:line="201" w:lineRule="exact"/>
              <w:rPr>
                <w:sz w:val="20"/>
                <w:szCs w:val="20"/>
                <w:color w:val="auto"/>
              </w:rPr>
            </w:pPr>
            <w:r>
              <w:rPr>
                <w:rFonts w:ascii="Arial" w:cs="Arial" w:eastAsia="Arial" w:hAnsi="Arial"/>
                <w:sz w:val="18"/>
                <w:szCs w:val="18"/>
                <w:color w:val="auto"/>
                <w:w w:val="89"/>
              </w:rPr>
              <w:t>Common stock, $0.01 par value; authorized 20,000,000 shares; issued 12,117,081 shares at September 30, 2022 and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w w:val="93"/>
              </w:rPr>
              <w:t>11,955,660 shares at December 31, 2021; outstanding 10,645,675 shares at September 30, 2022 and 10,484,254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shares at December 31, 2021</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121,171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119,557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73,290,935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72,467,483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(15,978,570)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1,796,739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(12,995,942)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6,855,896</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44,437,594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81,239,675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 1,471,406 shares at September 30, 2022 and December 31, 2021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(5,567,481)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(5,567,481)</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38,870,113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75,672,194</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315,707,946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331,312,275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KINGSTONE COMPANIES, INC. AND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5"/>
              </w:rPr>
              <w:t>For the Three Months Ended</w:t>
            </w:r>
          </w:p>
        </w:tc>
        <w:tc>
          <w:tcPr>
            <w:tcW w:w="25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7"/>
              </w:rPr>
              <w:t>For the 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29,360,976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36,803,251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83,936,424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106,828,895</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4,886,094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(7,276)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14,283,077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37,400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1,418,521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1,676,596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3,411,946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5,137,867</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Net (losses) gains on investments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(397,658)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204,534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(9,313,436)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5,480,202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269,702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280,869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750,169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577,261</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35,537,635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38,957,974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93,068,180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118,061,625</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22,027,516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35,740,235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63,624,755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79,060,117</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8,702,190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8,201,935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25,534,307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24,711,115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7,276,101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6,562,743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20,717,047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19,722,705</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809,597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855,499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2,357,367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3,141,077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824,975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820,091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2,472,348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2,480,085</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456,545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1,369,635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1,369,635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40,096,924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52,637,048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116,075,459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130,484,734</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before taxes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(4,559,289)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(13,679,074)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(23,007,279)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(12,423,109)</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(561,668)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(3,060,809)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(4,432,507)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(2,817,108)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(3,997,621)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(10,618,265)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(18,574,772)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(9,606,001)</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Gross change in unrealized losses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 available-for-sale-securities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(5,047,679)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(829,298)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(22,556,319)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(3,578,413)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for losses (gains)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included in net loss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4,247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(335,668)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55,927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(1,071,439)</w:t>
            </w:r>
          </w:p>
        </w:tc>
        <w:tc>
          <w:tcPr>
            <w:tcW w:w="0" w:type="dxa"/>
            <w:vAlign w:val="bottom"/>
          </w:tcPr>
          <w:p>
            <w:pPr>
              <w:spacing w:after="0"/>
              <w:rPr>
                <w:sz w:val="1"/>
                <w:szCs w:val="1"/>
                <w:color w:val="auto"/>
              </w:rPr>
            </w:pPr>
          </w:p>
        </w:tc>
      </w:tr>
      <w:tr>
        <w:trPr>
          <w:trHeight w:val="57"/>
        </w:trPr>
        <w:tc>
          <w:tcPr>
            <w:tcW w:w="6060" w:type="dxa"/>
            <w:vAlign w:val="bottom"/>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00" w:type="dxa"/>
            <w:vAlign w:val="bottom"/>
            <w:tcBorders>
              <w:top w:val="single" w:sz="8" w:color="auto"/>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change in unrealized losses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(5,043,432)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(1,164,966)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(22,500,392)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(4,649,852)</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 related to items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other comprehensive loss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244,643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4,725,083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976,470</w:t>
            </w:r>
          </w:p>
        </w:tc>
      </w:tr>
      <w:tr>
        <w:trPr>
          <w:trHeight w:val="20"/>
        </w:trPr>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(3,984,312)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(920,323)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(17,775,309)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(3,673,382)</w:t>
            </w:r>
          </w:p>
        </w:tc>
      </w:tr>
      <w:tr>
        <w:trPr>
          <w:trHeight w:val="210"/>
        </w:trPr>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(7,981,933</w:t>
            </w:r>
            <w:r>
              <w:rPr>
                <w:rFonts w:ascii="Arial" w:cs="Arial" w:eastAsia="Arial" w:hAnsi="Arial"/>
                <w:sz w:val="26"/>
                <w:szCs w:val="26"/>
                <w:color w:val="auto"/>
                <w:vertAlign w:val="subscript"/>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(11,538,588</w:t>
            </w:r>
            <w:r>
              <w:rPr>
                <w:rFonts w:ascii="Arial" w:cs="Arial" w:eastAsia="Arial" w:hAnsi="Arial"/>
                <w:sz w:val="26"/>
                <w:szCs w:val="2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(36,350,081</w:t>
            </w:r>
            <w:r>
              <w:rPr>
                <w:rFonts w:ascii="Arial" w:cs="Arial" w:eastAsia="Arial" w:hAnsi="Arial"/>
                <w:sz w:val="26"/>
                <w:szCs w:val="2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30" w:lineRule="exact"/>
              <w:rPr>
                <w:sz w:val="20"/>
                <w:szCs w:val="20"/>
                <w:color w:val="auto"/>
              </w:rPr>
            </w:pPr>
            <w:r>
              <w:rPr>
                <w:rFonts w:ascii="Arial" w:cs="Arial" w:eastAsia="Arial" w:hAnsi="Arial"/>
                <w:sz w:val="15"/>
                <w:szCs w:val="15"/>
                <w:color w:val="auto"/>
              </w:rPr>
              <w:t>(13,279,383</w:t>
            </w:r>
            <w:r>
              <w:rPr>
                <w:rFonts w:ascii="Arial" w:cs="Arial" w:eastAsia="Arial" w:hAnsi="Arial"/>
                <w:sz w:val="26"/>
                <w:szCs w:val="26"/>
                <w:color w:val="auto"/>
                <w:vertAlign w:val="subscript"/>
              </w:rPr>
              <w:t>)</w:t>
            </w:r>
          </w:p>
        </w:tc>
      </w:tr>
      <w:tr>
        <w:trPr>
          <w:trHeight w:val="216"/>
        </w:trPr>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Loss per common share: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(0.38</w:t>
            </w:r>
            <w:r>
              <w:rPr>
                <w:rFonts w:ascii="Arial" w:cs="Arial" w:eastAsia="Arial" w:hAnsi="Arial"/>
                <w:sz w:val="26"/>
                <w:szCs w:val="26"/>
                <w:color w:val="auto"/>
                <w:vertAlign w:val="subscript"/>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(1.01</w:t>
            </w:r>
            <w:r>
              <w:rPr>
                <w:rFonts w:ascii="Arial" w:cs="Arial" w:eastAsia="Arial" w:hAnsi="Arial"/>
                <w:sz w:val="26"/>
                <w:szCs w:val="26"/>
                <w:color w:val="auto"/>
                <w:vertAlign w:val="sub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30" w:lineRule="exact"/>
              <w:rPr>
                <w:sz w:val="20"/>
                <w:szCs w:val="20"/>
                <w:color w:val="auto"/>
              </w:rPr>
            </w:pPr>
            <w:r>
              <w:rPr>
                <w:rFonts w:ascii="Arial" w:cs="Arial" w:eastAsia="Arial" w:hAnsi="Arial"/>
                <w:sz w:val="15"/>
                <w:szCs w:val="15"/>
                <w:color w:val="auto"/>
              </w:rPr>
              <w:t>(1.75</w:t>
            </w:r>
            <w:r>
              <w:rPr>
                <w:rFonts w:ascii="Arial" w:cs="Arial" w:eastAsia="Arial" w:hAnsi="Arial"/>
                <w:sz w:val="26"/>
                <w:szCs w:val="26"/>
                <w:color w:val="auto"/>
                <w:vertAlign w:val="sub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30" w:lineRule="exact"/>
              <w:rPr>
                <w:sz w:val="20"/>
                <w:szCs w:val="20"/>
                <w:color w:val="auto"/>
              </w:rPr>
            </w:pPr>
            <w:r>
              <w:rPr>
                <w:rFonts w:ascii="Arial" w:cs="Arial" w:eastAsia="Arial" w:hAnsi="Arial"/>
                <w:sz w:val="15"/>
                <w:szCs w:val="15"/>
                <w:color w:val="auto"/>
              </w:rPr>
              <w:t>(0.90</w:t>
            </w:r>
            <w:r>
              <w:rPr>
                <w:rFonts w:ascii="Arial" w:cs="Arial" w:eastAsia="Arial" w:hAnsi="Arial"/>
                <w:sz w:val="26"/>
                <w:szCs w:val="26"/>
                <w:color w:val="auto"/>
                <w:vertAlign w:val="subscript"/>
              </w:rPr>
              <w:t>)</w:t>
            </w:r>
          </w:p>
        </w:tc>
      </w:tr>
      <w:tr>
        <w:trPr>
          <w:trHeight w:val="27"/>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6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(0.38</w:t>
            </w:r>
            <w:r>
              <w:rPr>
                <w:rFonts w:ascii="Arial" w:cs="Arial" w:eastAsia="Arial" w:hAnsi="Arial"/>
                <w:sz w:val="26"/>
                <w:szCs w:val="26"/>
                <w:color w:val="auto"/>
                <w:vertAlign w:val="subscript"/>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(1.01</w:t>
            </w:r>
            <w:r>
              <w:rPr>
                <w:rFonts w:ascii="Arial" w:cs="Arial" w:eastAsia="Arial" w:hAnsi="Arial"/>
                <w:sz w:val="26"/>
                <w:szCs w:val="2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30" w:lineRule="exact"/>
              <w:rPr>
                <w:sz w:val="20"/>
                <w:szCs w:val="20"/>
                <w:color w:val="auto"/>
              </w:rPr>
            </w:pPr>
            <w:r>
              <w:rPr>
                <w:rFonts w:ascii="Arial" w:cs="Arial" w:eastAsia="Arial" w:hAnsi="Arial"/>
                <w:sz w:val="15"/>
                <w:szCs w:val="15"/>
                <w:color w:val="auto"/>
              </w:rPr>
              <w:t>(1.75</w:t>
            </w:r>
            <w:r>
              <w:rPr>
                <w:rFonts w:ascii="Arial" w:cs="Arial" w:eastAsia="Arial" w:hAnsi="Arial"/>
                <w:sz w:val="26"/>
                <w:szCs w:val="2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30" w:lineRule="exact"/>
              <w:rPr>
                <w:sz w:val="20"/>
                <w:szCs w:val="20"/>
                <w:color w:val="auto"/>
              </w:rPr>
            </w:pPr>
            <w:r>
              <w:rPr>
                <w:rFonts w:ascii="Arial" w:cs="Arial" w:eastAsia="Arial" w:hAnsi="Arial"/>
                <w:sz w:val="15"/>
                <w:szCs w:val="15"/>
                <w:color w:val="auto"/>
              </w:rPr>
              <w:t>(0.90</w:t>
            </w:r>
            <w:r>
              <w:rPr>
                <w:rFonts w:ascii="Arial" w:cs="Arial" w:eastAsia="Arial" w:hAnsi="Arial"/>
                <w:sz w:val="26"/>
                <w:szCs w:val="26"/>
                <w:color w:val="auto"/>
                <w:vertAlign w:val="subscript"/>
              </w:rPr>
              <w:t>)</w:t>
            </w:r>
          </w:p>
        </w:tc>
      </w:tr>
      <w:tr>
        <w:trPr>
          <w:trHeight w:val="216"/>
        </w:trPr>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10,645,675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10,523,515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10,640,290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10,622,988</w:t>
            </w:r>
          </w:p>
        </w:tc>
      </w:tr>
      <w:tr>
        <w:trPr>
          <w:trHeight w:val="27"/>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6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10,645,675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10,523,515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10,640,290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10,622,988</w:t>
            </w:r>
          </w:p>
        </w:tc>
      </w:tr>
      <w:tr>
        <w:trPr>
          <w:trHeight w:val="216"/>
        </w:trPr>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r>
      <w:tr>
        <w:trPr>
          <w:trHeight w:val="27"/>
        </w:trPr>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280" w:type="dxa"/>
            <w:vAlign w:val="bottom"/>
            <w:gridSpan w:val="6"/>
            <w:vMerge w:val="restart"/>
          </w:tcPr>
          <w:p>
            <w:pPr>
              <w:jc w:val="right"/>
              <w:spacing w:after="0"/>
              <w:rPr>
                <w:sz w:val="20"/>
                <w:szCs w:val="20"/>
                <w:color w:val="auto"/>
              </w:rPr>
            </w:pPr>
            <w:r>
              <w:rPr>
                <w:rFonts w:ascii="Arial" w:cs="Arial" w:eastAsia="Arial" w:hAnsi="Arial"/>
                <w:sz w:val="18"/>
                <w:szCs w:val="18"/>
                <w:color w:val="auto"/>
                <w:w w:val="99"/>
              </w:rPr>
              <w:t>Preferred Stock</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gridSpan w:val="7"/>
            <w:vMerge w:val="restart"/>
          </w:tcPr>
          <w:p>
            <w:pPr>
              <w:jc w:val="right"/>
              <w:ind w:right="48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7"/>
            <w:vMerge w:val="restart"/>
          </w:tcPr>
          <w:p>
            <w:pPr>
              <w:jc w:val="right"/>
              <w:ind w:right="560"/>
              <w:spacing w:after="0"/>
              <w:rPr>
                <w:sz w:val="20"/>
                <w:szCs w:val="20"/>
                <w:color w:val="auto"/>
              </w:rPr>
            </w:pPr>
            <w:r>
              <w:rPr>
                <w:rFonts w:ascii="Arial" w:cs="Arial" w:eastAsia="Arial" w:hAnsi="Arial"/>
                <w:sz w:val="18"/>
                <w:szCs w:val="18"/>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80" w:type="dxa"/>
            <w:vAlign w:val="bottom"/>
            <w:gridSpan w:val="6"/>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in Excess</w:t>
            </w:r>
          </w:p>
        </w:tc>
        <w:tc>
          <w:tcPr>
            <w:tcW w:w="6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8"/>
                <w:szCs w:val="18"/>
                <w:color w:val="auto"/>
              </w:rPr>
            </w:pPr>
          </w:p>
        </w:tc>
        <w:tc>
          <w:tcPr>
            <w:tcW w:w="198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w w:val="98"/>
              </w:rPr>
              <w:t>Shares</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Shares</w:t>
            </w: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of Par</w:t>
            </w:r>
          </w:p>
        </w:tc>
        <w:tc>
          <w:tcPr>
            <w:tcW w:w="6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Earnings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July</w:t>
            </w: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1, 2021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11,944,220</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2"/>
              </w:rPr>
              <w:t>$ 119,442</w:t>
            </w: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$ 71,567,797</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7,127,003</w:t>
            </w:r>
          </w:p>
        </w:tc>
        <w:tc>
          <w:tcPr>
            <w:tcW w:w="16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$ 16,086,337</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1,383,077</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(4,935,933)</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$ 89,964,646</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466,658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466,658</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4,907</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(1,508)</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(9,371)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88,329</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(631,548)</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(631,548)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(420,525)</w:t>
            </w: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(420,525)</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(10,618,265)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(10,618,265)</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losses 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available-</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for-sale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9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(920,323)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(920,323)</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5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September</w:t>
            </w: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w w:val="97"/>
              </w:rPr>
              <w:t>11,947,619</w:t>
            </w:r>
          </w:p>
        </w:tc>
        <w:tc>
          <w:tcPr>
            <w:tcW w:w="140" w:type="dxa"/>
            <w:vAlign w:val="bottom"/>
          </w:tcPr>
          <w:p>
            <w:pPr>
              <w:spacing w:after="0"/>
              <w:rPr>
                <w:sz w:val="18"/>
                <w:szCs w:val="18"/>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119,476</w:t>
            </w:r>
          </w:p>
        </w:tc>
        <w:tc>
          <w:tcPr>
            <w:tcW w:w="140" w:type="dxa"/>
            <w:vAlign w:val="bottom"/>
          </w:tcPr>
          <w:p>
            <w:pPr>
              <w:spacing w:after="0"/>
              <w:rPr>
                <w:sz w:val="18"/>
                <w:szCs w:val="18"/>
                <w:color w:val="auto"/>
              </w:rPr>
            </w:pPr>
          </w:p>
        </w:tc>
        <w:tc>
          <w:tcPr>
            <w:tcW w:w="940" w:type="dxa"/>
            <w:vAlign w:val="bottom"/>
            <w:gridSpan w:val="3"/>
            <w:vMerge w:val="restart"/>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72,025,035</w:t>
            </w:r>
          </w:p>
        </w:tc>
        <w:tc>
          <w:tcPr>
            <w:tcW w:w="10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6,206,680</w:t>
            </w:r>
          </w:p>
        </w:tc>
        <w:tc>
          <w:tcPr>
            <w:tcW w:w="160" w:type="dxa"/>
            <w:vAlign w:val="bottom"/>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5,047,547</w:t>
            </w:r>
          </w:p>
        </w:tc>
        <w:tc>
          <w:tcPr>
            <w:tcW w:w="100" w:type="dxa"/>
            <w:vAlign w:val="bottom"/>
          </w:tcPr>
          <w:p>
            <w:pPr>
              <w:spacing w:after="0"/>
              <w:rPr>
                <w:sz w:val="18"/>
                <w:szCs w:val="18"/>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9"/>
              </w:rPr>
              <w:t>1,471,406</w:t>
            </w:r>
          </w:p>
        </w:tc>
        <w:tc>
          <w:tcPr>
            <w:tcW w:w="100" w:type="dxa"/>
            <w:vAlign w:val="bottom"/>
          </w:tcPr>
          <w:p>
            <w:pPr>
              <w:spacing w:after="0"/>
              <w:rPr>
                <w:sz w:val="18"/>
                <w:szCs w:val="18"/>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(5,567,481)</w:t>
            </w:r>
          </w:p>
        </w:tc>
        <w:tc>
          <w:tcPr>
            <w:tcW w:w="120" w:type="dxa"/>
            <w:vAlign w:val="bottom"/>
          </w:tcPr>
          <w:p>
            <w:pPr>
              <w:spacing w:after="0"/>
              <w:rPr>
                <w:sz w:val="18"/>
                <w:szCs w:val="18"/>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1"/>
              </w:rPr>
              <w:t>$ 77,831,257</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30, 2021</w:t>
            </w:r>
          </w:p>
        </w:tc>
        <w:tc>
          <w:tcPr>
            <w:tcW w:w="5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280" w:type="dxa"/>
            <w:vAlign w:val="bottom"/>
            <w:gridSpan w:val="6"/>
            <w:vMerge w:val="restart"/>
          </w:tcPr>
          <w:p>
            <w:pPr>
              <w:jc w:val="right"/>
              <w:spacing w:after="0"/>
              <w:rPr>
                <w:sz w:val="20"/>
                <w:szCs w:val="20"/>
                <w:color w:val="auto"/>
              </w:rPr>
            </w:pPr>
            <w:r>
              <w:rPr>
                <w:rFonts w:ascii="Arial" w:cs="Arial" w:eastAsia="Arial" w:hAnsi="Arial"/>
                <w:sz w:val="18"/>
                <w:szCs w:val="18"/>
                <w:color w:val="auto"/>
              </w:rPr>
              <w:t>Preferred Stock</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gridSpan w:val="7"/>
            <w:vMerge w:val="restart"/>
          </w:tcPr>
          <w:p>
            <w:pPr>
              <w:jc w:val="right"/>
              <w:ind w:right="4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7"/>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80" w:type="dxa"/>
            <w:vAlign w:val="bottom"/>
            <w:gridSpan w:val="6"/>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in Excess</w:t>
            </w:r>
          </w:p>
        </w:tc>
        <w:tc>
          <w:tcPr>
            <w:tcW w:w="6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Comprehensive</w:t>
            </w:r>
          </w:p>
        </w:tc>
        <w:tc>
          <w:tcPr>
            <w:tcW w:w="20" w:type="dxa"/>
            <w:vAlign w:val="bottom"/>
          </w:tcPr>
          <w:p>
            <w:pPr>
              <w:spacing w:after="0"/>
              <w:rPr>
                <w:sz w:val="18"/>
                <w:szCs w:val="18"/>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w w:val="96"/>
              </w:rPr>
              <w:t>Accumulated</w:t>
            </w:r>
          </w:p>
        </w:tc>
        <w:tc>
          <w:tcPr>
            <w:tcW w:w="80" w:type="dxa"/>
            <w:vAlign w:val="bottom"/>
          </w:tcPr>
          <w:p>
            <w:pPr>
              <w:spacing w:after="0"/>
              <w:rPr>
                <w:sz w:val="18"/>
                <w:szCs w:val="18"/>
                <w:color w:val="auto"/>
              </w:rPr>
            </w:pPr>
          </w:p>
        </w:tc>
        <w:tc>
          <w:tcPr>
            <w:tcW w:w="198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4"/>
              </w:rPr>
              <w:t>Shares</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Shares</w:t>
            </w: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of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8"/>
                <w:szCs w:val="18"/>
                <w:color w:val="auto"/>
              </w:rPr>
            </w:pPr>
          </w:p>
        </w:tc>
        <w:tc>
          <w:tcPr>
            <w:tcW w:w="9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Shares</w:t>
            </w: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Balance, July</w:t>
            </w: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1, 2022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12,117,081</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7"/>
              </w:rPr>
              <w:t>$ 121,171</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$ 73,102,513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(11,994,258)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(8,572,521)</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1,471,406</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 (5,567,481)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$ 47,089,424</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188,422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188,422</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64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80" w:type="dxa"/>
            <w:vAlign w:val="bottom"/>
          </w:tcPr>
          <w:p>
            <w:pPr>
              <w:ind w:left="5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5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(425,800)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(425,800)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ind w:left="5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(3,997,621)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(3,997,621)</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58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(3,984,312)</w:t>
            </w: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(3,984,312)</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September</w:t>
            </w:r>
          </w:p>
        </w:tc>
        <w:tc>
          <w:tcPr>
            <w:tcW w:w="1080" w:type="dxa"/>
            <w:vAlign w:val="bottom"/>
            <w:gridSpan w:val="3"/>
            <w:vMerge w:val="restart"/>
          </w:tcPr>
          <w:p>
            <w:pPr>
              <w:ind w:left="520"/>
              <w:spacing w:after="0"/>
              <w:rPr>
                <w:sz w:val="20"/>
                <w:szCs w:val="20"/>
                <w:color w:val="auto"/>
              </w:rPr>
            </w:pPr>
            <w:r>
              <w:rPr>
                <w:rFonts w:ascii="Arial" w:cs="Arial" w:eastAsia="Arial" w:hAnsi="Arial"/>
                <w:sz w:val="18"/>
                <w:szCs w:val="18"/>
                <w:color w:val="auto"/>
              </w:rPr>
              <w:t>-  $</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12,117,081</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$ 121,171</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73,290,935</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7"/>
              </w:rPr>
              <w:t>(15,978,570)</w:t>
            </w: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w w:val="97"/>
              </w:rPr>
              <w:t>$ (12,995,942)</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7"/>
              </w:rPr>
              <w:t>1,471,406</w:t>
            </w:r>
          </w:p>
        </w:tc>
        <w:tc>
          <w:tcPr>
            <w:tcW w:w="1100" w:type="dxa"/>
            <w:vAlign w:val="bottom"/>
            <w:gridSpan w:val="3"/>
            <w:vMerge w:val="restart"/>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(5,567,481)</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1"/>
              </w:rPr>
              <w:t>$ 38,870,113</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1080" w:type="dxa"/>
            <w:vAlign w:val="bottom"/>
            <w:gridSpan w:val="3"/>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20" w:type="dxa"/>
            <w:vAlign w:val="bottom"/>
            <w:gridSpan w:val="4"/>
            <w:vMerge w:val="restart"/>
          </w:tcPr>
          <w:p>
            <w:pPr>
              <w:ind w:left="160"/>
              <w:spacing w:after="0"/>
              <w:rPr>
                <w:sz w:val="20"/>
                <w:szCs w:val="20"/>
                <w:color w:val="auto"/>
              </w:rPr>
            </w:pPr>
            <w:r>
              <w:rPr>
                <w:rFonts w:ascii="Arial" w:cs="Arial" w:eastAsia="Arial" w:hAnsi="Arial"/>
                <w:sz w:val="18"/>
                <w:szCs w:val="18"/>
                <w:color w:val="auto"/>
                <w:w w:val="89"/>
              </w:rPr>
              <w:t>Preferred 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8"/>
            <w:vMerge w:val="restart"/>
          </w:tcPr>
          <w:p>
            <w:pPr>
              <w:ind w:left="340"/>
              <w:spacing w:after="0"/>
              <w:rPr>
                <w:sz w:val="20"/>
                <w:szCs w:val="20"/>
                <w:color w:val="auto"/>
              </w:rPr>
            </w:pPr>
            <w:r>
              <w:rPr>
                <w:rFonts w:ascii="Arial" w:cs="Arial" w:eastAsia="Arial" w:hAnsi="Arial"/>
                <w:sz w:val="18"/>
                <w:szCs w:val="18"/>
                <w:color w:val="auto"/>
              </w:rPr>
              <w:t>Common Stock</w:t>
            </w: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8"/>
            <w:vMerge w:val="continue"/>
          </w:tcPr>
          <w:p>
            <w:pPr>
              <w:spacing w:after="0"/>
              <w:rPr>
                <w:sz w:val="18"/>
                <w:szCs w:val="18"/>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in Excess</w:t>
            </w:r>
          </w:p>
        </w:tc>
        <w:tc>
          <w:tcPr>
            <w:tcW w:w="12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Retained</w:t>
            </w:r>
          </w:p>
        </w:tc>
        <w:tc>
          <w:tcPr>
            <w:tcW w:w="208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6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8"/>
              </w:rPr>
              <w:t>Shares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0"/>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of Par</w:t>
            </w:r>
          </w:p>
        </w:tc>
        <w:tc>
          <w:tcPr>
            <w:tcW w:w="12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Earnings</w:t>
            </w:r>
          </w:p>
        </w:tc>
        <w:tc>
          <w:tcPr>
            <w:tcW w:w="10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Shares</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11,871,307</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$ 118,713</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3"/>
              </w:rPr>
              <w:t>$ 70,769,165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9,880,062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15,928,345</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1,254,492</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(3,895,883)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$ 92,800,402</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1,447,725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1,447,725</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104,030</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(27,718)</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(190,815)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(191,092)</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w:t>
            </w: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treasury</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216,914</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(1,671,598)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(1,671,598)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Dividends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(1,274,797)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(1,274,797)</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(9,606,001)</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(9,606,001)</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Change in</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unrealized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losses 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available-for-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sale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5"/>
              </w:rPr>
              <w:t>securities, net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(3,673,382)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(3,673,382)</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of tax</w:t>
            </w: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8"/>
                <w:szCs w:val="18"/>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7"/>
              </w:rPr>
              <w:t>11,947,619</w:t>
            </w:r>
          </w:p>
        </w:tc>
        <w:tc>
          <w:tcPr>
            <w:tcW w:w="8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119,476</w:t>
            </w:r>
          </w:p>
        </w:tc>
        <w:tc>
          <w:tcPr>
            <w:tcW w:w="12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72,025,035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6,206,680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9"/>
              </w:rPr>
              <w:t>5,047,547</w:t>
            </w:r>
          </w:p>
        </w:tc>
        <w:tc>
          <w:tcPr>
            <w:tcW w:w="10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1,471,406</w:t>
            </w:r>
          </w:p>
        </w:tc>
        <w:tc>
          <w:tcPr>
            <w:tcW w:w="10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(5,567,481)</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77,831,257</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30, 2021</w:t>
            </w:r>
          </w:p>
        </w:tc>
        <w:tc>
          <w:tcPr>
            <w:tcW w:w="5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8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08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Retained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320" w:type="dxa"/>
            <w:vAlign w:val="bottom"/>
            <w:gridSpan w:val="4"/>
            <w:vMerge w:val="restart"/>
          </w:tcPr>
          <w:p>
            <w:pPr>
              <w:ind w:left="120"/>
              <w:spacing w:after="0"/>
              <w:rPr>
                <w:sz w:val="20"/>
                <w:szCs w:val="20"/>
                <w:color w:val="auto"/>
              </w:rPr>
            </w:pPr>
            <w:r>
              <w:rPr>
                <w:rFonts w:ascii="Arial" w:cs="Arial" w:eastAsia="Arial" w:hAnsi="Arial"/>
                <w:sz w:val="18"/>
                <w:szCs w:val="18"/>
                <w:color w:val="auto"/>
                <w:w w:val="92"/>
              </w:rPr>
              <w:t>Preferred 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8"/>
            <w:vMerge w:val="restart"/>
          </w:tcPr>
          <w:p>
            <w:pPr>
              <w:ind w:left="260"/>
              <w:spacing w:after="0"/>
              <w:rPr>
                <w:sz w:val="20"/>
                <w:szCs w:val="20"/>
                <w:color w:val="auto"/>
              </w:rPr>
            </w:pPr>
            <w:r>
              <w:rPr>
                <w:rFonts w:ascii="Arial" w:cs="Arial" w:eastAsia="Arial" w:hAnsi="Arial"/>
                <w:sz w:val="18"/>
                <w:szCs w:val="18"/>
                <w:color w:val="auto"/>
              </w:rPr>
              <w:t>Common Stock</w:t>
            </w:r>
          </w:p>
        </w:tc>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Earnings</w:t>
            </w:r>
          </w:p>
        </w:tc>
        <w:tc>
          <w:tcPr>
            <w:tcW w:w="2080" w:type="dxa"/>
            <w:vAlign w:val="bottom"/>
            <w:gridSpan w:val="4"/>
            <w:vMerge w:val="restart"/>
          </w:tcPr>
          <w:p>
            <w:pPr>
              <w:jc w:val="right"/>
              <w:ind w:right="600"/>
              <w:spacing w:after="0"/>
              <w:rPr>
                <w:sz w:val="20"/>
                <w:szCs w:val="20"/>
                <w:color w:val="auto"/>
              </w:rPr>
            </w:pPr>
            <w:r>
              <w:rPr>
                <w:rFonts w:ascii="Arial" w:cs="Arial" w:eastAsia="Arial" w:hAnsi="Arial"/>
                <w:sz w:val="18"/>
                <w:szCs w:val="18"/>
                <w:color w:val="auto"/>
              </w:rPr>
              <w:t>Treasury Stock</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8"/>
            <w:vMerge w:val="continue"/>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in Excess</w:t>
            </w: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Comprehensive</w:t>
            </w: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(Accumulated</w:t>
            </w:r>
          </w:p>
        </w:tc>
        <w:tc>
          <w:tcPr>
            <w:tcW w:w="208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080" w:type="dxa"/>
            <w:vAlign w:val="bottom"/>
            <w:tcBorders>
              <w:bottom w:val="single" w:sz="8" w:color="CCEEFF"/>
            </w:tcBorders>
          </w:tcPr>
          <w:p>
            <w:pPr>
              <w:spacing w:after="0"/>
              <w:rPr>
                <w:sz w:val="23"/>
                <w:szCs w:val="2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Shares</w:t>
            </w:r>
          </w:p>
        </w:tc>
        <w:tc>
          <w:tcPr>
            <w:tcW w:w="80" w:type="dxa"/>
            <w:vAlign w:val="bottom"/>
            <w:tcBorders>
              <w:top w:val="single" w:sz="8" w:color="auto"/>
              <w:bottom w:val="single" w:sz="8" w:color="CCEEFF"/>
            </w:tcBorders>
          </w:tcPr>
          <w:p>
            <w:pPr>
              <w:spacing w:after="0"/>
              <w:rPr>
                <w:sz w:val="23"/>
                <w:szCs w:val="23"/>
                <w:color w:val="auto"/>
              </w:rPr>
            </w:pPr>
          </w:p>
        </w:tc>
        <w:tc>
          <w:tcPr>
            <w:tcW w:w="6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Amount</w:t>
            </w:r>
          </w:p>
        </w:tc>
        <w:tc>
          <w:tcPr>
            <w:tcW w:w="14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CCEEFF"/>
            </w:tcBorders>
            <w:gridSpan w:val="2"/>
          </w:tcPr>
          <w:p>
            <w:pPr>
              <w:spacing w:after="0"/>
              <w:rPr>
                <w:sz w:val="23"/>
                <w:szCs w:val="23"/>
                <w:color w:val="auto"/>
              </w:rPr>
            </w:pPr>
          </w:p>
        </w:tc>
        <w:tc>
          <w:tcPr>
            <w:tcW w:w="70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Amount</w:t>
            </w:r>
          </w:p>
        </w:tc>
        <w:tc>
          <w:tcPr>
            <w:tcW w:w="160" w:type="dxa"/>
            <w:vAlign w:val="bottom"/>
            <w:tcBorders>
              <w:bottom w:val="single" w:sz="8" w:color="CCEEFF"/>
            </w:tcBorders>
            <w:gridSpan w:val="2"/>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Par</w:t>
            </w:r>
          </w:p>
        </w:tc>
        <w:tc>
          <w:tcPr>
            <w:tcW w:w="180" w:type="dxa"/>
            <w:vAlign w:val="bottom"/>
            <w:tcBorders>
              <w:bottom w:val="single" w:sz="8" w:color="CCEEFF"/>
            </w:tcBorders>
            <w:gridSpan w:val="2"/>
          </w:tcPr>
          <w:p>
            <w:pPr>
              <w:spacing w:after="0"/>
              <w:rPr>
                <w:sz w:val="23"/>
                <w:szCs w:val="2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Income (Loss)</w:t>
            </w: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200" w:type="dxa"/>
            <w:vAlign w:val="bottom"/>
            <w:tcBorders>
              <w:bottom w:val="single" w:sz="8" w:color="CCEEFF"/>
            </w:tcBorders>
          </w:tcPr>
          <w:p>
            <w:pPr>
              <w:spacing w:after="0"/>
              <w:rPr>
                <w:sz w:val="23"/>
                <w:szCs w:val="23"/>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bottom w:val="single" w:sz="8" w:color="CCEEFF"/>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Amount</w:t>
            </w:r>
          </w:p>
        </w:tc>
        <w:tc>
          <w:tcPr>
            <w:tcW w:w="18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Balance,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11,955,660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$ 119,557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$ 72,467,483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1,796,739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6,855,896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1,471,406</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 (5,567,481)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75,672,194</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1,204,865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1,204,865</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Shares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deducted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from</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restricted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stock awards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for payment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of</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withholding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taxes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(72,798)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(379,071)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(379,799)</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(1,277,066)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(1,277,066)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(18,574,772)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(18,574,772)</w:t>
            </w:r>
          </w:p>
        </w:tc>
        <w:tc>
          <w:tcPr>
            <w:tcW w:w="0" w:type="dxa"/>
            <w:vAlign w:val="bottom"/>
          </w:tcPr>
          <w:p>
            <w:pPr>
              <w:spacing w:after="0"/>
              <w:rPr>
                <w:sz w:val="1"/>
                <w:szCs w:val="1"/>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unrealized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losses 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available-for-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securities, net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(17,775,309)</w:t>
            </w:r>
          </w:p>
        </w:tc>
        <w:tc>
          <w:tcPr>
            <w:tcW w:w="1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0"/>
              </w:rPr>
              <w:t>(17,775,309)</w:t>
            </w:r>
          </w:p>
        </w:tc>
        <w:tc>
          <w:tcPr>
            <w:tcW w:w="0" w:type="dxa"/>
            <w:vAlign w:val="bottom"/>
          </w:tcPr>
          <w:p>
            <w:pPr>
              <w:spacing w:after="0"/>
              <w:rPr>
                <w:sz w:val="1"/>
                <w:szCs w:val="1"/>
                <w:color w:val="auto"/>
              </w:rPr>
            </w:pPr>
          </w:p>
        </w:tc>
      </w:tr>
      <w:tr>
        <w:trPr>
          <w:trHeight w:val="21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September</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12,117,081</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$ 121,171</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73,290,935</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(15,978,570)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4"/>
              </w:rPr>
              <w:t>(12,995,942)</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1,471,406</w:t>
            </w:r>
          </w:p>
        </w:tc>
        <w:tc>
          <w:tcPr>
            <w:tcW w:w="1140" w:type="dxa"/>
            <w:vAlign w:val="bottom"/>
            <w:gridSpan w:val="3"/>
            <w:vMerge w:val="restart"/>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(5,567,481)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5"/>
              </w:rPr>
              <w:t>38,870,113</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30, 2022</w:t>
            </w:r>
          </w:p>
        </w:tc>
        <w:tc>
          <w:tcPr>
            <w:tcW w:w="5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KINGSTONE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Nine months ended September 30,</w:t>
            </w:r>
          </w:p>
        </w:tc>
        <w:tc>
          <w:tcPr>
            <w:tcW w:w="12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8"/>
                <w:szCs w:val="18"/>
                <w:color w:val="auto"/>
              </w:rPr>
            </w:pPr>
          </w:p>
        </w:tc>
      </w:tr>
      <w:tr>
        <w:trPr>
          <w:trHeight w:val="425"/>
        </w:trPr>
        <w:tc>
          <w:tcPr>
            <w:tcW w:w="8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(18,574,772)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(9,606,001)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Adjustments to reconcile net loss to net cash flows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provided by operating 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gains on investments</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(599,773)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(2,793,522)</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(gains) on equity investments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7,549,640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(592,397)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unrealized losses (gains) on other investments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2,363,568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(2,094,283)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2,472,348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2,480,085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43,365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150,024</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bond premium, net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922,257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165,413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Amortization of discount and issuance costs on debt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132,135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132,135</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1,204,865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1,447,725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income tax benefit</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(3,939,612)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(2,642,595)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operating assets: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Premiums receivable, net</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(616,493)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360,296</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receivables, net</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(19,073,499)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22,498,715</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policy acquisition costs</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(966,697)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(1,119,401)</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95,613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(406,756)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 reserves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11,980,153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18,242,890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6,029,773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2,644,506</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premiums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3,933,809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2,665,160</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Reinsurance balances payable</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(1,486,321)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(2,713,643)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ceding commission revenue</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571,862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267,109</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provided by operating activities</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(7,921,438)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29,079,787</w:t>
            </w:r>
          </w:p>
        </w:tc>
      </w:tr>
      <w:tr>
        <w:trPr>
          <w:trHeight w:val="197"/>
        </w:trPr>
        <w:tc>
          <w:tcPr>
            <w:tcW w:w="8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fixed-maturity securities held-to-maturity</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(498,711)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(3,175,686)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(24,874,443)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(32,753,786)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Purchase - equity securities</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(637,897)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(17,834,076)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 other investments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Redemption - fixed-maturity securities held-to-maturity</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1,312,500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maturity - fixed-maturity securities available-for-sale</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14,213,435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33,335,036</w:t>
            </w:r>
          </w:p>
        </w:tc>
      </w:tr>
    </w:tbl>
    <w:p>
      <w:pPr>
        <w:sectPr>
          <w:pgSz w:w="11900" w:h="16838" w:orient="portrait"/>
          <w:cols w:equalWidth="0" w:num="1">
            <w:col w:w="11240"/>
          </w:cols>
          <w:pgMar w:left="320" w:top="134" w:right="339" w:bottom="0" w:gutter="0" w:footer="0" w:header="0"/>
        </w:sectPr>
      </w:pPr>
    </w:p>
    <w:bookmarkStart w:id="6" w:name="page7"/>
    <w:bookmarkEnd w:id="6"/>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Sale - equity securities</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11,962,513</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14,507,384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Sale - real estate partnership</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Redemption - other investments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2,576,272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(3,342,258)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(2,923,124)</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Net cash flows provided by (used in) investing activities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398,911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(9,297,954)</w:t>
            </w:r>
          </w:p>
        </w:tc>
      </w:tr>
      <w:tr>
        <w:trPr>
          <w:trHeight w:val="209"/>
        </w:trPr>
        <w:tc>
          <w:tcPr>
            <w:tcW w:w="8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(379,799)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(191,092)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(1,671,598)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(1,277,066)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(1,274,797)</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(1,656,865)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(3,137,487)</w:t>
            </w:r>
          </w:p>
        </w:tc>
      </w:tr>
      <w:tr>
        <w:trPr>
          <w:trHeight w:val="209"/>
        </w:trPr>
        <w:tc>
          <w:tcPr>
            <w:tcW w:w="8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(9,179,392)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16,644,346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24,290,598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19,463,742</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15,111,206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36,108,088</w:t>
            </w:r>
          </w:p>
        </w:tc>
      </w:tr>
      <w:tr>
        <w:trPr>
          <w:trHeight w:val="216"/>
        </w:trPr>
        <w:tc>
          <w:tcPr>
            <w:tcW w:w="8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825,000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Kingstone Companies, Inc. (referred to herein as "Kingstone"), through its wholly-owned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Company,over 80% of KICO’s direct written premiums for both the three months and nine months ended September 30, 2022, came from the New York policies. Kingstone, through its wholly-owned subsidiary, Cosi Agency, Inc. (“Cosi”), a multi-state licensed general agency, accesses alternate forms of distribution outside of the independent agent and broker network, through which KICO currently distributes its various products. Kingstone and its wholly-owned subsidiaries are collectively referred to as the “Company”.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2021 and notes thereto included in the Company’s Annual Report on Form 10-K filed with the Securities and Exchange Commission (the “SEC”) on April 4, 2022.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nine months ended September 30, 2022 may not be indicative of the results that may be expected for the year ending December 31, 2022.</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prior year balances were reclassified to conform with the current year presentation. The reclassification had no effect on the Company’s previously reported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 the Company’s Annual Report on Form 10-K for the year ended December 31, 2021 for further information.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Kingstone’s $30,000,000 5.5% Senior Unsecured Notes (the “Notes”) mature on December 30, 2022. The Company’s continuation as a going concern is dependent on its ability to obtain financing to satisfy the Notes at maturity unless agreements are entered into with the holders of a substantial principal amount of the Notes to extend the maturity date of the Notes or exchange the Notes for new debt and/or equity securities of Kingstone (see “Management’s Plan Related to Going Concern” below). Management believes that KICO’s insurance operations would be able to continue in the event that the required financing by Kingstone is not obtained and agreements with the holders of the Notes are not entered into.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Accounting Standards Update (“ASU”) 2014-15, Presentation of Financial Statements—Going Concern (Subtopic 205-40) (“ASC 205-40”), the Company has the responsibility to evaluate whether conditions and/or events raise substantial doubt about its ability to meet its future financial</w:t>
      </w:r>
    </w:p>
    <w:p>
      <w:pPr>
        <w:sectPr>
          <w:pgSz w:w="11900" w:h="16942" w:orient="portrait"/>
          <w:cols w:equalWidth="0" w:num="1">
            <w:col w:w="11240"/>
          </w:cols>
          <w:pgMar w:left="320" w:top="125" w:right="339" w:bottom="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obligations as they become due within one year after the date that the financial statements are issued. This evaluation requires management to perform two steps. First, management must evaluate whether there are conditions and events that raise substantial doubt about the entity’s ability to continue as a going concern. Second, if management concludes that substantial doubt is raised, management is required to consider whether it has plans in place to alleviate that doubt. Disclosures in the notes to the consolidated financial statements are required if management concludes that substantial doubt exists and if its plans alleviate the substantial doubt that was raised.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GAAP assuming that the Company will continue as a going concern. The financial statements do not include any adjustments to reflect the possible future effects on the recoverability and classification of assets or the amounts and classification of liabilities that may result should the Company be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Plan Related to Going Concern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continue as a going concern, Kingstone will need to refinance the Notes that become due on December 30, 2022, either through (a) new debt or equity financing at Kingstone that will provide the funds necessary, together with available cash, to pay the Notes in full at maturity, (b) Kingstone entering into arrangements with holders of the Notes to exchange their Notes for new debt and/or equity securities of Kingstone or (c) a combination of (a) and</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 No assurance can be given that Kingstone will be successful in this regard. Management has been exploring and continues to explore a number of financing and other options and has engaged investment bankers to assist it in pursuing such options. Subject to regulatory requirements, Kingstone can also receive dividends and/or loans from its insurance subsidiary, KICO, that could be utilized to repay a portion of the Notes. As of September 30, 2022, the maximum distribution that KICO could pay to Kingstone without prior regulatory approval was approximately $3.0 million. Subsequent to September 30, 2022, Kingstone received a $3.0 million distribution from KICO. In addition, subsequent to September 30, 2022, Kingstone received a loan from KICO of $6.45 million without the need for prior regulatory approval and also received a Federal income tax refund of approximately $1.5 million. With the foregoing proceeds, together with liquid investments and available cash, Kingstone currently has total funds of approximately $12.0 million.</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ability of the Company to continue as a going concern is dependent upon its ability to successfully accomplish the plan described above, which the Company believes is probable, but there can be no assurance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include the accounts of Kingstone and its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on investments in fixed-maturity securities classified as available-for-sale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 are summarized as follows:</w:t>
      </w:r>
    </w:p>
    <w:p>
      <w:pPr>
        <w:spacing w:after="0" w:line="207"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September 30, 2022</w:t>
      </w:r>
    </w:p>
    <w:p>
      <w:pPr>
        <w:spacing w:after="0" w:line="27" w:lineRule="exact"/>
        <w:rPr>
          <w:sz w:val="20"/>
          <w:szCs w:val="20"/>
          <w:color w:val="auto"/>
        </w:rPr>
      </w:pPr>
    </w:p>
    <w:tbl>
      <w:tblPr>
        <w:tblLayout w:type="fixed"/>
        <w:tblInd w:w="3360" w:type="dxa"/>
        <w:tblCellMar>
          <w:top w:w="0" w:type="dxa"/>
          <w:left w:w="0" w:type="dxa"/>
          <w:bottom w:w="0" w:type="dxa"/>
          <w:right w:w="0" w:type="dxa"/>
        </w:tblCellMar>
      </w:tblPr>
      <w:tr>
        <w:trPr>
          <w:trHeight w:val="209"/>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Cost or</w:t>
            </w:r>
          </w:p>
        </w:tc>
        <w:tc>
          <w:tcPr>
            <w:tcW w:w="16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Gross</w:t>
            </w:r>
          </w:p>
        </w:tc>
        <w:tc>
          <w:tcPr>
            <w:tcW w:w="22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Gross Unrealized Losses</w:t>
            </w:r>
          </w:p>
        </w:tc>
        <w:tc>
          <w:tcPr>
            <w:tcW w:w="13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Estimated</w:t>
            </w:r>
          </w:p>
        </w:tc>
        <w:tc>
          <w:tcPr>
            <w:tcW w:w="116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Net</w:t>
            </w:r>
          </w:p>
        </w:tc>
      </w:tr>
      <w:tr>
        <w:trPr>
          <w:trHeight w:val="191"/>
        </w:trPr>
        <w:tc>
          <w:tcPr>
            <w:tcW w:w="1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Less than</w:t>
            </w:r>
          </w:p>
        </w:tc>
        <w:tc>
          <w:tcPr>
            <w:tcW w:w="1100" w:type="dxa"/>
            <w:vAlign w:val="bottom"/>
          </w:tcPr>
          <w:p>
            <w:pPr>
              <w:jc w:val="center"/>
              <w:ind w:left="70"/>
              <w:spacing w:after="0" w:line="191" w:lineRule="exact"/>
              <w:rPr>
                <w:sz w:val="20"/>
                <w:szCs w:val="20"/>
                <w:color w:val="auto"/>
              </w:rPr>
            </w:pPr>
            <w:r>
              <w:rPr>
                <w:rFonts w:ascii="Arial" w:cs="Arial" w:eastAsia="Arial" w:hAnsi="Arial"/>
                <w:sz w:val="18"/>
                <w:szCs w:val="18"/>
                <w:b w:val="1"/>
                <w:bCs w:val="1"/>
                <w:color w:val="auto"/>
                <w:w w:val="95"/>
              </w:rPr>
              <w:t>More than</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Amortized</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12</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1300" w:type="dxa"/>
            <w:vAlign w:val="bottom"/>
          </w:tcPr>
          <w:p>
            <w:pPr>
              <w:jc w:val="center"/>
              <w:ind w:left="70"/>
              <w:spacing w:after="0"/>
              <w:rPr>
                <w:sz w:val="20"/>
                <w:szCs w:val="20"/>
                <w:color w:val="auto"/>
              </w:rPr>
            </w:pPr>
            <w:r>
              <w:rPr>
                <w:rFonts w:ascii="Arial" w:cs="Arial" w:eastAsia="Arial" w:hAnsi="Arial"/>
                <w:sz w:val="18"/>
                <w:szCs w:val="18"/>
                <w:b w:val="1"/>
                <w:bCs w:val="1"/>
                <w:color w:val="auto"/>
              </w:rPr>
              <w:t>Fair</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Unrealized</w:t>
            </w:r>
          </w:p>
        </w:tc>
      </w:tr>
    </w:tbl>
    <w:p>
      <w:pPr>
        <w:sectPr>
          <w:pgSz w:w="11900" w:h="16838" w:orient="portrait"/>
          <w:cols w:equalWidth="0" w:num="1">
            <w:col w:w="11240"/>
          </w:cols>
          <w:pgMar w:left="320" w:top="125"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Months</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425"/>
        </w:trPr>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U.S. Treasury securities and obligations of</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2"/>
              </w:rPr>
              <w:t>U.S. government corporations and agencies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9,946,032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9,946,839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Political subdivisions of States, Territories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and Possessions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17,117,473</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(3,250,196)</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(590,936)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13,276,341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(3,841,132)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84,163,055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(9,154,182)</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(269,694)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74,739,179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(9,423,876)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w w:val="89"/>
              </w:rPr>
              <w:t>Residential mortgage and other asset backed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54,307,907</w:t>
            </w:r>
          </w:p>
        </w:tc>
        <w:tc>
          <w:tcPr>
            <w:tcW w:w="28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68,159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(4,333,707)</w:t>
            </w:r>
          </w:p>
        </w:tc>
        <w:tc>
          <w:tcPr>
            <w:tcW w:w="16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5"/>
              </w:rPr>
              <w:t>(2,699,011)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9"/>
              </w:rPr>
              <w:t>47,343,348</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(6,964,559)</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securities (1)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165,534,467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(16,738,208)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(3,559,641)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145,305,707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(20,228,760)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September 30, 2022, the estimated fair value of the eligible investments was approximately $12,393,000. KICO will retain all rights regarding all securities if pledged as collateral. As of September 30, 2022 there was no outstanding balance on the FHLBNY credit line.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w w:val="96"/>
              </w:rPr>
              <w:t>December 31, 2021</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8"/>
                <w:szCs w:val="18"/>
                <w:color w:val="auto"/>
              </w:rPr>
            </w:pPr>
          </w:p>
        </w:tc>
        <w:tc>
          <w:tcPr>
            <w:tcW w:w="23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Gross Unrealized Losses</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Estimated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5"/>
              </w:rPr>
              <w:t>Less than</w:t>
            </w: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More than</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Unrealized</w:t>
            </w:r>
          </w:p>
        </w:tc>
        <w:tc>
          <w:tcPr>
            <w:tcW w:w="1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Unrealized Gains/</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17,236,750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(197,984)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17,285,514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Industrial and miscellaneous</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80,534,769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2,603,411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(126,926)</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83,011,254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2,476,485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gridSpan w:val="3"/>
          </w:tcPr>
          <w:p>
            <w:pPr>
              <w:spacing w:after="0" w:line="201" w:lineRule="exact"/>
              <w:rPr>
                <w:sz w:val="20"/>
                <w:szCs w:val="20"/>
                <w:color w:val="auto"/>
              </w:rPr>
            </w:pPr>
            <w:r>
              <w:rPr>
                <w:rFonts w:ascii="Arial" w:cs="Arial" w:eastAsia="Arial" w:hAnsi="Arial"/>
                <w:sz w:val="18"/>
                <w:szCs w:val="18"/>
                <w:color w:val="auto"/>
              </w:rPr>
              <w:t>Residential mortgage and other</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58,036,959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355,985</w:t>
            </w:r>
          </w:p>
        </w:tc>
        <w:tc>
          <w:tcPr>
            <w:tcW w:w="1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(489,258)</w:t>
            </w:r>
          </w:p>
        </w:tc>
        <w:tc>
          <w:tcPr>
            <w:tcW w:w="8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(120,344)</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7"/>
              </w:rPr>
              <w:t>57,783,342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(253,617)</w:t>
            </w:r>
          </w:p>
        </w:tc>
        <w:tc>
          <w:tcPr>
            <w:tcW w:w="0" w:type="dxa"/>
            <w:vAlign w:val="bottom"/>
          </w:tcPr>
          <w:p>
            <w:pPr>
              <w:spacing w:after="0"/>
              <w:rPr>
                <w:sz w:val="1"/>
                <w:szCs w:val="1"/>
                <w:color w:val="auto"/>
              </w:rPr>
            </w:pPr>
          </w:p>
        </w:tc>
      </w:tr>
      <w:tr>
        <w:trPr>
          <w:trHeight w:val="217"/>
        </w:trPr>
        <w:tc>
          <w:tcPr>
            <w:tcW w:w="2960" w:type="dxa"/>
            <w:vAlign w:val="bottom"/>
            <w:gridSpan w:val="3"/>
          </w:tcPr>
          <w:p>
            <w:pPr>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155,808,478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3,206,144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158,080,110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2,271,632</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6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September 30, 2022 and December 31, 2021 is shown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14,852,441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14,824,136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1,156,636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44,959,185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42,305,309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43,007,110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44,914,759</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30,271,976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24,680,308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26,808,853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27,332,581</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21,142,958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16,152,606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26,802,457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26,892,792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54,307,907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47,343,348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58,036,959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165,534,467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145,305,707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155,808,478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158,080,110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September 30,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10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6"/>
                <w:szCs w:val="16"/>
                <w:color w:val="auto"/>
              </w:rPr>
            </w:pPr>
          </w:p>
        </w:tc>
        <w:tc>
          <w:tcPr>
            <w:tcW w:w="9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5"/>
              </w:rPr>
              <w:t>Estimated</w:t>
            </w:r>
          </w:p>
        </w:tc>
        <w:tc>
          <w:tcPr>
            <w:tcW w:w="100" w:type="dxa"/>
            <w:vAlign w:val="bottom"/>
          </w:tcPr>
          <w:p>
            <w:pPr>
              <w:spacing w:after="0"/>
              <w:rPr>
                <w:sz w:val="16"/>
                <w:szCs w:val="16"/>
                <w:color w:val="auto"/>
              </w:rPr>
            </w:pPr>
          </w:p>
        </w:tc>
      </w:tr>
      <w:tr>
        <w:trPr>
          <w:trHeight w:val="234"/>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16,047,207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(3,488,481)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12,558,726</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10,728,809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103,902</w:t>
            </w: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(1,922,991)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8,909,720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26,776,016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(5,411,472)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21,468,446</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232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9" w:name="page10"/>
    <w:bookmarkEnd w:id="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Losses</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426"/>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22,019,509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22,841,901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15,451,160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1,573,653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(179,712)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16,845,101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37,470,669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2,580,662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(364,329)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and estimated fair value of, and gross gains on, the Company’s other investments as of September 30,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1000"/>
              <w:spacing w:after="0"/>
              <w:rPr>
                <w:sz w:val="20"/>
                <w:szCs w:val="20"/>
                <w:color w:val="auto"/>
              </w:rPr>
            </w:pPr>
            <w:r>
              <w:rPr>
                <w:rFonts w:ascii="Arial" w:cs="Arial" w:eastAsia="Arial" w:hAnsi="Arial"/>
                <w:sz w:val="18"/>
                <w:szCs w:val="18"/>
                <w:b w:val="1"/>
                <w:bCs w:val="1"/>
                <w:color w:val="auto"/>
              </w:rPr>
              <w:t>September 30, 2022</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8"/>
              </w:rPr>
              <w:t>December 31, 2021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Gross</w:t>
            </w: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90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r>
      <w:tr>
        <w:trPr>
          <w:trHeight w:val="234"/>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425"/>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fund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1,987,040</w:t>
            </w: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589,232</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  2,576,272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3,999,381</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  3,562,034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7,561,415</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cost or amortized cost and estimated fair value of, and unrealized gross gains and losses on, investments in held-to-maturity fixed-maturity securities as of September 30, 2022 and December 31,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September 30,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Gross</w:t>
            </w: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Gross Unrealized Losses</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r>
      <w:tr>
        <w:trPr>
          <w:trHeight w:val="191"/>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Unrealized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6"/>
              </w:rPr>
              <w:t>Unrealized Gains/</w:t>
            </w:r>
          </w:p>
        </w:tc>
      </w:t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Months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r>
      <w:tr>
        <w:trPr>
          <w:trHeight w:val="425"/>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73,468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1,265,151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36,666</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w:t>
            </w:r>
          </w:p>
        </w:tc>
        <w:tc>
          <w:tcPr>
            <w:tcW w:w="9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497,010</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(43,361)</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(43,361)</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5,736,079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35,503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(1,182,635)</w:t>
            </w:r>
          </w:p>
        </w:tc>
        <w:tc>
          <w:tcPr>
            <w:tcW w:w="9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4,588,947</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(1,147,132)</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7,767,183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108,971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(1,264,296)</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6,611,858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(1,155,325)</w:t>
            </w: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3"/>
              </w:rPr>
              <w:t>December 31, 2021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Cost 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Gross</w:t>
            </w: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Gross Unrealized Losses</w:t>
            </w:r>
          </w:p>
        </w:tc>
        <w:tc>
          <w:tcPr>
            <w:tcW w:w="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8"/>
                <w:szCs w:val="18"/>
                <w:color w:val="auto"/>
              </w:rPr>
            </w:pPr>
          </w:p>
        </w:tc>
      </w:tr>
      <w:tr>
        <w:trPr>
          <w:trHeight w:val="191"/>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6"/>
              </w:rPr>
              <w:t>Unrealized Gains/</w:t>
            </w:r>
          </w:p>
        </w:tc>
      </w:t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Months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r>
      <w:tr>
        <w:trPr>
          <w:trHeight w:val="425"/>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729,642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209,633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939,275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209,633</w:t>
            </w:r>
          </w:p>
        </w:tc>
      </w:tr>
      <w:tr>
        <w:trPr>
          <w:trHeight w:val="216"/>
        </w:trPr>
        <w:tc>
          <w:tcPr>
            <w:tcW w:w="3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998,239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22,856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1,021,095</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w:t>
            </w:r>
          </w:p>
        </w:tc>
      </w:tr>
      <w:tr>
        <w:trPr>
          <w:trHeight w:val="216"/>
        </w:trPr>
        <w:tc>
          <w:tcPr>
            <w:tcW w:w="3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(13,921)</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(13,836)</w:t>
            </w:r>
          </w:p>
        </w:tc>
      </w:tr>
      <w:tr>
        <w:trPr>
          <w:trHeight w:val="216"/>
        </w:trPr>
        <w:tc>
          <w:tcPr>
            <w:tcW w:w="3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6,234,342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280,951</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(12,779)</w:t>
            </w:r>
          </w:p>
        </w:tc>
        <w:tc>
          <w:tcPr>
            <w:tcW w:w="9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6,502,514</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268,172</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8,266,334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513,525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(26,700)</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8,753,159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486,825</w:t>
            </w: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estimated fair value of the Company’s investments in held-to-maturity securities by contractual maturity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 is shown below:</w:t>
      </w:r>
    </w:p>
    <w:p>
      <w:pPr>
        <w:sectPr>
          <w:pgSz w:w="11900" w:h="16855" w:orient="portrait"/>
          <w:cols w:equalWidth="0" w:num="1">
            <w:col w:w="11240"/>
          </w:cols>
          <w:pgMar w:left="320" w:top="121" w:right="339" w:bottom="0" w:gutter="0" w:footer="0" w:header="0"/>
        </w:sectPr>
      </w:pPr>
    </w:p>
    <w:bookmarkStart w:id="10" w:name="page11"/>
    <w:bookmarkEnd w:id="10"/>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708,325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742,533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1,008,180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1,120,315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1,082,015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1,290,465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1,177,545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1,648,808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4,538,818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3,609,765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4,805,706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7,767,183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1,288,277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2,841,307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4,238,746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436,833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872,005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1,145,244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42,908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1,777,654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5,395,184</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Investment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257,317</w:t>
            </w: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1,427,271</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1,676,596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3,420,696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5,137,867</w:t>
            </w: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the redemption of fixed-maturity securities held-to-maturity were $1,000,000 and $1,312,500 for the nine months ended September 30, 2022 and 2021, respectively.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Proceeds from the sale or maturity of fixed-maturity securities available-for-sale were $14,213,435 and $33,335,036 for the nine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were $11,962,513 and $14,507,384 for the nine months ended September 30, 2022 and 2021,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The Company’s net (losses) gains on investments are summarized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Realized Gains (Losses)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343,773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1,121,068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(4,620)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(8,103)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(158,701)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(49,601)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1,071,467</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907,089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639,626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1,384,432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2,015,574</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(26,031)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(728,732)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(293,519)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814,930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613,595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655,700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1,722,055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83,798</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realized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1,399,907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1,033,063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1,189,006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2,877,320</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Unrealized (Losses) Gains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gains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(1,331,675)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592,397</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(1,132,596)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(7,549,640)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(1,132,596)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(1,331,675)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(7,549,640)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592,397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337" w:right="339" w:bottom="0" w:gutter="0" w:footer="0" w:header="0"/>
        </w:sectPr>
      </w:pPr>
    </w:p>
    <w:bookmarkStart w:id="11" w:name="page12"/>
    <w:bookmarkEnd w:id="11"/>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2,010,485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Gross losses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(664,969)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(2,952,802)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(664,969)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(2,952,802)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2,010,485</w:t>
            </w:r>
          </w:p>
        </w:tc>
      </w:tr>
      <w:tr>
        <w:trPr>
          <w:trHeight w:val="210"/>
        </w:trPr>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gains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(1,797,565)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(828,529)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(10,502,442)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2,602,882</w:t>
            </w:r>
          </w:p>
        </w:tc>
      </w:tr>
      <w:tr>
        <w:trPr>
          <w:trHeight w:val="209"/>
        </w:trPr>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(losses) gains on investments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(397,658)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(9,313,436)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5,480,202</w:t>
            </w:r>
          </w:p>
        </w:tc>
      </w:tr>
      <w:tr>
        <w:trPr>
          <w:trHeight w:val="41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Impairment Review</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(loss).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income (loss) for the noncredit portion of a previous OTTI is amortized prospectively over the remaining life of the security based on timing of future estimated cash flows of the security.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September 30, 2022 and December 31, 2021, there were 155 and 48 fixed-maturity securities, respectively, that accounted for the gross unrealized losses. The Company determined that none of the unrealized losses were deemed to be OTTI for its portfolio of investments as of September 30, 2022 and December 31, 2021.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September 30, 2022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8"/>
              </w:rPr>
              <w:t>September 30,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Less than 12 months</w:t>
            </w: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12 months or more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No.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No.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Unrealized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3"/>
              </w:rPr>
              <w:t>Positions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Unrealized</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Held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Losses</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425"/>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5,975,160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11,461,126</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(3,250,196)</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1,815,216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(590,936)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13,276,342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(3,841,132)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Corporate and other bonds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industrial and miscellaneous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73,921,209</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(9,154,182)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817,970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(269,694)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74,739,179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(9,423,876)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27,985,270</w:t>
            </w:r>
          </w:p>
        </w:tc>
        <w:tc>
          <w:tcPr>
            <w:tcW w:w="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(4,333,707)</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0"/>
              </w:rPr>
              <w:t>18,593,599</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1"/>
              </w:rPr>
              <w:t>(2,699,011)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46,578,869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(7,032,718)</w:t>
            </w:r>
          </w:p>
        </w:tc>
        <w:tc>
          <w:tcPr>
            <w:tcW w:w="0" w:type="dxa"/>
            <w:vAlign w:val="bottom"/>
          </w:tcPr>
          <w:p>
            <w:pPr>
              <w:spacing w:after="0"/>
              <w:rPr>
                <w:sz w:val="1"/>
                <w:szCs w:val="1"/>
                <w:color w:val="auto"/>
              </w:rPr>
            </w:pPr>
          </w:p>
        </w:tc>
      </w:tr>
      <w:tr>
        <w:trPr>
          <w:trHeight w:val="21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10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119,342,765</w:t>
            </w:r>
          </w:p>
        </w:tc>
        <w:tc>
          <w:tcPr>
            <w:tcW w:w="220" w:type="dxa"/>
            <w:vAlign w:val="bottom"/>
            <w:vMerge w:val="restart"/>
            <w:shd w:val="clear" w:color="auto" w:fill="CCEEFF"/>
          </w:tcPr>
          <w:p>
            <w:pPr>
              <w:spacing w:after="0"/>
              <w:rPr>
                <w:sz w:val="17"/>
                <w:szCs w:val="1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2"/>
              </w:rPr>
              <w:t>(16,738,208)</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0"/>
              </w:rPr>
              <w:t>21,226,785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1"/>
              </w:rPr>
              <w:t>(3,559,641)</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140,569,550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2"/>
              </w:rPr>
              <w:t>(20,297,849)</w:t>
            </w: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17</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held available-for-sale securities with unrealized losses representing declines that were considered temporary at December 31, 2021 as follows:</w:t>
      </w:r>
    </w:p>
    <w:p>
      <w:pPr>
        <w:spacing w:after="0" w:line="16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0"/>
          <w:szCs w:val="20"/>
          <w:color w:val="auto"/>
        </w:rPr>
      </w:pPr>
    </w:p>
    <w:tbl>
      <w:tblPr>
        <w:tblLayout w:type="fixed"/>
        <w:tblInd w:w="2780" w:type="dxa"/>
        <w:tblCellMar>
          <w:top w:w="0" w:type="dxa"/>
          <w:left w:w="0" w:type="dxa"/>
          <w:bottom w:w="0" w:type="dxa"/>
          <w:right w:w="0" w:type="dxa"/>
        </w:tblCellMar>
      </w:tblPr>
      <w:tr>
        <w:trPr>
          <w:trHeight w:val="209"/>
        </w:trPr>
        <w:tc>
          <w:tcPr>
            <w:tcW w:w="23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w w:val="90"/>
              </w:rPr>
              <w:t>Less than 12 months</w:t>
            </w:r>
          </w:p>
        </w:tc>
        <w:tc>
          <w:tcPr>
            <w:tcW w:w="6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2"/>
              </w:rPr>
              <w:t>12 months or more</w:t>
            </w: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rPr>
              <w:t>Total</w:t>
            </w:r>
          </w:p>
        </w:tc>
      </w:tr>
      <w:tr>
        <w:trPr>
          <w:trHeight w:val="228"/>
        </w:trPr>
        <w:tc>
          <w:tcPr>
            <w:tcW w:w="2340" w:type="dxa"/>
            <w:vAlign w:val="bottom"/>
          </w:tcPr>
          <w:p>
            <w:pPr>
              <w:ind w:left="80"/>
              <w:spacing w:after="0"/>
              <w:rPr>
                <w:sz w:val="20"/>
                <w:szCs w:val="20"/>
                <w:color w:val="auto"/>
              </w:rPr>
            </w:pPr>
            <w:r>
              <w:rPr>
                <w:rFonts w:ascii="Arial" w:cs="Arial" w:eastAsia="Arial" w:hAnsi="Arial"/>
                <w:sz w:val="18"/>
                <w:szCs w:val="18"/>
                <w:b w:val="1"/>
                <w:bCs w:val="1"/>
                <w:color w:val="auto"/>
              </w:rPr>
              <w:t>Estimated</w:t>
            </w:r>
          </w:p>
        </w:tc>
        <w:tc>
          <w:tcPr>
            <w:tcW w:w="660" w:type="dxa"/>
            <w:vAlign w:val="bottom"/>
          </w:tcPr>
          <w:p>
            <w:pPr>
              <w:ind w:left="60"/>
              <w:spacing w:after="0"/>
              <w:rPr>
                <w:sz w:val="20"/>
                <w:szCs w:val="20"/>
                <w:color w:val="auto"/>
              </w:rPr>
            </w:pPr>
            <w:r>
              <w:rPr>
                <w:rFonts w:ascii="Arial" w:cs="Arial" w:eastAsia="Arial" w:hAnsi="Arial"/>
                <w:sz w:val="18"/>
                <w:szCs w:val="18"/>
                <w:b w:val="1"/>
                <w:bCs w:val="1"/>
                <w:color w:val="auto"/>
              </w:rPr>
              <w:t>No. of</w:t>
            </w:r>
          </w:p>
        </w:tc>
        <w:tc>
          <w:tcPr>
            <w:tcW w:w="200" w:type="dxa"/>
            <w:vAlign w:val="bottom"/>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18"/>
                <w:szCs w:val="18"/>
                <w:b w:val="1"/>
                <w:bCs w:val="1"/>
                <w:color w:val="auto"/>
              </w:rPr>
              <w:t>Estimated</w:t>
            </w: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rPr>
              <w:t>No. of</w:t>
            </w:r>
          </w:p>
        </w:tc>
        <w:tc>
          <w:tcPr>
            <w:tcW w:w="220" w:type="dxa"/>
            <w:vAlign w:val="bottom"/>
          </w:tcPr>
          <w:p>
            <w:pPr>
              <w:spacing w:after="0"/>
              <w:rPr>
                <w:sz w:val="19"/>
                <w:szCs w:val="19"/>
                <w:color w:val="auto"/>
              </w:rPr>
            </w:pPr>
          </w:p>
        </w:tc>
        <w:tc>
          <w:tcPr>
            <w:tcW w:w="2020" w:type="dxa"/>
            <w:vAlign w:val="bottom"/>
          </w:tcPr>
          <w:p>
            <w:pPr>
              <w:ind w:left="100"/>
              <w:spacing w:after="0"/>
              <w:rPr>
                <w:sz w:val="20"/>
                <w:szCs w:val="20"/>
                <w:color w:val="auto"/>
              </w:rPr>
            </w:pPr>
            <w:r>
              <w:rPr>
                <w:rFonts w:ascii="Arial" w:cs="Arial" w:eastAsia="Arial" w:hAnsi="Arial"/>
                <w:sz w:val="18"/>
                <w:szCs w:val="18"/>
                <w:b w:val="1"/>
                <w:bCs w:val="1"/>
                <w:color w:val="auto"/>
              </w:rPr>
              <w:t>Estimated</w:t>
            </w:r>
          </w:p>
        </w:tc>
      </w:tr>
    </w:tbl>
    <w:p>
      <w:pPr>
        <w:sectPr>
          <w:pgSz w:w="11900" w:h="16923" w:orient="portrait"/>
          <w:cols w:equalWidth="0" w:num="1">
            <w:col w:w="11240"/>
          </w:cols>
          <w:pgMar w:left="320" w:top="121"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Unrealized</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Positions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Unrealized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Losses</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Held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Losses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Held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Losses</w:t>
            </w:r>
          </w:p>
        </w:tc>
        <w:tc>
          <w:tcPr>
            <w:tcW w:w="0" w:type="dxa"/>
            <w:vAlign w:val="bottom"/>
          </w:tcPr>
          <w:p>
            <w:pPr>
              <w:spacing w:after="0"/>
              <w:rPr>
                <w:sz w:val="1"/>
                <w:szCs w:val="1"/>
                <w:color w:val="auto"/>
              </w:rPr>
            </w:pPr>
          </w:p>
        </w:tc>
      </w:tr>
      <w:tr>
        <w:trPr>
          <w:trHeight w:val="426"/>
        </w:trPr>
        <w:tc>
          <w:tcPr>
            <w:tcW w:w="2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(197,984)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(197,984)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Corporate and other bonds 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(126,926)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(126,926)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Residential mortgage and other asset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45,399,451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(489,258)</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7"/>
              </w:rPr>
              <w:t>2,923,182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(120,344)</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8"/>
              </w:rPr>
              <w:t>48,322,633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(609,602)</w:t>
            </w:r>
          </w:p>
        </w:tc>
        <w:tc>
          <w:tcPr>
            <w:tcW w:w="0" w:type="dxa"/>
            <w:vAlign w:val="bottom"/>
          </w:tcPr>
          <w:p>
            <w:pPr>
              <w:spacing w:after="0"/>
              <w:rPr>
                <w:sz w:val="1"/>
                <w:szCs w:val="1"/>
                <w:color w:val="auto"/>
              </w:rPr>
            </w:pPr>
          </w:p>
        </w:tc>
      </w:tr>
      <w:tr>
        <w:trPr>
          <w:trHeight w:val="217"/>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69,761,281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(814,168)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2,923,182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(120,344)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72,684,463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(934,512)</w:t>
            </w:r>
          </w:p>
        </w:tc>
        <w:tc>
          <w:tcPr>
            <w:tcW w:w="0" w:type="dxa"/>
            <w:vAlign w:val="bottom"/>
          </w:tcPr>
          <w:p>
            <w:pPr>
              <w:spacing w:after="0"/>
              <w:rPr>
                <w:sz w:val="1"/>
                <w:szCs w:val="1"/>
                <w:color w:val="auto"/>
              </w:rPr>
            </w:pP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1"/>
              </w:rPr>
              <w:t>Note 4 - Fair Value Measurements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indicating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September 30,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9,946,839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9,946,839</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13,276,341</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13,276,341</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74,241,809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497,370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74,739,179</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47,343,348</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47,343,348</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84,188,648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61,117,059</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145,305,707</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21,468,446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21,468,446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105,657,094</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61,117,059</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166,774,153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Fixed-maturity securities available-for-sale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 corporations and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17,285,514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17,285,514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and other bonds industrial and miscellaneous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510,475</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83,011,254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57,783,342</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57,783,342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fixed maturities</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82,500,779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158,080,110</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39,687,002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122,187,781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75,579,331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197,767,112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55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7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September 30, 2022 and December 31, 2021. The Company measures this investment at fair value on a recurring basis. Fair value using NAV per share is as follows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bl>
    <w:p>
      <w:pPr>
        <w:sectPr>
          <w:pgSz w:w="11900" w:h="16838" w:orient="portrait"/>
          <w:cols w:equalWidth="0" w:num="1">
            <w:col w:w="11240"/>
          </w:cols>
          <w:pgMar w:left="320" w:top="121"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tcPr>
          <w:p>
            <w:pPr>
              <w:spacing w:after="0"/>
              <w:rPr>
                <w:sz w:val="20"/>
                <w:szCs w:val="20"/>
                <w:color w:val="auto"/>
              </w:rPr>
            </w:pPr>
            <w:r>
              <w:rPr>
                <w:rFonts w:ascii="Arial" w:cs="Arial" w:eastAsia="Arial" w:hAnsi="Arial"/>
                <w:sz w:val="18"/>
                <w:szCs w:val="18"/>
                <w:b w:val="1"/>
                <w:bCs w:val="1"/>
                <w:color w:val="auto"/>
              </w:rPr>
              <w:t>Other Investments</w:t>
            </w:r>
          </w:p>
        </w:tc>
        <w:tc>
          <w:tcPr>
            <w:tcW w:w="3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Hedge fund</w:t>
            </w:r>
          </w:p>
        </w:tc>
        <w:tc>
          <w:tcPr>
            <w:tcW w:w="3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2,576,272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7,561,415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(losses) gains on investments. As of September 30, 2022 the Company redeemed 50% of its investment in the hedge fund and recognized a realized gain of $589,233, which is recorded within net gains (losses) on investments in the condensed consolidated statements of operations and comprehensive income (loss).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September 30, 2022 and December 31, 2021 not measured at fair value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29,601,120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29,601,120</w:t>
            </w: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28"/>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0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28,436,019</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28,436,019</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the Company’s financial instruments and real estate, including their fair value level as of September 30, 2022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Pr>
          <w:p>
            <w:pPr>
              <w:spacing w:after="0"/>
              <w:rPr>
                <w:sz w:val="20"/>
                <w:szCs w:val="20"/>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securities-held-to maturity, Level 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7,767,183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Cash and cash equivalents, Level 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15,111,206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15,111,206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24,290,598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24,290,598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 Level 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12,891,464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12,891,464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12,318,336</w:t>
            </w: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receivables, net,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59,365,937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59,365,937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40,292,438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40,292,438</w:t>
            </w: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 Level 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3,025,000</w:t>
            </w: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Reinsurance balances payable, Level 3</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11,475,247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11,475,247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12,961,568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12,961,568</w:t>
            </w:r>
          </w:p>
        </w:tc>
      </w:tr>
      <w:tr>
        <w:trPr>
          <w:trHeight w:val="634"/>
        </w:trPr>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34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and Casualty Insurance Activity</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Premiums Earned</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20" w:type="dxa"/>
            <w:vAlign w:val="bottom"/>
            <w:gridSpan w:val="3"/>
          </w:tcPr>
          <w:p>
            <w:pPr>
              <w:spacing w:after="0"/>
              <w:rPr>
                <w:sz w:val="20"/>
                <w:szCs w:val="20"/>
                <w:color w:val="auto"/>
              </w:rPr>
            </w:pPr>
            <w:r>
              <w:rPr>
                <w:rFonts w:ascii="Arial" w:cs="Arial" w:eastAsia="Arial" w:hAnsi="Arial"/>
                <w:sz w:val="18"/>
                <w:szCs w:val="18"/>
                <w:color w:val="auto"/>
              </w:rPr>
              <w:t>Premiums written, ceded and earned are as follows: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Direct</w:t>
            </w: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Assumed</w:t>
            </w:r>
          </w:p>
        </w:tc>
        <w:tc>
          <w:tcPr>
            <w:tcW w:w="14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Ceded</w:t>
            </w:r>
          </w:p>
        </w:tc>
        <w:tc>
          <w:tcPr>
            <w:tcW w:w="1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r>
      <w:tr>
        <w:trPr>
          <w:trHeight w:val="425"/>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147,353,911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(58,743,773)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88,610,138</w:t>
            </w: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(6,029,774)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1,356,060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(4,673,714)</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141,324,137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(57,387,713)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83,936,424</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131,609,930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(21,854,398)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109,755,532</w:t>
            </w: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(2,911,439)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(2,926,637)</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128,698,491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(21,869,596)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106,828,895</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54,591,551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(20,925,381)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33,666,170</w:t>
            </w: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(5,636,421)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1,331,227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(4,305,194)</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48,955,130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(19,594,154)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29,360,976</w:t>
            </w:r>
          </w:p>
        </w:tc>
      </w:tr>
      <w:tr>
        <w:trPr>
          <w:trHeight w:val="196"/>
        </w:trPr>
        <w:tc>
          <w:tcPr>
            <w:tcW w:w="1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written</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48,865,169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(7,223,526)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41,641,643</w:t>
            </w:r>
          </w:p>
        </w:tc>
      </w:tr>
      <w:tr>
        <w:trPr>
          <w:trHeight w:val="216"/>
        </w:trPr>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(4,848,145)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(4,838,392)</w:t>
            </w:r>
          </w:p>
        </w:tc>
      </w:tr>
      <w:tr>
        <w:trPr>
          <w:trHeight w:val="20"/>
        </w:trPr>
        <w:tc>
          <w:tcPr>
            <w:tcW w:w="1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20" w:type="dxa"/>
            <w:vAlign w:val="bottom"/>
            <w:gridSpan w:val="3"/>
          </w:tcPr>
          <w:p>
            <w:pPr>
              <w:ind w:left="220"/>
              <w:spacing w:after="0"/>
              <w:rPr>
                <w:sz w:val="20"/>
                <w:szCs w:val="20"/>
                <w:color w:val="auto"/>
              </w:rPr>
            </w:pPr>
            <w:r>
              <w:rPr>
                <w:rFonts w:ascii="Arial" w:cs="Arial" w:eastAsia="Arial" w:hAnsi="Arial"/>
                <w:sz w:val="18"/>
                <w:szCs w:val="18"/>
                <w:color w:val="auto"/>
              </w:rPr>
              <w:t>Premiums earned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44,017,024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(7,213,773)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36,803,251</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September 30, 2022 and December 31, 2021 was $6,627,275 and $2,693,466,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94,948,745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82,801,228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(10,637,679)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(20,154,251)</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beginning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84,311,066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62,646,977</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62,910,967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79,070,646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713,788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(10,529)</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 incurred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63,624,755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79,060,117</w:t>
            </w:r>
          </w:p>
        </w:tc>
      </w:tr>
      <w:tr>
        <w:trPr>
          <w:trHeight w:val="209"/>
        </w:trPr>
        <w:tc>
          <w:tcPr>
            <w:tcW w:w="8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Paid related to: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35,774,958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35,408,412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26,938,462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17,586,958</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62,713,420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52,995,370</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85,222,401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88,711,724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21,706,497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12,332,394</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106,928,898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101,044,118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losses and LAE are net of reinsurance recoveries under reinsurance contracts of $27,230,814 and $1,220,970 for the nine months ended September 30, 2022 and 2021,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incurred loss and LAE development is based upon estimates by line of business and accident year. Prior year loss and LAE development incurred during the nine months ended September 30, 2022 and 2021 was $713,788 unfavorable and $10,529 favorable, respectively. Management, on a quarterly basis, performs a review of open liability claims to assess carried case and incurred but not reported (“IBNR”) reserve levels, giving consideration to both Company and 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ectPr>
          <w:pgSz w:w="11900" w:h="16838" w:orient="portrait"/>
          <w:cols w:equalWidth="0" w:num="1">
            <w:col w:w="11240"/>
          </w:cols>
          <w:pgMar w:left="320" w:top="125" w:right="339" w:bottom="0" w:gutter="0" w:footer="0" w:header="0"/>
        </w:sectPr>
      </w:pPr>
    </w:p>
    <w:bookmarkStart w:id="15" w:name="page16"/>
    <w:bookmarkEnd w:id="15"/>
    <w:p>
      <w:pPr>
        <w:jc w:val="both"/>
        <w:ind w:left="660"/>
        <w:spacing w:after="0" w:line="301"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5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Incurred Bornhuetter-Ferguson (“BF”) </w:t>
      </w:r>
      <w:r>
        <w:rPr>
          <w:rFonts w:ascii="Arial" w:cs="Arial" w:eastAsia="Arial" w:hAnsi="Arial"/>
          <w:sz w:val="18"/>
          <w:szCs w:val="18"/>
          <w:color w:val="auto"/>
        </w:rPr>
        <w:t>- an estimated loss ratio for a particular accident year is determined, and is weighted against the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2019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information about incurred and paid claims development as of September 30, 2022, net of reinsurance, as well as the cumulative reported claims by accident year and total IBNR reserves as of September 30, 2022 included in the net incurred loss and allocated expense amounts. The historical information regarding incurred and paid claims development for the years ended December 31, 2013 to December 31, 2021 is presented as supplementary unaudited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gridSpan w:val="4"/>
          </w:tcPr>
          <w:p>
            <w:pPr>
              <w:spacing w:after="0"/>
              <w:rPr>
                <w:sz w:val="20"/>
                <w:szCs w:val="20"/>
                <w:color w:val="auto"/>
              </w:rPr>
            </w:pPr>
            <w:r>
              <w:rPr>
                <w:rFonts w:ascii="Arial" w:cs="Arial" w:eastAsia="Arial" w:hAnsi="Arial"/>
                <w:sz w:val="18"/>
                <w:szCs w:val="18"/>
                <w:b w:val="1"/>
                <w:bCs w:val="1"/>
                <w:color w:val="auto"/>
                <w:w w:val="99"/>
              </w:rPr>
              <w:t>All Lines of Business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1"/>
              </w:rPr>
              <w:t>(in thousands, except reported claims data)</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vMerge w:val="restart"/>
          </w:tcPr>
          <w:p>
            <w:pPr>
              <w:jc w:val="right"/>
              <w:ind w:right="76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00" w:type="dxa"/>
            <w:vAlign w:val="bottom"/>
            <w:gridSpan w:val="20"/>
          </w:tcPr>
          <w:p>
            <w:pPr>
              <w:jc w:val="right"/>
              <w:ind w:right="100"/>
              <w:spacing w:after="0"/>
              <w:rPr>
                <w:sz w:val="20"/>
                <w:szCs w:val="20"/>
                <w:color w:val="auto"/>
              </w:rPr>
            </w:pPr>
            <w:r>
              <w:rPr>
                <w:rFonts w:ascii="Arial" w:cs="Arial" w:eastAsia="Arial" w:hAnsi="Arial"/>
                <w:sz w:val="18"/>
                <w:szCs w:val="18"/>
                <w:b w:val="1"/>
                <w:bCs w:val="1"/>
                <w:color w:val="auto"/>
                <w:w w:val="94"/>
              </w:rPr>
              <w:t>Incurred Loss and Allocated Loss Adjustment Expenses, Net of Reinsurance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9"/>
              </w:rPr>
              <w:t>September 30, 2022</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Nine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12"/>
            <w:vMerge w:val="restart"/>
          </w:tcPr>
          <w:p>
            <w:pPr>
              <w:jc w:val="center"/>
              <w:spacing w:after="0"/>
              <w:rPr>
                <w:sz w:val="20"/>
                <w:szCs w:val="20"/>
                <w:color w:val="auto"/>
              </w:rPr>
            </w:pPr>
            <w:r>
              <w:rPr>
                <w:rFonts w:ascii="Arial" w:cs="Arial" w:eastAsia="Arial" w:hAnsi="Arial"/>
                <w:sz w:val="18"/>
                <w:szCs w:val="18"/>
                <w:b w:val="1"/>
                <w:bCs w:val="1"/>
                <w:color w:val="auto"/>
                <w:w w:val="90"/>
              </w:rPr>
              <w:t>For the Years Ended December 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Claims by</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12"/>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Accident</w:t>
            </w:r>
          </w:p>
        </w:tc>
        <w:tc>
          <w:tcPr>
            <w:tcW w:w="0" w:type="dxa"/>
            <w:vAlign w:val="bottom"/>
          </w:tcPr>
          <w:p>
            <w:pPr>
              <w:spacing w:after="0"/>
              <w:rPr>
                <w:sz w:val="1"/>
                <w:szCs w:val="1"/>
                <w:color w:val="auto"/>
              </w:rPr>
            </w:pPr>
          </w:p>
        </w:tc>
      </w:tr>
      <w:tr>
        <w:trPr>
          <w:trHeight w:val="209"/>
        </w:trPr>
        <w:tc>
          <w:tcPr>
            <w:tcW w:w="1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Accident Year</w:t>
            </w: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IBNR</w:t>
            </w:r>
          </w:p>
        </w:tc>
        <w:tc>
          <w:tcPr>
            <w:tcW w:w="1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b w:val="1"/>
                <w:bCs w:val="1"/>
                <w:color w:val="auto"/>
                <w:w w:val="92"/>
              </w:rPr>
              <w:t>(Unaudited 2013 - 2021)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$ 10,728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9,745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  9,424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9,621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$ 10,061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$ 10,089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$ 10,607</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$ 10,495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$ 10,529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14,193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14,260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14,218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14,564</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15,023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16,381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16,428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22,340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21,994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22,148</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22,491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23,386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23,291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26,062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24,941</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24,789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27,887</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27,966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32,169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35,304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36,160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jc w:val="right"/>
              <w:ind w:right="2170"/>
              <w:spacing w:after="0"/>
              <w:rPr>
                <w:sz w:val="20"/>
                <w:szCs w:val="20"/>
                <w:color w:val="auto"/>
              </w:rPr>
            </w:pPr>
            <w:r>
              <w:rPr>
                <w:rFonts w:ascii="Arial" w:cs="Arial" w:eastAsia="Arial" w:hAnsi="Arial"/>
                <w:sz w:val="18"/>
                <w:szCs w:val="18"/>
                <w:color w:val="auto"/>
              </w:rPr>
              <w:t>2018</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54,455</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56,351</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58,441</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59,404</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60,535</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446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4,229</w:t>
            </w:r>
          </w:p>
        </w:tc>
      </w:tr>
      <w:tr>
        <w:trPr>
          <w:trHeight w:val="216"/>
        </w:trPr>
        <w:tc>
          <w:tcPr>
            <w:tcW w:w="298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2019</w:t>
            </w: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75,092</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72,368</w:t>
            </w: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71,544</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71,386</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3,074</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4,494</w:t>
            </w:r>
          </w:p>
        </w:tc>
      </w:tr>
      <w:tr>
        <w:trPr>
          <w:trHeight w:val="216"/>
        </w:trPr>
        <w:tc>
          <w:tcPr>
            <w:tcW w:w="2980" w:type="dxa"/>
            <w:vAlign w:val="bottom"/>
          </w:tcPr>
          <w:p>
            <w:pPr>
              <w:jc w:val="right"/>
              <w:ind w:right="2170"/>
              <w:spacing w:after="0"/>
              <w:rPr>
                <w:sz w:val="20"/>
                <w:szCs w:val="20"/>
                <w:color w:val="auto"/>
              </w:rPr>
            </w:pPr>
            <w:r>
              <w:rPr>
                <w:rFonts w:ascii="Arial" w:cs="Arial" w:eastAsia="Arial" w:hAnsi="Arial"/>
                <w:sz w:val="18"/>
                <w:szCs w:val="18"/>
                <w:color w:val="auto"/>
              </w:rPr>
              <w:t>2020</w:t>
            </w:r>
          </w:p>
        </w:tc>
        <w:tc>
          <w:tcPr>
            <w:tcW w:w="2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63,083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62,833</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62,043</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3,504</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5,861</w:t>
            </w:r>
          </w:p>
        </w:tc>
      </w:tr>
      <w:tr>
        <w:trPr>
          <w:trHeight w:val="216"/>
        </w:trPr>
        <w:tc>
          <w:tcPr>
            <w:tcW w:w="298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2021</w:t>
            </w: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96,425</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97,038</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9,236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r>
      <w:tr>
        <w:trPr>
          <w:trHeight w:val="216"/>
        </w:trPr>
        <w:tc>
          <w:tcPr>
            <w:tcW w:w="2980" w:type="dxa"/>
            <w:vAlign w:val="bottom"/>
          </w:tcPr>
          <w:p>
            <w:pPr>
              <w:jc w:val="right"/>
              <w:ind w:right="2170"/>
              <w:spacing w:after="0"/>
              <w:rPr>
                <w:sz w:val="20"/>
                <w:szCs w:val="20"/>
                <w:color w:val="auto"/>
              </w:rPr>
            </w:pPr>
            <w:r>
              <w:rPr>
                <w:rFonts w:ascii="Arial" w:cs="Arial" w:eastAsia="Arial" w:hAnsi="Arial"/>
                <w:sz w:val="18"/>
                <w:szCs w:val="18"/>
                <w:color w:val="auto"/>
              </w:rPr>
              <w:t>2022</w:t>
            </w:r>
          </w:p>
        </w:tc>
        <w:tc>
          <w:tcPr>
            <w:tcW w:w="2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58,735</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13,837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3,236</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b w:val="1"/>
                <w:bCs w:val="1"/>
                <w:color w:val="auto"/>
              </w:rPr>
              <w:t>Total</w:t>
            </w:r>
          </w:p>
        </w:tc>
        <w:tc>
          <w:tcPr>
            <w:tcW w:w="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464,223</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320" w:type="dxa"/>
            <w:vAlign w:val="bottom"/>
            <w:tcBorders>
              <w:top w:val="single" w:sz="8" w:color="CCEEFF"/>
            </w:tcBorders>
            <w:gridSpan w:val="5"/>
          </w:tcPr>
          <w:p>
            <w:pPr>
              <w:spacing w:after="0"/>
              <w:rPr>
                <w:sz w:val="20"/>
                <w:szCs w:val="20"/>
                <w:color w:val="auto"/>
              </w:rPr>
            </w:pPr>
            <w:r>
              <w:rPr>
                <w:rFonts w:ascii="Arial" w:cs="Arial" w:eastAsia="Arial" w:hAnsi="Arial"/>
                <w:sz w:val="18"/>
                <w:szCs w:val="18"/>
                <w:b w:val="1"/>
                <w:bCs w:val="1"/>
                <w:color w:val="auto"/>
              </w:rPr>
              <w:t>All Lines of Business</w:t>
            </w: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b w:val="1"/>
                <w:bCs w:val="1"/>
                <w:i w:val="1"/>
                <w:iCs w:val="1"/>
                <w:color w:val="auto"/>
                <w:w w:val="98"/>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27"/>
            <w:vMerge w:val="restart"/>
          </w:tcPr>
          <w:p>
            <w:pPr>
              <w:ind w:left="520"/>
              <w:spacing w:after="0"/>
              <w:rPr>
                <w:sz w:val="20"/>
                <w:szCs w:val="20"/>
                <w:color w:val="auto"/>
              </w:rPr>
            </w:pPr>
            <w:r>
              <w:rPr>
                <w:rFonts w:ascii="Arial" w:cs="Arial" w:eastAsia="Arial" w:hAnsi="Arial"/>
                <w:sz w:val="18"/>
                <w:szCs w:val="18"/>
                <w:b w:val="1"/>
                <w:bCs w:val="1"/>
                <w:color w:val="auto"/>
                <w:w w:val="99"/>
              </w:rPr>
              <w:t>Cumulative Paid Loss and Allocated Loss Adjustment Expenses, Net of Reinsurance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gridSpan w:val="27"/>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Nine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0"/>
            <w:vMerge w:val="restart"/>
          </w:tcPr>
          <w:p>
            <w:pPr>
              <w:jc w:val="center"/>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21"/>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10"/>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Accident Year</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8"/>
                <w:szCs w:val="18"/>
                <w:b w:val="1"/>
                <w:bCs w:val="1"/>
                <w:color w:val="auto"/>
                <w:w w:val="92"/>
              </w:rPr>
              <w:t>(Unaudited 2013 - 2021)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9,717</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9,429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11,770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15,491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16,083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22,462</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19,001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23,974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25,234</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25,750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26,244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32,928</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50,553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52,025</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53,657</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59,933</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39,045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50,719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52,632</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56,282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75,291</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382,681</w:t>
            </w:r>
          </w:p>
        </w:tc>
        <w:tc>
          <w:tcPr>
            <w:tcW w:w="0" w:type="dxa"/>
            <w:vAlign w:val="bottom"/>
          </w:tcPr>
          <w:p>
            <w:pPr>
              <w:spacing w:after="0"/>
              <w:rPr>
                <w:sz w:val="1"/>
                <w:szCs w:val="1"/>
                <w:color w:val="auto"/>
              </w:rPr>
            </w:pPr>
          </w:p>
        </w:tc>
      </w:tr>
      <w:tr>
        <w:trPr>
          <w:trHeight w:val="210"/>
        </w:trPr>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780" w:type="dxa"/>
            <w:vAlign w:val="bottom"/>
            <w:tcBorders>
              <w:top w:val="single" w:sz="8" w:color="CCEEFF"/>
            </w:tcBorders>
            <w:gridSpan w:val="2"/>
          </w:tcPr>
          <w:p>
            <w:pPr>
              <w:spacing w:after="0"/>
              <w:rPr>
                <w:sz w:val="18"/>
                <w:szCs w:val="18"/>
                <w:color w:val="auto"/>
              </w:rPr>
            </w:pPr>
          </w:p>
        </w:tc>
        <w:tc>
          <w:tcPr>
            <w:tcW w:w="98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76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4"/>
          </w:tcPr>
          <w:p>
            <w:pPr>
              <w:spacing w:after="0"/>
              <w:rPr>
                <w:sz w:val="18"/>
                <w:szCs w:val="18"/>
                <w:color w:val="auto"/>
              </w:rPr>
            </w:pPr>
          </w:p>
        </w:tc>
        <w:tc>
          <w:tcPr>
            <w:tcW w:w="98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40" w:type="dxa"/>
            <w:vAlign w:val="bottom"/>
            <w:gridSpan w:val="27"/>
            <w:shd w:val="clear" w:color="auto" w:fill="CCEEFF"/>
          </w:tcPr>
          <w:p>
            <w:pPr>
              <w:jc w:val="right"/>
              <w:ind w:right="220"/>
              <w:spacing w:after="0"/>
              <w:rPr>
                <w:sz w:val="20"/>
                <w:szCs w:val="20"/>
                <w:color w:val="auto"/>
              </w:rPr>
            </w:pPr>
            <w:r>
              <w:rPr>
                <w:rFonts w:ascii="Arial" w:cs="Arial" w:eastAsia="Arial" w:hAnsi="Arial"/>
                <w:sz w:val="18"/>
                <w:szCs w:val="18"/>
                <w:color w:val="auto"/>
                <w:w w:val="94"/>
              </w:rPr>
              <w:t>Net liability for unpaid loss and allocated loss adjustment expenses for the accident years presented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81,542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gridSpan w:val="16"/>
          </w:tcPr>
          <w:p>
            <w:pPr>
              <w:jc w:val="right"/>
              <w:ind w:right="220"/>
              <w:spacing w:after="0"/>
              <w:rPr>
                <w:sz w:val="20"/>
                <w:szCs w:val="20"/>
                <w:color w:val="auto"/>
              </w:rPr>
            </w:pPr>
            <w:r>
              <w:rPr>
                <w:rFonts w:ascii="Arial" w:cs="Arial" w:eastAsia="Arial" w:hAnsi="Arial"/>
                <w:sz w:val="18"/>
                <w:szCs w:val="18"/>
                <w:color w:val="auto"/>
              </w:rPr>
              <w:t>All outstanding liabilities before 2013, net of reinsurance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20"/>
            <w:shd w:val="clear" w:color="auto" w:fill="CCEEFF"/>
          </w:tcPr>
          <w:p>
            <w:pPr>
              <w:jc w:val="right"/>
              <w:ind w:right="220"/>
              <w:spacing w:after="0"/>
              <w:rPr>
                <w:sz w:val="20"/>
                <w:szCs w:val="20"/>
                <w:color w:val="auto"/>
              </w:rPr>
            </w:pPr>
            <w:r>
              <w:rPr>
                <w:rFonts w:ascii="Arial" w:cs="Arial" w:eastAsia="Arial" w:hAnsi="Arial"/>
                <w:sz w:val="18"/>
                <w:szCs w:val="18"/>
                <w:color w:val="auto"/>
                <w:w w:val="90"/>
              </w:rPr>
              <w:t>Liabilities for loss and allocated loss adjustment expenses, net of reinsurance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the Disclosure of Incurred and Paid Loss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Liability for Loss and LAE Reserves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98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allocated loss and loss adjustment expenses, net of reinsurance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81,806</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21,706</w:t>
            </w:r>
          </w:p>
        </w:tc>
      </w:tr>
      <w:tr>
        <w:trPr>
          <w:trHeight w:val="216"/>
        </w:trPr>
        <w:tc>
          <w:tcPr>
            <w:tcW w:w="9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0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106,929</w:t>
            </w:r>
          </w:p>
        </w:tc>
        <w:tc>
          <w:tcPr>
            <w:tcW w:w="100" w:type="dxa"/>
            <w:vAlign w:val="bottom"/>
          </w:tcPr>
          <w:p>
            <w:pPr>
              <w:spacing w:after="0"/>
              <w:rPr>
                <w:sz w:val="18"/>
                <w:szCs w:val="18"/>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Reinsurance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December 31, 2021, the Company entered into a quota share reinsurance treaty for its personal lines business, which primarily consists of homeowners’ and dwelling fire policies, covering the period from December 31, 2021 through January 1, 2023 (“2021/2023 Treaty”).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excess of loss and catastrophe reinsurance treaties expired on June 30, 2022 and the Company entered into new excess of loss and catastrophe reinsurance treaties effective July 1, 2022. Effective October 20, 2021, the Company entered into a stub catastrophe reinsurance treaty covering the period from October 20, 2021 through December 31, 2021. The treaty provided reinsurance coverage for catastrophe losses of $5,000,000 in excess of $5,000,000. Effective January 1, 2022, the Company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reinsurance treaties in effect for the treaty years shown below are as follows:</w:t>
      </w:r>
    </w:p>
    <w:p>
      <w:pPr>
        <w:sectPr>
          <w:pgSz w:w="11900" w:h="16838" w:orient="portrait"/>
          <w:cols w:equalWidth="0" w:num="1">
            <w:col w:w="11240"/>
          </w:cols>
          <w:pgMar w:left="320" w:top="125" w:right="3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Treaty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January 2,</w:t>
            </w:r>
          </w:p>
        </w:tc>
        <w:tc>
          <w:tcPr>
            <w:tcW w:w="100" w:type="dxa"/>
            <w:vAlign w:val="bottom"/>
          </w:tcPr>
          <w:p>
            <w:pPr>
              <w:spacing w:after="0"/>
              <w:rPr>
                <w:sz w:val="18"/>
                <w:szCs w:val="18"/>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(2021/2023 Treaty)</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July 1,</w:t>
            </w: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1,</w:t>
            </w:r>
          </w:p>
        </w:tc>
        <w:tc>
          <w:tcPr>
            <w:tcW w:w="11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January 1,</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620" w:type="dxa"/>
            <w:vAlign w:val="bottom"/>
            <w:gridSpan w:val="4"/>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4"/>
          </w:tcPr>
          <w:p>
            <w:pPr>
              <w:spacing w:after="0"/>
              <w:rPr>
                <w:sz w:val="20"/>
                <w:szCs w:val="20"/>
                <w:color w:val="auto"/>
              </w:rPr>
            </w:pPr>
            <w:r>
              <w:rPr>
                <w:rFonts w:ascii="Arial" w:cs="Arial" w:eastAsia="Arial" w:hAnsi="Arial"/>
                <w:sz w:val="18"/>
                <w:szCs w:val="18"/>
                <w:color w:val="auto"/>
              </w:rPr>
              <w:t>Homeowners, dwelling fire and and canine legal liability</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ind w:left="2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Percent ceded (9)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 (8)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 (5)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620" w:type="dxa"/>
            <w:vAlign w:val="bottom"/>
            <w:gridSpan w:val="4"/>
          </w:tcPr>
          <w:p>
            <w:pPr>
              <w:ind w:left="220"/>
              <w:spacing w:after="0"/>
              <w:rPr>
                <w:sz w:val="20"/>
                <w:szCs w:val="20"/>
                <w:color w:val="auto"/>
              </w:rPr>
            </w:pPr>
            <w:r>
              <w:rPr>
                <w:rFonts w:ascii="Arial" w:cs="Arial" w:eastAsia="Arial" w:hAnsi="Arial"/>
                <w:sz w:val="18"/>
                <w:szCs w:val="18"/>
                <w:color w:val="auto"/>
                <w:w w:val="97"/>
              </w:rPr>
              <w:t>Risk retained on intial $1,000,000 of losses (5) (7) (8) (9)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462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Losses per occurrence subject to quota share reinsurance</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None (8)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None (5)</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122"/>
        </w:trPr>
        <w:tc>
          <w:tcPr>
            <w:tcW w:w="4620" w:type="dxa"/>
            <w:vAlign w:val="bottom"/>
            <w:gridSpan w:val="4"/>
            <w:vMerge w:val="restart"/>
            <w:shd w:val="clear" w:color="auto" w:fill="CCEEFF"/>
          </w:tcPr>
          <w:p>
            <w:pPr>
              <w:ind w:left="220"/>
              <w:spacing w:after="0"/>
              <w:rPr>
                <w:sz w:val="20"/>
                <w:szCs w:val="20"/>
                <w:color w:val="auto"/>
              </w:rPr>
            </w:pPr>
            <w:r>
              <w:rPr>
                <w:rFonts w:ascii="Arial" w:cs="Arial" w:eastAsia="Arial" w:hAnsi="Arial"/>
                <w:sz w:val="18"/>
                <w:szCs w:val="18"/>
                <w:color w:val="auto"/>
              </w:rPr>
              <w:t>coverage</w:t>
            </w:r>
          </w:p>
        </w:tc>
        <w:tc>
          <w:tcPr>
            <w:tcW w:w="10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0"/>
                <w:szCs w:val="10"/>
                <w:color w:val="auto"/>
              </w:rPr>
            </w:pPr>
          </w:p>
        </w:tc>
        <w:tc>
          <w:tcPr>
            <w:tcW w:w="12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gridSpan w:val="4"/>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620" w:type="dxa"/>
            <w:vAlign w:val="bottom"/>
            <w:gridSpan w:val="4"/>
          </w:tcPr>
          <w:p>
            <w:pPr>
              <w:ind w:left="420"/>
              <w:spacing w:after="0" w:line="201" w:lineRule="exact"/>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January 1,</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NA (5)</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NA (5)</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62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Excess of loss coverage and facultative facility coverage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 (7)</w:t>
            </w:r>
          </w:p>
        </w:tc>
        <w:tc>
          <w:tcPr>
            <w:tcW w:w="74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4"/>
          </w:tcPr>
          <w:p>
            <w:pPr>
              <w:ind w:left="220"/>
              <w:spacing w:after="0"/>
              <w:rPr>
                <w:sz w:val="20"/>
                <w:szCs w:val="20"/>
                <w:color w:val="auto"/>
              </w:rPr>
            </w:pPr>
            <w:r>
              <w:rPr>
                <w:rFonts w:ascii="Arial" w:cs="Arial" w:eastAsia="Arial" w:hAnsi="Arial"/>
                <w:sz w:val="18"/>
                <w:szCs w:val="18"/>
                <w:color w:val="auto"/>
              </w:rPr>
              <w:t>Total reinsurance coverage per occurrence (5) (7) (8)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02"/>
        </w:trPr>
        <w:tc>
          <w:tcPr>
            <w:tcW w:w="462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Losses per occurrence subject to reinsurance coverage (5)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620" w:type="dxa"/>
            <w:vAlign w:val="bottom"/>
            <w:gridSpan w:val="4"/>
          </w:tcPr>
          <w:p>
            <w:pPr>
              <w:ind w:left="220"/>
              <w:spacing w:after="0"/>
              <w:rPr>
                <w:sz w:val="20"/>
                <w:szCs w:val="20"/>
                <w:color w:val="auto"/>
              </w:rPr>
            </w:pPr>
            <w:r>
              <w:rPr>
                <w:rFonts w:ascii="Arial" w:cs="Arial" w:eastAsia="Arial" w:hAnsi="Arial"/>
                <w:sz w:val="18"/>
                <w:szCs w:val="18"/>
                <w:color w:val="auto"/>
              </w:rPr>
              <w:t>Expiration date (8)</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2023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June 30, 2022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gridSpan w:val="4"/>
          </w:tcPr>
          <w:p>
            <w:pPr>
              <w:spacing w:after="0" w:line="176" w:lineRule="exact"/>
              <w:rPr>
                <w:sz w:val="20"/>
                <w:szCs w:val="20"/>
                <w:color w:val="auto"/>
              </w:rPr>
            </w:pPr>
            <w:r>
              <w:rPr>
                <w:rFonts w:ascii="Arial" w:cs="Arial" w:eastAsia="Arial" w:hAnsi="Arial"/>
                <w:sz w:val="18"/>
                <w:szCs w:val="18"/>
                <w:color w:val="auto"/>
              </w:rPr>
              <w:t>Catastrophe Reinsurance: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 lines quota share treaty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 (5)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620" w:type="dxa"/>
            <w:vAlign w:val="bottom"/>
            <w:gridSpan w:val="4"/>
          </w:tcPr>
          <w:p>
            <w:pPr>
              <w:ind w:left="220"/>
              <w:spacing w:after="0"/>
              <w:rPr>
                <w:sz w:val="20"/>
                <w:szCs w:val="20"/>
                <w:color w:val="auto"/>
              </w:rPr>
            </w:pPr>
            <w:r>
              <w:rPr>
                <w:rFonts w:ascii="Arial" w:cs="Arial" w:eastAsia="Arial" w:hAnsi="Arial"/>
                <w:sz w:val="18"/>
                <w:szCs w:val="18"/>
                <w:color w:val="auto"/>
                <w:w w:val="97"/>
              </w:rPr>
              <w:t>Risk retained per catastrophe occurrence (5) (8) (9) (10)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7,400,000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2"/>
        </w:trPr>
        <w:tc>
          <w:tcPr>
            <w:tcW w:w="462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Catastrophe loss coverage in excess of quota share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coverage (2) (5)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335,000,000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490,000,000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490,000,000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475,000,000</w:t>
            </w:r>
          </w:p>
        </w:tc>
        <w:tc>
          <w:tcPr>
            <w:tcW w:w="0" w:type="dxa"/>
            <w:vAlign w:val="bottom"/>
          </w:tcPr>
          <w:p>
            <w:pPr>
              <w:spacing w:after="0"/>
              <w:rPr>
                <w:sz w:val="1"/>
                <w:szCs w:val="1"/>
                <w:color w:val="auto"/>
              </w:rPr>
            </w:pPr>
          </w:p>
        </w:tc>
      </w:tr>
      <w:tr>
        <w:trPr>
          <w:trHeight w:val="202"/>
        </w:trPr>
        <w:tc>
          <w:tcPr>
            <w:tcW w:w="4620" w:type="dxa"/>
            <w:vAlign w:val="bottom"/>
            <w:gridSpan w:val="4"/>
          </w:tcPr>
          <w:p>
            <w:pPr>
              <w:ind w:left="220"/>
              <w:spacing w:after="0" w:line="201" w:lineRule="exact"/>
              <w:rPr>
                <w:sz w:val="20"/>
                <w:szCs w:val="20"/>
                <w:color w:val="auto"/>
              </w:rPr>
            </w:pPr>
            <w:r>
              <w:rPr>
                <w:rFonts w:ascii="Arial" w:cs="Arial" w:eastAsia="Arial" w:hAnsi="Arial"/>
                <w:sz w:val="18"/>
                <w:szCs w:val="18"/>
                <w:color w:val="auto"/>
                <w:w w:val="93"/>
              </w:rPr>
              <w:t>Catastrophe stub coverage for the period from October 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4"/>
          </w:tcPr>
          <w:p>
            <w:pPr>
              <w:ind w:left="220"/>
              <w:spacing w:after="0"/>
              <w:rPr>
                <w:sz w:val="20"/>
                <w:szCs w:val="20"/>
                <w:color w:val="auto"/>
              </w:rPr>
            </w:pPr>
            <w:r>
              <w:rPr>
                <w:rFonts w:ascii="Arial" w:cs="Arial" w:eastAsia="Arial" w:hAnsi="Arial"/>
                <w:sz w:val="18"/>
                <w:szCs w:val="18"/>
                <w:color w:val="auto"/>
              </w:rPr>
              <w:t>2021 through December 31, 2021 (6)</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in excess of</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Reinstatement premium protection (3) (4)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jc w:val="both"/>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 For the period July 1, 2021 through June 30, 2022, reinstatement premium protection for $70,000,000 of catastrophe coverage in excess of $10,000,000.</w:t>
      </w:r>
    </w:p>
    <w:p>
      <w:pPr>
        <w:spacing w:after="0" w:line="1"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2023; reinsurance coverage in effect from January 2, 2023 through June 30, 2023 is only for excess of loss and catastrophe reinsurance treaties.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385"/>
        </w:trPr>
        <w:tc>
          <w:tcPr>
            <w:tcW w:w="7220" w:type="dxa"/>
            <w:vAlign w:val="bottom"/>
            <w:gridSpan w:val="3"/>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7220" w:type="dxa"/>
            <w:vAlign w:val="bottom"/>
            <w:gridSpan w:val="3"/>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7220" w:type="dxa"/>
            <w:vAlign w:val="bottom"/>
            <w:gridSpan w:val="3"/>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3"/>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220" w:type="dxa"/>
            <w:vAlign w:val="bottom"/>
            <w:gridSpan w:val="3"/>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bl>
    <w:p>
      <w:pPr>
        <w:sectPr>
          <w:pgSz w:w="11900" w:h="16838" w:orient="portrait"/>
          <w:cols w:equalWidth="0" w:num="1">
            <w:col w:w="11240"/>
          </w:cols>
          <w:pgMar w:left="320" w:top="337"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420"/>
              <w:spacing w:after="0"/>
              <w:rPr>
                <w:sz w:val="20"/>
                <w:szCs w:val="20"/>
                <w:color w:val="auto"/>
              </w:rPr>
            </w:pPr>
            <w:r>
              <w:rPr>
                <w:rFonts w:ascii="Arial" w:cs="Arial" w:eastAsia="Arial" w:hAnsi="Arial"/>
                <w:sz w:val="18"/>
                <w:szCs w:val="18"/>
                <w:color w:val="auto"/>
              </w:rPr>
              <w:t>Expiration date</w:t>
            </w:r>
          </w:p>
        </w:tc>
        <w:tc>
          <w:tcPr>
            <w:tcW w:w="2700" w:type="dxa"/>
            <w:vAlign w:val="bottom"/>
          </w:tcPr>
          <w:p>
            <w:pPr>
              <w:ind w:left="1500"/>
              <w:spacing w:after="0"/>
              <w:rPr>
                <w:sz w:val="20"/>
                <w:szCs w:val="20"/>
                <w:color w:val="auto"/>
              </w:rPr>
            </w:pPr>
            <w:r>
              <w:rPr>
                <w:rFonts w:ascii="Arial" w:cs="Arial" w:eastAsia="Arial" w:hAnsi="Arial"/>
                <w:sz w:val="18"/>
                <w:szCs w:val="18"/>
                <w:color w:val="auto"/>
              </w:rPr>
              <w:t>June 30, 2023</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June 30, 2022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w w:val="87"/>
              </w:rPr>
              <w:t>June 30, 2021</w:t>
            </w:r>
          </w:p>
        </w:tc>
      </w:tr>
      <w:tr>
        <w:trPr>
          <w:trHeight w:val="216"/>
        </w:trPr>
        <w:tc>
          <w:tcPr>
            <w:tcW w:w="16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76"/>
        </w:trPr>
        <w:tc>
          <w:tcPr>
            <w:tcW w:w="5820" w:type="dxa"/>
            <w:vAlign w:val="bottom"/>
            <w:gridSpan w:val="2"/>
          </w:tcPr>
          <w:p>
            <w:pPr>
              <w:spacing w:after="0" w:line="176" w:lineRule="exact"/>
              <w:rPr>
                <w:sz w:val="20"/>
                <w:szCs w:val="20"/>
                <w:color w:val="auto"/>
              </w:rPr>
            </w:pPr>
            <w:r>
              <w:rPr>
                <w:rFonts w:ascii="Arial" w:cs="Arial" w:eastAsia="Arial" w:hAnsi="Arial"/>
                <w:sz w:val="18"/>
                <w:szCs w:val="18"/>
                <w:color w:val="auto"/>
              </w:rPr>
              <w:t>Commercial Lines (1):</w:t>
            </w:r>
          </w:p>
        </w:tc>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liability commercial policies</w:t>
            </w: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420"/>
              <w:spacing w:after="0"/>
              <w:rPr>
                <w:sz w:val="20"/>
                <w:szCs w:val="20"/>
                <w:color w:val="auto"/>
              </w:rPr>
            </w:pPr>
            <w:r>
              <w:rPr>
                <w:rFonts w:ascii="Arial" w:cs="Arial" w:eastAsia="Arial" w:hAnsi="Arial"/>
                <w:sz w:val="18"/>
                <w:szCs w:val="18"/>
                <w:color w:val="auto"/>
              </w:rPr>
              <w:t>Quota share treaty</w:t>
            </w:r>
          </w:p>
        </w:tc>
        <w:tc>
          <w:tcPr>
            <w:tcW w:w="2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None</w:t>
            </w:r>
          </w:p>
        </w:tc>
      </w:tr>
      <w:tr>
        <w:trPr>
          <w:trHeight w:val="216"/>
        </w:trPr>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5820" w:type="dxa"/>
            <w:vAlign w:val="bottom"/>
            <w:gridSpan w:val="2"/>
          </w:tcPr>
          <w:p>
            <w:pPr>
              <w:ind w:left="420"/>
              <w:spacing w:after="0"/>
              <w:rPr>
                <w:sz w:val="20"/>
                <w:szCs w:val="20"/>
                <w:color w:val="auto"/>
              </w:rPr>
            </w:pPr>
            <w:r>
              <w:rPr>
                <w:rFonts w:ascii="Arial" w:cs="Arial" w:eastAsia="Arial" w:hAnsi="Arial"/>
                <w:sz w:val="18"/>
                <w:szCs w:val="18"/>
                <w:color w:val="auto"/>
              </w:rPr>
              <w:t>Excess of loss coverage above risk retained</w:t>
            </w:r>
          </w:p>
        </w:tc>
        <w:tc>
          <w:tcPr>
            <w:tcW w:w="27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16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in excess of</w:t>
            </w:r>
          </w:p>
        </w:tc>
      </w:tr>
      <w:tr>
        <w:trPr>
          <w:trHeight w:val="216"/>
        </w:trPr>
        <w:tc>
          <w:tcPr>
            <w:tcW w:w="1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16"/>
        </w:trPr>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3,750,000</w:t>
            </w:r>
          </w:p>
        </w:tc>
      </w:tr>
      <w:tr>
        <w:trPr>
          <w:trHeight w:val="216"/>
        </w:trPr>
        <w:tc>
          <w:tcPr>
            <w:tcW w:w="5820" w:type="dxa"/>
            <w:vAlign w:val="bottom"/>
            <w:gridSpan w:val="2"/>
          </w:tcPr>
          <w:p>
            <w:pPr>
              <w:ind w:left="420"/>
              <w:spacing w:after="0"/>
              <w:rPr>
                <w:sz w:val="20"/>
                <w:szCs w:val="20"/>
                <w:color w:val="auto"/>
              </w:rPr>
            </w:pPr>
            <w:r>
              <w:rPr>
                <w:rFonts w:ascii="Arial" w:cs="Arial" w:eastAsia="Arial" w:hAnsi="Arial"/>
                <w:sz w:val="18"/>
                <w:szCs w:val="18"/>
                <w:color w:val="auto"/>
              </w:rPr>
              <w:t>Losses per occurrence subject to reinsurance coverage</w:t>
            </w:r>
          </w:p>
        </w:tc>
        <w:tc>
          <w:tcPr>
            <w:tcW w:w="27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4,500,000</w:t>
            </w:r>
          </w:p>
        </w:tc>
      </w:tr>
      <w:tr>
        <w:trPr>
          <w:trHeight w:val="216"/>
        </w:trPr>
        <w:tc>
          <w:tcPr>
            <w:tcW w:w="16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Commercial Umbrella</w:t>
            </w:r>
          </w:p>
        </w:tc>
        <w:tc>
          <w:tcPr>
            <w:tcW w:w="2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Quota share treaty</w:t>
            </w:r>
          </w:p>
        </w:tc>
        <w:tc>
          <w:tcPr>
            <w:tcW w:w="2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earned ceding commission revenue under the 2021/2023 Treaty for the three months and nine months ended September 30, 2022 based on a fixed provisional commission rate at which provisional ceding commissions will be earned. There was no quota share treaty in effect during the three months and nine months ended September 30, 2021.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Ceding commission revenue consists of the following:</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4,881,580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14,116,044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(47,854)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167,033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(98,266)</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4,886,094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14,283,077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37,400</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September 30, 2022 and December 31, 2021, net contingent ceding commissions payable to reinsurers under all treaties was approximately $2,714,000 and $2,881,000, respectively, which is recorded in reinsurance balances payable on the accompanying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September 30, 2022 and December 31, 2021, no impairment has been recognized. FHLBNY members have access to a variety of flexible, low-cost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The maximum allowable advance as of September 30, 2022 was approximately $12,414,000. Advances are limited to 85% of the amount of available collateral. As of September 30, 2022, the estimated fair value of available collateral was $12,393,000. Accordingly, as of September 30, 2022, advances were limited to $10,534,000. As of December 31, 2021, there was no available collateral. There have been no borrowings under this facility since KICO became a member of FHLBNY.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38" w:orient="portrait"/>
          <w:cols w:equalWidth="0" w:num="1">
            <w:col w:w="11240"/>
          </w:cols>
          <w:pgMar w:left="320" w:top="125" w:right="33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debt as of September 30, 2022 and December 31, 2021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r>
      <w:tr>
        <w:trPr>
          <w:trHeight w:val="230"/>
        </w:trPr>
        <w:tc>
          <w:tcPr>
            <w:tcW w:w="8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30,000,000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Discount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(32,442)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(143,767)</w:t>
            </w:r>
          </w:p>
        </w:tc>
      </w:tr>
      <w:tr>
        <w:trPr>
          <w:trHeight w:val="210"/>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Debt,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29,955,926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29,823,791</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 (“Make Whole Call”).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Make Whole Call, management intends to retire or otherwise satisfy the Notes at or close to the scheduled maturity date in December 2022. See Note 2 – Accounting Policies - Management’s Plan Related to Going Concern for a discussion of Kingstone’s plans with regard to the satisfaction of the Notes.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Lease</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October 27, 2022 KICO entered into a sale leaseback transaction, whereby KICO sold $8,096,824 of fixed assets to a bank. The provisions of the sale leaseback require KICO to pay a monthly payment of principal and interest totaling $126,877 for a term of 60 months commencing on October 27, 2022. The terms of the agreement provide buyout options at the end of the 60 month term, which are as follows:</w:t>
      </w:r>
    </w:p>
    <w:p>
      <w:pPr>
        <w:spacing w:after="0" w:line="165" w:lineRule="exact"/>
        <w:rPr>
          <w:sz w:val="20"/>
          <w:szCs w:val="20"/>
          <w:color w:val="auto"/>
        </w:rPr>
      </w:pPr>
    </w:p>
    <w:p>
      <w:pPr>
        <w:ind w:left="920" w:right="60" w:hanging="467"/>
        <w:spacing w:after="0" w:line="277"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the lease KICO may purchase the fixed assets for a purchase price of $2,024,206, which is 25% of the original fixed asset cost of $8,096,824; or</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KICO may renew the lease for 16 months at the same rental rate, which totals $2,030,036</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provision of the sale leaseback agreement requires KICO to pledge collateral for the lease obligation. KICO pledged a total of $9,958,700 in United States Treasury Bills. See Note 13 - Subsequent Events.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and paid on Common Stock were $1,277,066 and $1,274,797 for the nine months ended September 30,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months ended September 30, 2022 and 2021 include stock-based compensation expense for stock options totaling approximately $2,000 and $14,000, respectively. The results of operations for the nine months ended September 30, 2022 and 2021 include stock-based compensation expense for stock options totaling approximately $9,000 and $43,000, respectively. Stock-based compensation expense related to stock options for the three months and nine months ended September 30, 2022 and 2021 is net of estimated forfeitures of approximately 18% and 16%, respectively. Such amounts have been included in the condensed consolidated statements of operations and comprehensive income (loss) within other operating expenses.</w:t>
      </w:r>
    </w:p>
    <w:p>
      <w:pPr>
        <w:sectPr>
          <w:pgSz w:w="11900" w:h="16838" w:orient="portrait"/>
          <w:cols w:equalWidth="0" w:num="1">
            <w:col w:w="11240"/>
          </w:cols>
          <w:pgMar w:left="320" w:top="341" w:right="339" w:bottom="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No options were granted during the nine months ended September 30, 2022. The fair value of stock options at the grant date are estimated using the Black-Scholes option-pricing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nine months ended September 30, 2022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r>
      <w:tr>
        <w:trPr>
          <w:trHeight w:val="230"/>
        </w:trPr>
        <w:tc>
          <w:tcPr>
            <w:tcW w:w="5940" w:type="dxa"/>
            <w:vAlign w:val="bottom"/>
          </w:tcPr>
          <w:p>
            <w:pPr>
              <w:ind w:left="24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Term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Intrinsic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options outstanding and options exercisable at September 30, 2022 is calculated as the difference between the exercise price of the underlying options and the market price of the Company’s Common Stock for the options that had exercise prices that were lower than the $2.66 closing price of the Company’s Common Stock on September 30, 2022. No options were exercised, forfeited or expired during the nine months ended September 30, 2022. The total intrinsic value of options when forfeited are determined as of the date of forfeiture. The total intrinsic value of options when expired are determined as of the date of expiration.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no unvested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364,271 shares reserved for grants under the 2014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nine months ended September 30, 2022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Average Grant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Date Fair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Value per</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Aggregate</w:t>
            </w:r>
          </w:p>
        </w:tc>
      </w:tr>
      <w:tr>
        <w:trPr>
          <w:trHeight w:val="230"/>
        </w:trPr>
        <w:tc>
          <w:tcPr>
            <w:tcW w:w="7280" w:type="dxa"/>
            <w:vAlign w:val="bottom"/>
          </w:tcPr>
          <w:p>
            <w:pPr>
              <w:ind w:left="276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Share</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Fair Value</w:t>
            </w:r>
          </w:p>
        </w:tc>
      </w:tr>
      <w:tr>
        <w:trPr>
          <w:trHeight w:val="209"/>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535,410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3,753,224</w:t>
            </w:r>
          </w:p>
        </w:tc>
      </w:t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98,456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544,503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(234,219)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(1,715,220)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2,582,506</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was calculated using the closing price of the Company’s Common Stock on the grant date. For the three months ended September 30, 2022 and 2021, stock-based compensation for these grants was approximately $186,000 and $452,000, respectively, which is included in other operating expenses on the accompanying condensed consolidated statements of operations and comprehensive income (loss). For the nine months ended September 30, 2022 and 2021, stock-based compensation for these grants was approximately $1,180,000 and $1,405,000,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ectPr>
          <w:pgSz w:w="11900" w:h="16838" w:orient="portrait"/>
          <w:cols w:equalWidth="0" w:num="1">
            <w:col w:w="11240"/>
          </w:cols>
          <w:pgMar w:left="320" w:top="125" w:right="339" w:bottom="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offering period under the ESPP was from November 1, 2021 through October 31, 2022 (“2021/2022 Offering”). There is currently no offering pursuant to the ESPP subsequent to October 31, 2022. For the three months ended September 30, 2022 and 2021, stock-based compensation under the 2021/2022 Offering was approximately $5,000 and $-0-, respectively, which is included in other operating expenses on the accompanying condensed consolidated statements of operations and comprehensive income (loss). For the nine months ended September 30, 2022 and 2021, stock-based compensation under the 2021/2022 Offering was approximately $16,000 and $-0-, respectively, which is included in other operating expenses on the accompanying condensed consolidated statements of operations and comprehensive income (loss).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2021/2022 offering period, 33,222 shares of common stock were issued at $1.82 per share to participating employees for a total purchase of $60,464. See Note 13 - Subsequent Events.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8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carryovers (1)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1,112,318</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Claims reserve discount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1,164,002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1,186,789</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3,607,880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3,246,364</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Deferred ceding commission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2,167,278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2,047,187</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losses on securities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4,215,667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1,530,488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1,220,898</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14,784,328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8,813,556</w:t>
            </w: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Investment in KICO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759,543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759,543</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4,873,194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4,670,187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1,046,817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Net unrealized gains on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2,039,756</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5,927,380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8,621,303</w:t>
            </w:r>
          </w:p>
        </w:tc>
      </w:tr>
      <w:tr>
        <w:trPr>
          <w:trHeight w:val="210"/>
        </w:trPr>
        <w:tc>
          <w:tcPr>
            <w:tcW w:w="8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8,856,948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192,253</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The deferred tax assets from net operating loss carryovers (“NOL”)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860" w:type="dxa"/>
            <w:vAlign w:val="bottom"/>
          </w:tcPr>
          <w:p>
            <w:pPr>
              <w:ind w:left="1320"/>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r>
      <w:tr>
        <w:trPr>
          <w:trHeight w:val="209"/>
        </w:trPr>
        <w:tc>
          <w:tcPr>
            <w:tcW w:w="128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1,112,318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NOL carried back</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only, NOL from 2022 and 2021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2,099,013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1,112,318</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r>
      <w:tr>
        <w:trPr>
          <w:trHeight w:val="209"/>
        </w:trPr>
        <w:tc>
          <w:tcPr>
            <w:tcW w:w="128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6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only (A)</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December 2027 - December</w:t>
            </w:r>
          </w:p>
        </w:tc>
      </w:tr>
      <w:tr>
        <w:trPr>
          <w:trHeight w:val="226"/>
        </w:trPr>
        <w:tc>
          <w:tcPr>
            <w:tcW w:w="128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2,227,702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2,099,239</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c>
          <w:tcPr>
            <w:tcW w:w="100" w:type="dxa"/>
            <w:vAlign w:val="bottom"/>
            <w:shd w:val="clear" w:color="auto" w:fill="CCEEFF"/>
          </w:tcPr>
          <w:p>
            <w:pPr>
              <w:spacing w:after="0"/>
              <w:rPr>
                <w:sz w:val="19"/>
                <w:szCs w:val="19"/>
                <w:color w:val="auto"/>
              </w:rPr>
            </w:pPr>
          </w:p>
        </w:tc>
      </w:tr>
    </w:tbl>
    <w:p>
      <w:pPr>
        <w:sectPr>
          <w:pgSz w:w="11900" w:h="16900" w:orient="portrait"/>
          <w:cols w:equalWidth="0" w:num="1">
            <w:col w:w="11240"/>
          </w:cols>
          <w:pgMar w:left="320" w:top="125" w:right="3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(2,227,702)</w:t>
            </w:r>
          </w:p>
        </w:tc>
        <w:tc>
          <w:tcPr>
            <w:tcW w:w="220" w:type="dxa"/>
            <w:vAlign w:val="bottom"/>
          </w:tcPr>
          <w:p>
            <w:pPr>
              <w:spacing w:after="0"/>
              <w:rPr>
                <w:sz w:val="20"/>
                <w:szCs w:val="20"/>
                <w:color w:val="auto"/>
              </w:rPr>
            </w:pPr>
          </w:p>
        </w:tc>
        <w:tc>
          <w:tcPr>
            <w:tcW w:w="3460" w:type="dxa"/>
            <w:vAlign w:val="bottom"/>
            <w:gridSpan w:val="2"/>
          </w:tcPr>
          <w:p>
            <w:pPr>
              <w:jc w:val="right"/>
              <w:ind w:right="2500"/>
              <w:spacing w:after="0"/>
              <w:rPr>
                <w:sz w:val="20"/>
                <w:szCs w:val="20"/>
                <w:color w:val="auto"/>
              </w:rPr>
            </w:pPr>
            <w:r>
              <w:rPr>
                <w:rFonts w:ascii="Arial" w:cs="Arial" w:eastAsia="Arial" w:hAnsi="Arial"/>
                <w:sz w:val="18"/>
                <w:szCs w:val="18"/>
                <w:color w:val="auto"/>
              </w:rPr>
              <w:t>(2,099,239)</w:t>
            </w:r>
          </w:p>
        </w:tc>
      </w:tr>
      <w:tr>
        <w:trPr>
          <w:trHeight w:val="209"/>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only, net of valuation allowance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CEEFF"/>
            </w:tcBorders>
            <w:shd w:val="clear" w:color="auto" w:fill="CCEEFF"/>
          </w:tcPr>
          <w:p>
            <w:pPr>
              <w:spacing w:after="0"/>
              <w:rPr>
                <w:sz w:val="18"/>
                <w:szCs w:val="18"/>
                <w:color w:val="auto"/>
              </w:rPr>
            </w:pPr>
          </w:p>
        </w:tc>
      </w:tr>
      <w:tr>
        <w:trPr>
          <w:trHeight w:val="210"/>
        </w:trPr>
        <w:tc>
          <w:tcPr>
            <w:tcW w:w="6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56"/>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2,099,013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1,112,318</w:t>
            </w:r>
          </w:p>
        </w:tc>
        <w:tc>
          <w:tcPr>
            <w:tcW w:w="256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left="620" w:hanging="5"/>
        <w:spacing w:after="0" w:line="255" w:lineRule="auto"/>
        <w:tabs>
          <w:tab w:leader="none" w:pos="937" w:val="left"/>
        </w:tabs>
        <w:numPr>
          <w:ilvl w:val="0"/>
          <w:numId w:val="8"/>
        </w:numPr>
        <w:rPr>
          <w:rFonts w:ascii="Arial" w:cs="Arial" w:eastAsia="Arial" w:hAnsi="Arial"/>
          <w:sz w:val="18"/>
          <w:szCs w:val="18"/>
          <w:color w:val="auto"/>
        </w:rPr>
      </w:pPr>
      <w:r>
        <w:rPr>
          <w:rFonts w:ascii="Arial" w:cs="Arial" w:eastAsia="Arial" w:hAnsi="Arial"/>
          <w:sz w:val="18"/>
          <w:szCs w:val="18"/>
          <w:color w:val="auto"/>
        </w:rPr>
        <w:t>Kingstone generates operating losses for state purposes and has prior year NOLs available. The state NOL as of September 30, 2022 and December 31, 2021 was approximately $34,272,000 and $32,296,000, respectively. KICO, the Company’s insurance underwriting subsidiary, is not subject to state income taxes. KICO’s state tax obligations are paid through a gross premiums tax, which is included in the condensed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2042.</w:t>
      </w:r>
    </w:p>
    <w:p>
      <w:pPr>
        <w:spacing w:after="0" w:line="192"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Deferred tax liability – Investment in KICO</w:t>
      </w:r>
    </w:p>
    <w:p>
      <w:pPr>
        <w:spacing w:after="0" w:line="225" w:lineRule="exact"/>
        <w:rPr>
          <w:sz w:val="20"/>
          <w:szCs w:val="20"/>
          <w:color w:val="auto"/>
        </w:rPr>
      </w:pPr>
    </w:p>
    <w:p>
      <w:pPr>
        <w:ind w:left="620" w:right="20"/>
        <w:spacing w:after="0" w:line="28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2022 and 2021. If any had been recognized these would have been reported in income tax expense.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2019 through December 31, 2021 remain subject to examination.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(Loss) Earnings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earnings per common share is computed by dividing loss available to common shareholders by the weighted-average number of shares of Common Stock outstanding. Diluted loss per common share reflect, in periods in which they have a dilutive effect, the impact of common shares issuable upon exercise of stock options as well as non-vested restricted stock awards. The computation of diluted loss per common share excludes those options with an exercise price in excess of the average market price of the Company’s Common Stock during the periods presented.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computation of diluted loss per common share excludes outstanding options in periods where the exercise of such options would be anti-dilutive. For the three months and nine months ended September 30, 2022 and 2021, no options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(loss) earnings per common share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6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10,645,675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10,523,515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10,640,290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10,622,988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outstanding, used for computing diluted (loss)</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10,645,675</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10,523,515</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10,640,290</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10,622,988</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earnings per share</w:t>
            </w: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ectPr>
          <w:pgSz w:w="11900" w:h="16838" w:orient="portrait"/>
          <w:cols w:equalWidth="0" w:num="1">
            <w:col w:w="11240"/>
          </w:cols>
          <w:pgMar w:left="320" w:top="125" w:right="339" w:bottom="65"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months</w:t>
            </w: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(1) (2)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131,152</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Cash payments included in the measurement of lease liability reported in operating cash flows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47,483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147,969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Remaing lease term in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KICO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 years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 years</w:t>
            </w:r>
          </w:p>
        </w:tc>
      </w:tr>
    </w:tbl>
    <w:p>
      <w:pPr>
        <w:spacing w:after="0" w:line="202"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income (loss) within other underwriting expenses for KICO and within other operating expenses for Cosi.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September 30, 2022:</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ind w:left="2840"/>
              <w:spacing w:after="0"/>
              <w:rPr>
                <w:sz w:val="20"/>
                <w:szCs w:val="20"/>
                <w:color w:val="auto"/>
              </w:rPr>
            </w:pPr>
            <w:r>
              <w:rPr>
                <w:rFonts w:ascii="Arial" w:cs="Arial" w:eastAsia="Arial" w:hAnsi="Arial"/>
                <w:sz w:val="18"/>
                <w:szCs w:val="18"/>
                <w:b w:val="1"/>
                <w:bCs w:val="1"/>
                <w:color w:val="auto"/>
              </w:rPr>
              <w:t>For the Year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60"/>
              <w:spacing w:after="0"/>
              <w:rPr>
                <w:sz w:val="20"/>
                <w:szCs w:val="20"/>
                <w:color w:val="auto"/>
              </w:rPr>
            </w:pPr>
            <w:r>
              <w:rPr>
                <w:rFonts w:ascii="Arial" w:cs="Arial" w:eastAsia="Arial" w:hAnsi="Arial"/>
                <w:sz w:val="18"/>
                <w:szCs w:val="18"/>
                <w:b w:val="1"/>
                <w:bCs w:val="1"/>
                <w:color w:val="auto"/>
              </w:rPr>
              <w:t>Ending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8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47,483</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194,919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49,145</w:t>
            </w: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undiscounted lease payments</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291,547</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adjustment</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Operating lease liability (1)</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287,356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lease liability is recorded in accounts payable, accrued expenses and other liabilities in the accompanying condensed consolidated balance sheets.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 expense for the three months ended September 30, 2022 and 2021 amounted to $41,342 and $57,459, respectively. Rent expense for the nine months ended September 30, 2022 and 2021 amounted to $131,152 and $172,377, respectively. Rent expense is included in the accompanying condensed consolidated statements of operations and comprehensive income (loss) within other underwriting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expires on December 31, 2022. The Second Amended Goldstein Employment Agreement extends the expiration date of the employment agreement in effect for Mr. Goldstein from December 31, 2021 to December 31, 2022.</w:t>
      </w:r>
    </w:p>
    <w:p>
      <w:pPr>
        <w:sectPr>
          <w:pgSz w:w="11900" w:h="16838" w:orient="portrait"/>
          <w:cols w:equalWidth="0" w:num="1">
            <w:col w:w="11240"/>
          </w:cols>
          <w:pgMar w:left="320" w:top="125" w:right="339" w:bottom="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Pursuant to the Second Amended Goldstein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in the event that Mr. Goldstein’s employment is terminated by the Company without cause or he resigns for good reason (each as defined in the Second Amended Goldstein Employment Agreement), Mr. Goldstein would be entitled to receive his base salary and the 6% bonus for the remainder of the term. In addition, in the event of Mr. Goldstein’s death, his estate would be entitled to receive his base salary and accrued bonus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and his accrued 6% bonus in the event of the termination of his employment within eighteen months following a change of control of the Company.</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In January 2021, Mr. Goldstein was granted 21,000 shares of restricted stock pursuant to this provision. This grant vested with respect to one-half of the award on the first anniversary of the grant date and will vest with respect to one-fourth of the award on each of December 29, 2023 and December 30, 2024 based on the continued provision of services through such dates. In January 2022, Mr. Goldstein was granted 27,300 shares of restricted stock pursuant to this provision. This grant will vest with respect to one-half of the award on each of December 29, 2023 and December 30, 2024 based on the continued provision of services through such dates. Pursuant to the 2014 Plan, Mr. Goldstein’s unvested restricted stock awards will vest in the event of a change in control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27, 2022, the Company and Mr. Goldstein entered into a third amended and restated employment agreement which takes effect as of January 1, 2023, and expires on December 31, 2024 (the “Third Amended Goldstein Employment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Third Amended Goldstein Employment Agreement, Mr. Goldstein is entitled to receive an annual base salary of $500,000 and an annual bonus equal to 3% of our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2021</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now expires on December 31, 2022.</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Golden Employment Agreement, Ms. Golden is entitled to receive an annual salary of $500,000. The Golden Employment Agreement also provides for the grant on the effective date of a five year option for the purchase of 50,000 shares of the Company’s Common Stock pursuant to the 2014 Plan. The options granted vest in four equal installments, with the first installment vesting on the grant date, and the remaining installments vesting on the first, second, and third anniversaries of the grant date, subject to the terms of the stock option agreement between the Company and Ms. Golden.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 effective as of January 1, 2023</w:t>
      </w:r>
    </w:p>
    <w:p>
      <w:pPr>
        <w:sectPr>
          <w:pgSz w:w="11900" w:h="16838" w:orient="portrait"/>
          <w:cols w:equalWidth="0" w:num="1">
            <w:col w:w="11240"/>
          </w:cols>
          <w:pgMar w:left="320" w:top="125" w:right="339" w:bottom="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On June 27, 2022, the Company and Ms. Golden entered into a second amended and restated employment agreement which takes effect as of January 1, 2023, and expires on December 31, 2024 (the “Second Amended Golden Employment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Second Amended Golden Employment Agreement, Ms. Golden is entitled to receive an annual base salary of $500,000 and an annual bonus equal to 3% of the Company’s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we are precluded from making a grant in 2023 or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outbreak of the coronavirus, also known as "COVID-19", has spread across the globe and is impacting worldwide economic activity. Conditions surrounding the coronavirus including the emergence of new strains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Although the impact has been manageable thus far,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Bonus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2022 and year ended December 31, 2021 the Company did not accrue for, or pay, bonuses related to the employee bonus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 (k)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$71,000 and $58,000 of expense for the three months ended September 30, 2022 and 2021, related to the 401(k) Plan. The Company incurred approximately $207,000 and $189,000, respectively, of expense for the nine months ended September 30, 2022 and 2021, related to the 401(k) Plan, which is recorded in other operating expenses on the accompanying consolidated statements of operations and comprehensive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September 30, 2022 and December 31, 2021 amounted to $1,093,136 and $907,914, respectively, and is recorded in accounts payable, accrued expenses and other liabilities in the accompanying condensed consolidated balance sheets. The Company did not make any voluntary contributions for the nine months ended September 30,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events that occurred subsequent to September 30, 2022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Griffin Highline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reported, on August 5, 2022, Griffin Highline Capital LLC (“Griffin Highline”) filed Amendment No. 3 to Schedule 13D with the SEC which indicates that Griffin Highline submitted a final non-binding indication of interest to the Board of Directors of the Company proposing a transaction whereby an entity formed by Griffin Highline would acquire all of the outstanding equity of the Company. Following delivery of the non-binding proposal, the Company agreed to extend the period of exclusivity with Griffin Highline under its previously executed exclusivity agreement for a limited time period to further pursue the proposal. The period of exclusivity has expired.</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Griffin Highline is not currently pursuing a transaction with regard to the acquisition of all of the outstanding equity of the Company, Griffin Highline and the Company are discussing a potential strategic transaction between them. No assurance can be given that a transaction will be consummated by the Company with Griffin Highline or any third party.</w:t>
      </w:r>
    </w:p>
    <w:p>
      <w:pPr>
        <w:sectPr>
          <w:pgSz w:w="11900" w:h="16838" w:orient="portrait"/>
          <w:cols w:equalWidth="0" w:num="1">
            <w:col w:w="11240"/>
          </w:cols>
          <w:pgMar w:left="320" w:top="125" w:right="339" w:bottom="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Sale Leaseback and Capital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October 27, 2022 KICO entered into a sale leaseback transaction, whereby KICO sold $8,096,824 of fixed assets to a bank (see Note 7 - Debt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2022, the 2021/2022 offering period ended no further offering period was initiated (see Note 8 - Stockholders’ Equity).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months and nine months ended September 30, 2022, respectively, 80.5% and 80.3% of KICO’s direct written premiums came from the New York policies.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Cosi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 lines include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September 30, 2022 and December 31, 2021, there were no commercial liability policies in-force. As of September 30, 2022, these expired policies represent approximately 18.0% of loss and LAE reserves net of reinsurance recoverables. See discussion below under “Additional Financial Information”.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ectPr>
          <w:pgSz w:w="11900" w:h="16838" w:orient="portrait"/>
          <w:cols w:equalWidth="0" w:num="1">
            <w:col w:w="11240"/>
          </w:cols>
          <w:pgMar w:left="320" w:top="125" w:right="339" w:bottom="0" w:gutter="0" w:footer="0" w:header="0"/>
        </w:sectPr>
      </w:pPr>
    </w:p>
    <w:bookmarkStart w:id="27" w:name="page28"/>
    <w:bookmarkEnd w:id="27"/>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is the ratio of net losses and LAE incurred to net premiums earned.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net underwriting expense ratios. If the net combined ratio is at or above 100 percent, an insurance company cannot be profitable without investment income, and may not be profitable if investment income is insufficient.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See the Critical Accounting Estimates section within Item 7 “Management’s Discussion and Analysis of Financial Condition and Results of Operations” of our Annual Report on Form 10-K for the year ended December 31, 2021 for further information.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most critical accounting policies relate to the reporting of reserves for loss and LAE, including losses that have occurred but have not been reported prior to the reporting date, amounts recoverable from third party reinsurers, deferred income taxes, the impairment of investment securities, and the valuation of stock-based compensation. See Note 2 to the consolidated financial statements in our Annual Report on Form 10-K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Griffin Highline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Reference is made to Note 13 – Subsequent Events - Griffin Highline to our condensed consolidated financial statements included in this Quarterly Report with regard to discussions between our company and Griffin Highline as to a potential strategic transaction. TigerRisk Capital Markets &amp; Advisory has been engaged to advise our Board of Directors regarding strategic transactions. Our Board of Directors will carefully review any proposals received by our company from Griffin Highline or others to determine the course of action that it believes is in the best interest of our company and all of our stockholders. Due to the uncertainty as to the consummation of a transaction with Griffin Highline, nothing in this Quarterly Report, including the financial statements comprising a portion hereof, include any adjustments to reflect the possible effects of the consummation of such a transaction.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2"/>
              </w:rPr>
              <w:t>Nine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147,354</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147,354</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9,223.0%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36,890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(21,146)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50" w:orient="portrait"/>
          <w:cols w:equalWidth="0" w:num="1">
            <w:col w:w="11240"/>
          </w:cols>
          <w:pgMar w:left="320" w:top="125" w:right="339" w:bottom="0" w:gutter="0" w:footer="0" w:header="0"/>
        </w:sectPr>
      </w:pPr>
    </w:p>
    <w:bookmarkStart w:id="28" w:name="page29"/>
    <w:bookmarkEnd w:id="28"/>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Ceded to quota share treaties (1)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1,371</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Direct and assumed</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141,324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128,698</w:t>
            </w: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12,626</w:t>
            </w: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(57,388)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(21,869)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83,936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(22,893)</w:t>
            </w: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Ceding commission revenue (1)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14,283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14,246</w:t>
            </w:r>
          </w:p>
        </w:tc>
        <w:tc>
          <w:tcPr>
            <w:tcW w:w="1160" w:type="dxa"/>
            <w:vAlign w:val="bottom"/>
          </w:tcPr>
          <w:p>
            <w:pPr>
              <w:jc w:val="right"/>
              <w:spacing w:after="0"/>
              <w:rPr>
                <w:sz w:val="20"/>
                <w:szCs w:val="20"/>
                <w:color w:val="auto"/>
              </w:rPr>
            </w:pPr>
            <w:r>
              <w:rPr>
                <w:rFonts w:ascii="Arial" w:cs="Arial" w:eastAsia="Arial" w:hAnsi="Arial"/>
                <w:sz w:val="18"/>
                <w:szCs w:val="18"/>
                <w:color w:val="auto"/>
              </w:rPr>
              <w:t>38,502.7%</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Net (losses) gains on investments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(9,313)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5,480</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(14,793)</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(24,993)</w:t>
            </w:r>
          </w:p>
        </w:tc>
        <w:tc>
          <w:tcPr>
            <w:tcW w:w="11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83,346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67,634</w:t>
            </w: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15,712</w:t>
            </w: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10,575</w:t>
            </w: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2,596.2%</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3,684</w:t>
            </w:r>
          </w:p>
        </w:tc>
        <w:tc>
          <w:tcPr>
            <w:tcW w:w="1160" w:type="dxa"/>
            <w:vAlign w:val="bottom"/>
          </w:tcPr>
          <w:p>
            <w:pPr>
              <w:jc w:val="right"/>
              <w:spacing w:after="0"/>
              <w:rPr>
                <w:sz w:val="20"/>
                <w:szCs w:val="20"/>
                <w:color w:val="auto"/>
              </w:rPr>
            </w:pPr>
            <w:r>
              <w:rPr>
                <w:rFonts w:ascii="Arial" w:cs="Arial" w:eastAsia="Arial" w:hAnsi="Arial"/>
                <w:sz w:val="18"/>
                <w:szCs w:val="18"/>
                <w:color w:val="auto"/>
              </w:rPr>
              <w:t>1,023.3%</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2,130.2%</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60,159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66,773</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(6,614)</w:t>
            </w: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42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(15,435)</w:t>
            </w: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25,534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24,711</w:t>
            </w: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823</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2,357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3,141</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(784)</w:t>
            </w: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(10,584)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(4,433)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(2,817)</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(1,616)</w:t>
            </w:r>
          </w:p>
        </w:tc>
        <w:tc>
          <w:tcPr>
            <w:tcW w:w="11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2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nine months ended September 30,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September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Point 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Direct written premiums during the nine months ended September 30, 2022 (“Nine Months 2022”) were $147,354,000 compared to $131,610,000 during the nine months ended September 30, 2021 (“Nine Months 2021”). The increase of $15,744,000, or 12.0%, was primarily due an increase in premiums from our personal lines business. Direct written premiums from our personal lines business for Nine Months 2022 were $138,198,000, an increase of $13,605,000, or 10.9%, from $124,593,000 in Nine Months 2021. The increase in premiums from our personal lines business was primarily due to rate increases, and, to a lesser extent, an increase in policies in force. Direct written premiums from our livery physical damage business for Nine Months 2022 were $9,037,000, an increase of $2,200,000, or 32.2%, from $6,837,000 in Nine Months 2021. The increase in livery physical damage direct written premiums was due to the declining effect of the COVID-19 pandemic in our geographic area.</w:t>
      </w:r>
    </w:p>
    <w:p>
      <w:pPr>
        <w:sectPr>
          <w:pgSz w:w="11900" w:h="16875" w:orient="portrait"/>
          <w:cols w:equalWidth="0" w:num="1">
            <w:col w:w="11240"/>
          </w:cols>
          <w:pgMar w:left="320" w:top="125" w:right="339" w:bottom="0" w:gutter="0" w:footer="0" w:header="0"/>
        </w:sectPr>
      </w:pPr>
    </w:p>
    <w:bookmarkStart w:id="29" w:name="page30"/>
    <w:bookmarkEnd w:id="29"/>
    <w:p>
      <w:pPr>
        <w:spacing w:after="0" w:line="77"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$118,332,000 in Nine Months 2022 compared to $101,990,000 in Nine Months 2021. Direct written premiums from our Expansion business were $29,022,000 in Nine Months 2022 compared to $29,620,000 in Nine Months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covering the period from December 31, 2021 through January 1, 2023 (“2021/2023 Treaty”). There was no quota share reinsurance treaty in effect in Nine Months 2021. Net written premiums decreased $21,146,000, or 19.3%, to $88,610,000 in Nine Months 2022 from $109,756,000 in Nine Months 2021. Net written premiums include direct and assumed premiums, less the amount of written premiums ceded under our reinsurance treaties (quota share, excess of loss, and catastrophe). In Nine Months 2022, our premiums ceded under quota share treaties increased by $34,494,000 in comparison to ceded premiums in Nine Months 2021 (see table above). Our personal lines business was subject to the 2021/2023 Treaty in Nine Months 2022, compared to no personal lines quota share treaty in Nine Months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Nine Months 2022, our ceded excess of loss reinsurance premiums increased by $880,000 over the comparable ceded premiums for Nine Months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Nine Months 2022, our premiums ceded under catastrophe treaties increased by $1,516,000 over the comparable ceded premiums in Nine Months 2021. Effective July 1, 2020, and continuing through June 30, 2021, our ceded catastrophe premiums were paid based on the total insured value of our risks calculated as of August 31, 2020. Effective July 1, 2021, and continuing through June 30, 2022, our ceded catastrophe premiums were paid based on the total insured value of our risks as of August 31, 2021. Effective July 1, 2022, and continuing through June 30, 2023, our ceded catastrophe premiums will be paid based on the total insured value of our risks as of August 31,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decreased $22,893,000, or 21.4%, to $83,936,000 in Nine Months 2022 from $106,829,000 in Nine Months 2021. The decrease was due to the inception of the 2021/2023 Treaty on December 31, 2021. The decrease resulting from the 2021/2023 Treaty in Nine Months 2022 was partially offset by an increase in direct written premium.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2"/>
              </w:rPr>
              <w:t>Nine months ended September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14,283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38,502.7%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$14,283,000 in Nine Months 2022 compared to $37,000 in Nine Months 2021. The increase of $14,246,000 was due to an increase in both provisional ceding commissions earned and contingent ceding commissions earned. See below for a discussion of provisional ceding commissions earned and contingent ceding commissions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Nine Months 2022 we earned provisional ceding commissions from personal lines earned premiums ceded under the 2021/2023 Treaty which was effective as of December 31, 2021. There was no personal lines quota share in effect in Nine Months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structure of the 2021/2023 Treaty calls for a fixed provisional ceding commission with no opportunity to earn additional contingent ceding commissions. Under our prior years’ quota share treaties, we received a contingent ceding commission based on a sliding scale in relation to the losses</w:t>
      </w:r>
    </w:p>
    <w:p>
      <w:pPr>
        <w:sectPr>
          <w:pgSz w:w="11900" w:h="16915" w:orient="portrait"/>
          <w:cols w:equalWidth="0" w:num="1">
            <w:col w:w="11240"/>
          </w:cols>
          <w:pgMar w:left="320" w:top="341" w:right="3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incurred under our quota share treaties. The lower the ceded loss ratio, the more contingent commission we received.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investment income was $3,412,000 in Nine Months 2022 compared to $5,138,000 in Nine Months 2021, a decrease of $1,726,000, or 33.6%. The decrease in investment income is attributable to a $766,000 reversal of prior years’ estimated accrued interest income stemming from an error in third party investment reporting. The decline of investment income is also attributable to the disposal of income bearing equity securities. The average yield on invested assets was 3.48% as of September 30, 2022 compared to 3.42% as of September 30, 2021.</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$192,229,000 as of September 30, 2022 compared to $246,004,000 as of September 30, 2021. The $53,775,000 decrease in cash and invested assets was primarily attributable to cash paid to reinsurers at the inception of the 2021/2023 Treaty, losses paid in connection with catastrophe losses incurred in 2021 and 2022 and unrealized losses on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on investments were $9,313,000 in Nine Months 2022 compared to net gains of $5,480,000 in Nine Months 2021. Unrealized losses on our equity securities and other investments in Nine Months 2022 were $10,502,000, compared to net gains of $2,603,000 in Nine Months 2021. Realized gains on sales of investments were $1,189,000 in Nine Months 2022 compared to $2,877,000 in Nine Months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was $750,000 in Nine Months 2022 compared to $577,000 in Nine Months 2021, an increase of $173,000, or 30.0%.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$63,625,000 for Nine Months 2022 compared to $79,060,000 for Nine Months 2021. The net loss ratio was 75.8% in Nine Months 2022 compared to 74.0% in Nine Months 2021, an increase of 1.8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Nine Months 2022, the loss ratio was higher than Nine Months 2021 due to water damage property claims which were primarily driven by winter-related water damage claims resulting from freezing temperature earlier during the year and the impact from climbing inflation leading to higher severity.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net catastrophe losses were $3,466,000 for Nine Months 2022, which contributed 4.1 points to the loss ratio. This is mostly driven by two winter events in the first quarter. There were also seven other minor wind catastrophe events during Nine Months 2022, but the impact was not significant. As a comparison, catastrophe events had a loss ratio impact of 11.5 points for Nine Months 2021 due to a more active hurricane season, including the named storm Ida.</w:t>
      </w:r>
    </w:p>
    <w:p>
      <w:pPr>
        <w:sectPr>
          <w:pgSz w:w="11900" w:h="16838" w:orient="portrait"/>
          <w:cols w:equalWidth="0" w:num="1">
            <w:col w:w="11240"/>
          </w:cols>
          <w:pgMar w:left="320" w:top="125" w:right="339" w:bottom="0" w:gutter="0" w:footer="0" w:header="0"/>
        </w:sectPr>
      </w:pPr>
    </w:p>
    <w:bookmarkStart w:id="31" w:name="page32"/>
    <w:bookmarkEnd w:id="31"/>
    <w:p>
      <w:pPr>
        <w:jc w:val="both"/>
        <w:ind w:right="20" w:firstLine="648"/>
        <w:spacing w:after="0" w:line="277" w:lineRule="auto"/>
        <w:rPr>
          <w:sz w:val="20"/>
          <w:szCs w:val="20"/>
          <w:color w:val="auto"/>
        </w:rPr>
      </w:pPr>
      <w:r>
        <w:rPr>
          <w:rFonts w:ascii="Arial" w:cs="Arial" w:eastAsia="Arial" w:hAnsi="Arial"/>
          <w:sz w:val="18"/>
          <w:szCs w:val="18"/>
          <w:color w:val="auto"/>
        </w:rPr>
        <w:t>Prior years in total have unfavorable development of $714,000 for Nine Months 2022, driven by large fire losses which occurred in 2021 and the volatility of liability claim settlements from the discontinued Commercial lines. This contributed 0.9 point to the loss ratio.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Commission expense was $25,534,000 in Nine Months 2022 or 18.1% of direct earned premiums. Commission expense was $24,711,000 in Nine Months 2021 or 19.2% of direct earned premiums. The increase of $823,000 was primarily due to an increase in direct earned premiums of $12,626,000 to $141,324,000 offset in part by a reduction of commission rate on our Select Products and the reduction to contingent commissions, which the producers now earn only if KICO has an operating profit.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Other underwriting expenses were $20,717,000, or 14.7% of direct earned premiums, in Nine Months 2022 compared to $19,723,000, or 15.3% of direct earned premiums, in Nine Months 2021. The increase of $994,000, or 5.0%, was primarily due to increases in expenses related to our growth in direct earned premiums, and the reduction as a percentage of direct earned premiums is due to our continuing initiative to reduce expenses with the use of technology.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$8,027,000 in Nine Months 2022 compared to $7,592,000 in Nine Months 2021. The increase of $435,000, or 5.7%, compares favorably with the 12.0% increase in direct written premiums. In the periods following Nine Months 2021, we invested in the hiring of higher-level managers and staff to implement our goals of modernization and efficiency, which we refer to as Kingstone 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underwriting expense ratio in Nine Months 2022 was 37.2% compared to 41.0% in Nine Months 2021.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7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0"/>
        </w:trPr>
        <w:tc>
          <w:tcPr>
            <w:tcW w:w="3500" w:type="dxa"/>
            <w:vAlign w:val="bottom"/>
            <w:vMerge w:val="restart"/>
          </w:tcPr>
          <w:p>
            <w:pPr>
              <w:spacing w:after="0"/>
              <w:rPr>
                <w:sz w:val="20"/>
                <w:szCs w:val="20"/>
                <w:color w:val="auto"/>
              </w:rPr>
            </w:pPr>
            <w:r>
              <w:rPr>
                <w:rFonts w:ascii="Arial" w:cs="Arial" w:eastAsia="Arial" w:hAnsi="Arial"/>
                <w:sz w:val="18"/>
                <w:szCs w:val="18"/>
                <w:color w:val="auto"/>
              </w:rPr>
              <w:t>Other underwriting expenses</w:t>
            </w:r>
          </w:p>
        </w:tc>
        <w:tc>
          <w:tcPr>
            <w:tcW w:w="378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Point Change</w:t>
            </w: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5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00" w:type="dxa"/>
            <w:vAlign w:val="bottom"/>
          </w:tcPr>
          <w:p>
            <w:pPr>
              <w:ind w:left="420"/>
              <w:spacing w:after="0"/>
              <w:rPr>
                <w:sz w:val="20"/>
                <w:szCs w:val="20"/>
                <w:color w:val="auto"/>
              </w:rPr>
            </w:pPr>
            <w:r>
              <w:rPr>
                <w:rFonts w:ascii="Arial" w:cs="Arial" w:eastAsia="Arial" w:hAnsi="Arial"/>
                <w:sz w:val="18"/>
                <w:szCs w:val="18"/>
                <w:color w:val="auto"/>
                <w:w w:val="97"/>
              </w:rPr>
              <w:t>Underwriting fees (inspections/surveys)</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5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500" w:type="dxa"/>
            <w:vAlign w:val="bottom"/>
          </w:tcPr>
          <w:p>
            <w:pPr>
              <w:ind w:left="420"/>
              <w:spacing w:after="0"/>
              <w:rPr>
                <w:sz w:val="20"/>
                <w:szCs w:val="20"/>
                <w:color w:val="auto"/>
              </w:rPr>
            </w:pPr>
            <w:r>
              <w:rPr>
                <w:rFonts w:ascii="Arial" w:cs="Arial" w:eastAsia="Arial" w:hAnsi="Arial"/>
                <w:sz w:val="18"/>
                <w:szCs w:val="18"/>
                <w:color w:val="auto"/>
              </w:rPr>
              <w:t>Profesional fees</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37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20"/>
              <w:spacing w:after="0"/>
              <w:rPr>
                <w:sz w:val="20"/>
                <w:szCs w:val="20"/>
                <w:color w:val="auto"/>
              </w:rPr>
            </w:pPr>
            <w:r>
              <w:rPr>
                <w:rFonts w:ascii="Arial" w:cs="Arial" w:eastAsia="Arial" w:hAnsi="Arial"/>
                <w:sz w:val="18"/>
                <w:szCs w:val="18"/>
                <w:color w:val="auto"/>
              </w:rPr>
              <w:t>Total other underwriting expenses</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color w:val="auto"/>
              </w:rPr>
              <w:t>24.6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Commission expense</w:t>
            </w:r>
          </w:p>
        </w:tc>
        <w:tc>
          <w:tcPr>
            <w:tcW w:w="5140" w:type="dxa"/>
            <w:vAlign w:val="bottom"/>
            <w:gridSpan w:val="3"/>
          </w:tcPr>
          <w:p>
            <w:pPr>
              <w:jc w:val="right"/>
              <w:ind w:right="260"/>
              <w:spacing w:after="0"/>
              <w:rPr>
                <w:sz w:val="20"/>
                <w:szCs w:val="20"/>
                <w:color w:val="auto"/>
              </w:rPr>
            </w:pPr>
            <w:r>
              <w:rPr>
                <w:rFonts w:ascii="Arial" w:cs="Arial" w:eastAsia="Arial" w:hAnsi="Arial"/>
                <w:sz w:val="18"/>
                <w:szCs w:val="18"/>
                <w:color w:val="auto"/>
              </w:rPr>
              <w:t>30.4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Provisional</w:t>
            </w:r>
          </w:p>
        </w:tc>
        <w:tc>
          <w:tcPr>
            <w:tcW w:w="5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500" w:type="dxa"/>
            <w:vAlign w:val="bottom"/>
          </w:tcPr>
          <w:p>
            <w:pPr>
              <w:ind w:left="420"/>
              <w:spacing w:after="0"/>
              <w:rPr>
                <w:sz w:val="20"/>
                <w:szCs w:val="20"/>
                <w:color w:val="auto"/>
              </w:rPr>
            </w:pPr>
            <w:r>
              <w:rPr>
                <w:rFonts w:ascii="Arial" w:cs="Arial" w:eastAsia="Arial" w:hAnsi="Arial"/>
                <w:sz w:val="18"/>
                <w:szCs w:val="18"/>
                <w:color w:val="auto"/>
              </w:rPr>
              <w:t>Contingent</w:t>
            </w:r>
          </w:p>
        </w:tc>
        <w:tc>
          <w:tcPr>
            <w:tcW w:w="37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3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37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5140" w:type="dxa"/>
            <w:vAlign w:val="bottom"/>
            <w:gridSpan w:val="3"/>
          </w:tcPr>
          <w:p>
            <w:pPr>
              <w:jc w:val="right"/>
              <w:ind w:right="1120"/>
              <w:spacing w:after="0"/>
              <w:rPr>
                <w:sz w:val="20"/>
                <w:szCs w:val="20"/>
                <w:color w:val="auto"/>
              </w:rPr>
            </w:pPr>
            <w:r>
              <w:rPr>
                <w:rFonts w:ascii="Arial" w:cs="Arial" w:eastAsia="Arial" w:hAnsi="Arial"/>
                <w:sz w:val="18"/>
                <w:szCs w:val="18"/>
                <w:i w:val="1"/>
                <w:iCs w:val="1"/>
                <w:color w:val="auto"/>
                <w:w w:val="95"/>
              </w:rPr>
              <w:t>(Components may not sum to totals due to rounding)</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overall 17.0 percentage point increase in the benefit from ceding commissions in Nine Months 2022 was driven by the increase in provisional ceding commission revenue due to the inception of the 2021/2023 Treaty on December 31, 2021. The components of our net underwriting expense ratio related to other underwriting expenses and commissions increased due to a higher percentage of our direct earned premiums in Nine Months 2022 being ceded due to the inception of the 2021/2023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operating expenses, related to the expenses of our holding company and Cosi, were $2,357,000 for Nine Months 2022 compared to $3,141,000 for Nine Months 2021. The following table shows a breakdown of the significant components of other operating expenses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Employement costs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Bonuses</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compensation</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Professional</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Griffin Highline fees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Directors fees</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Other expenses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0"/>
        </w:trPr>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operating expenses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Nine Months 2022 of $784,000, or 25.0%, as compared to Nine Months 2021 was primarily due to a decrease in employment costs. The decrease in employment costs was due to staff reductions and fluctuations in deferred compensation liability related to changes in the underlying invested portfolio. The decrease in employment costs was partially offset by an increase in professional fees attributable to the non-binding indication of interest from Griffin Highline, disclosed above as “Griffin Highline fees” incurred, related to a then contemplated acquisition of all of the outstanding equity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Depreciation and amortization was $2,472,000 in Nine Months 2022 compared to $2,480,000 in Nine Months 2021. The decrease of $8,000, or 0.3%, in depreciation and amortization was primarily due to assets previously put into service that are currently being utilized and being fully depreciated. The decrease was partially offset by the completion of customized policy management software, now allowing us to consolidate multiple legacy systems into one efficient system. In the last quarter of 2021, due to the extended useful life of assets related to our system platforms, Management determined that such systems, currently put into service, should be depreciated over five years reflecting their expected useful lives as compared to the previous three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was $1,370,000 for both Nine Months 2022 and Nine Months 2021.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Nine Months 2022 was $4,433,000, which resulted in an effective tax benefit rate of 19.3%. Income tax benefit in Nine Months 2021 was $2,817,000, which resulted in an effective tax rate of 22.7%. Loss before taxes was $23,007,000 in Nine Months 2022 compared to $12,423,000 in Nine Months 2021. The difference in effective tax rate is due to the effect of permanent differences in Nine Months 2022 compared to Nine Months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loss was $18,575,000 in Nine Months 2022 compared to $9,606,000 in Nine Months 2021. The increase in net loss of $8,969,000 was due to the circumstances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90"/>
              </w:rPr>
              <w:t>Three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54,592</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48,865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54,592</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quota share treaties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9,261.6%</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13,703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41,642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Ceded to quota share treaties (1)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13,210.0%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44,017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4,938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85"/>
        </w:trPr>
        <w:tc>
          <w:tcPr>
            <w:tcW w:w="5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41"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(7,442)</w:t>
            </w: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Ceding commission revenue (1)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4,886</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4,893</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Net (losses) gains on investments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(602)</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(3,421)</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30,514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23,538</w:t>
            </w: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6,976</w:t>
            </w: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Arial" w:cs="Arial" w:eastAsia="Arial" w:hAnsi="Arial"/>
                <w:sz w:val="18"/>
                <w:szCs w:val="18"/>
                <w:color w:val="auto"/>
              </w:rPr>
              <w:t>Total direct and assumed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(5,089)</w:t>
            </w: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Ceded loss and loss adjustment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8,841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ceded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2,544.0%</w:t>
            </w:r>
          </w:p>
        </w:tc>
      </w:tr>
      <w:tr>
        <w:trPr>
          <w:trHeight w:val="209"/>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Arial" w:cs="Arial" w:eastAsia="Arial" w:hAnsi="Arial"/>
                <w:sz w:val="18"/>
                <w:szCs w:val="18"/>
                <w:color w:val="auto"/>
                <w:w w:val="95"/>
              </w:rPr>
              <w:t>Loss and loss adjustment expenses excluding the effect of catastrophes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21,694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23,559</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(1,865)</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from catastrophes (2)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0"/>
        </w:trPr>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42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(13,712)</w:t>
            </w: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09"/>
        </w:trPr>
        <w:tc>
          <w:tcPr>
            <w:tcW w:w="59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8,702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8,202</w:t>
            </w: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5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(562)</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(3,061)</w:t>
            </w:r>
          </w:p>
        </w:tc>
        <w:tc>
          <w:tcPr>
            <w:tcW w:w="3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2,499</w:t>
            </w:r>
          </w:p>
        </w:tc>
        <w:tc>
          <w:tcPr>
            <w:tcW w:w="112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0"/>
        </w:trPr>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(Columns in the table above may not sum to totals due to rounding)</w:t>
      </w:r>
    </w:p>
    <w:p>
      <w:pPr>
        <w:spacing w:after="0" w:line="2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December 31, 2021, we entered into a 30% personal lines quota share treaty.</w:t>
      </w:r>
    </w:p>
    <w:p>
      <w:pPr>
        <w:spacing w:after="0" w:line="23"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three months ended September 30,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3"/>
              </w:rPr>
              <w:t>Three months ended September 30,</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8"/>
              </w:rPr>
              <w:t>Percentage</w:t>
            </w:r>
          </w:p>
        </w:tc>
        <w:tc>
          <w:tcPr>
            <w:tcW w:w="11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Point Change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Key ratios:</w:t>
            </w: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Net underwriting expense ratio</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combined ratio</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Direct written premiums during the three months ended September 30, 2022 (“Three Months 2022”) were $54,592,000 compared to $48,865,000 during the three months ended September 30, 2021 (“Three Months 2021”). The increase of $5,727,000, or 11.7%, was primarily due an increase in premiums from our personal lines business. Direct written premiums from our personal lines business for Three Months 2022 were $51,242,000, an increase of $5,258,000, or 11.4%, from $45,984,000 in Three Months 2021. The increase in premiums from our personal lines business was primarily due to rate increases, and, to a lesser extent, an increase in policies in force. Direct written premiums from our livery physical damage business for Three Months 2022 were $3,310,000, an increase of $496,000, or 17.6%, from $2,814,000 in Three Months 2021. The increase in livery physical damage direct written premiums was due to the declining effect of the COVID-19 pandemic in our geographic area.</w:t>
      </w:r>
    </w:p>
    <w:p>
      <w:pPr>
        <w:spacing w:after="0" w:line="177" w:lineRule="exact"/>
        <w:rPr>
          <w:sz w:val="20"/>
          <w:szCs w:val="20"/>
          <w:color w:val="auto"/>
        </w:rPr>
      </w:pPr>
    </w:p>
    <w:p>
      <w:pPr>
        <w:jc w:val="both"/>
        <w:ind w:firstLine="936"/>
        <w:spacing w:after="0" w:line="279"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$43,949,000 in Three Months 2022 compared to $35,459,000 in Three Months 2021. Direct written premiums from our Expansion business were $10,642,000 in Three Months 2022 compared to $13,406,000 in Three Months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ectPr>
          <w:pgSz w:w="11900" w:h="16838" w:orient="portrait"/>
          <w:cols w:equalWidth="0" w:num="1">
            <w:col w:w="11240"/>
          </w:cols>
          <w:pgMar w:left="320" w:top="140" w:right="339" w:bottom="0" w:gutter="0" w:footer="0" w:header="0"/>
        </w:sectPr>
      </w:pPr>
    </w:p>
    <w:bookmarkStart w:id="34" w:name="page35"/>
    <w:bookmarkEnd w:id="34"/>
    <w:p>
      <w:pPr>
        <w:jc w:val="both"/>
        <w:ind w:firstLine="648"/>
        <w:spacing w:after="0" w:line="254" w:lineRule="auto"/>
        <w:rPr>
          <w:sz w:val="20"/>
          <w:szCs w:val="20"/>
          <w:color w:val="auto"/>
        </w:rPr>
      </w:pPr>
      <w:r>
        <w:rPr>
          <w:rFonts w:ascii="Arial" w:cs="Arial" w:eastAsia="Arial" w:hAnsi="Arial"/>
          <w:sz w:val="18"/>
          <w:szCs w:val="18"/>
          <w:color w:val="auto"/>
        </w:rPr>
        <w:t>Effective December 31, 2021, we entered into a quota share reinsurance treaty for our personal lines business covering the period from December 31, 2021 through January 1, 2023 (“2021/2023 Treaty”). There was no quota share reinsurance treaty in effect in Three Months 2021. Net written premiums decreased $7,976,000, or 19.2%, to $33,666,000 in Three Months 2022 from $41,642,000 in Three Months 2021. Net written premiums include direct and assumed premiums, less the amount of written premiums ceded under our reinsurance treaties (quota share, excess of loss, and catastrophe). In Three Months 2022, our premiums ceded under quota share treaties increased by $12,781,000 in comparison to ceded premiums in Three Months 2021 (see table above). Our personal lines business was subject to the 2021/2023 Treaty in Three Months 2022, compared to no personal lines quota share treaty in Three Months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2022, our ceded excess of loss reinsurance premiums increased by $196,000 over the comparable ceded premiums for Three Months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Catastrophe reinsurance treaties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2022, our premiums ceded under catastrophe treaties increased by $726,000 over the comparable ceded premiums in Three Months 2021. Effective July 1, 2020, and continuing through June 30, 2021, our ceded catastrophe premiums were paid based on the total insured value of our risks calculated as of August 31, 2020. Effective July 1, 2021, and continuing through June 30, 2022, our ceded catastrophe premiums were paid based on the total insured value of our risks as of August 31, 2021. Effective July 1, 2022, and continuing through June 30, 2023, our ceded catastrophe premiums will be paid based on the total insured value of our risks as of August 31, 2022.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premiums earned decreased $7,442,000, or 20.2%, to $29,361,000 in Three Months 2022 from $36,803,000 in Three Months 2021. The decrease was due to the inception of the 2021/2023 Treaty on December 31, 2021. The decrease resulting from the 2021/2023 Treaty in Three Months 2022 was partially offset by an increase in direct written premium.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w w:val="89"/>
              </w:rPr>
              <w:t>Three months ended September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100" w:type="dxa"/>
            <w:vAlign w:val="bottom"/>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11,807.3%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Contingent ceding commissions earned</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Total ceding commission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4,886</w:t>
            </w:r>
          </w:p>
        </w:tc>
        <w:tc>
          <w:tcPr>
            <w:tcW w:w="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(61,175.0)%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Ceding commission revenue was $4,886,000 in Three Months 2022 compared to $(7,000) in Three Months 2021. The increase of $4,893,000 was due to an increase in provisional ceding commissions earned resulting from the 2021/2023 Treaty. See below for a discussion of provisional ceding commissions earned and contingent ceding commissions earned.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Three Months 2022 we earned provisional ceding commissions from personal lines earned premiums ceded under the 2021/2023 Treaty which was effective as of December 31, 2021. There was no personal lines quota share in effect in Three Months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structure of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investment income was $1,419,000 in Three Months 2022 compared to $1,677,000 in Three Months 2021, a decrease of $258,000, or 15.4%. The decrease in investment income is attributable to the disposal of income bearing equity securities. The average yield on invested assets was 3.48% as of September 30, 2022 compared to 3.42% as of September 30, 2021.</w:t>
      </w:r>
    </w:p>
    <w:p>
      <w:pPr>
        <w:sectPr>
          <w:pgSz w:w="11900" w:h="16838" w:orient="portrait"/>
          <w:cols w:equalWidth="0" w:num="1">
            <w:col w:w="11240"/>
          </w:cols>
          <w:pgMar w:left="320" w:top="125" w:right="339" w:bottom="0" w:gutter="0" w:footer="0" w:header="0"/>
        </w:sectPr>
      </w:pPr>
    </w:p>
    <w:bookmarkStart w:id="35" w:name="page36"/>
    <w:bookmarkEnd w:id="35"/>
    <w:p>
      <w:pPr>
        <w:spacing w:after="0" w:line="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invested assets were $192,229,000 as of September 30, 2022 compared to $246,004,000 as of September 30, 2021 The $53,775,000 decrease in cash and invested assets was primarily attributable to cash paid to reinsurers at the inception of the 2021/2023 Treaty, losses paid in connection with catastrophe losses incurred in 2021 and 2022, and unrealized losses on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losses on investments were $398,000 in Three Months 2022 compared to net gains of $205,000 in Three Months 2021. Unrealized losses on our equity securities and other investments in Three Months 2022 were $1,798,000, compared to $829,000 in Three Months 2021. Realized gains on sales of investments were $1,400,000 in Three Months 2022 compared to $1,033,000 in Three Months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income was $270,000 in Three Months 2022 compared to $281,000 in Three Months 2021, a decrease of $11,000, or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and LAE was $22,028,000 for Three Months 2022 compared to $35,740,000 for Three Months 2021. The net loss ratio was 75.0% in Three Months 2022 compared to 97.1% in Three Months 2021, a decrease of 22.1 percentage points.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271770" cy="3943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717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Three Months 2022, the loss ratio was lower than Three Months 2021 mainly due to a lower impact of catastrophe losses. There were only two minor wind events classified as catastrophe for Three Months 2022. The estimated total net catastrophe losses for the calendar quarter were $334,000, which contributed 1.1 points to the loss ratio. This compares to a 33.1-point impact from catastrophe events from the corresponding period from the prior year, which had more significant named storms, including Ida.</w:t>
      </w:r>
    </w:p>
    <w:p>
      <w:pPr>
        <w:spacing w:after="0" w:line="187" w:lineRule="exact"/>
        <w:rPr>
          <w:sz w:val="20"/>
          <w:szCs w:val="20"/>
          <w:color w:val="auto"/>
        </w:rPr>
      </w:pPr>
    </w:p>
    <w:p>
      <w:pPr>
        <w:jc w:val="both"/>
        <w:ind w:firstLine="711"/>
        <w:spacing w:after="0" w:line="263" w:lineRule="auto"/>
        <w:rPr>
          <w:sz w:val="20"/>
          <w:szCs w:val="20"/>
          <w:color w:val="auto"/>
        </w:rPr>
      </w:pPr>
      <w:r>
        <w:rPr>
          <w:rFonts w:ascii="Arial" w:cs="Arial" w:eastAsia="Arial" w:hAnsi="Arial"/>
          <w:sz w:val="18"/>
          <w:szCs w:val="18"/>
          <w:color w:val="auto"/>
        </w:rPr>
        <w:t>The underlying loss ratio (loss ratio excluding the impact of catastrophe and prior year development) was 72.4% for Three Months 2022, an increase of 8.4 points from the 64.0% underlying loss ratio recorded for Three Months 2021. The higher 2022 loss ratio was primarily due to a general increase in property claims severity, which is likely a result of recent increased inflation.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years in total have unfavorable development of $443,000 for Three Months 2022, driven by the volatility of liability claim settlements from the discontinued Commercial 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72"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00EE"/>
        </w:rPr>
        <w:t>Table of Contents</w:t>
      </w:r>
    </w:p>
    <w:p>
      <w:pPr>
        <w:sectPr>
          <w:pgSz w:w="11900" w:h="16872" w:orient="portrait"/>
          <w:cols w:equalWidth="0" w:num="1">
            <w:col w:w="11240"/>
          </w:cols>
          <w:pgMar w:left="320" w:top="125" w:right="3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Commission Expense</w:t>
      </w:r>
    </w:p>
    <w:p>
      <w:pPr>
        <w:spacing w:after="0" w:line="225"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Commission expense increased $500,000 to $8,702,000, or 17.8% of direct earned premiums in Three Months 2022. Commission expense was $8,202,000 in Three Months 2021 or 18.6% of direct earned premiums. The increase was due to an increase in direct earned premiums of $5,727,000 to $54,592,000, offset in part by a reduction in the commission rate on our Select Products and the reduction in contingent commissions, which producers now earn only if KICO has an underwriting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underwriting expenses were $7,276,000, or 14.9% of direct earned premiums, in Three Months 2022 compared to $6,563,000, or 14.9% of direct earned premiums, in Three Months 2021. The increase of $713,000, or 10.9%, was primarily due to increases in expenses related to our growth in direct earned premiums, salaries, and our continuing initiative to reduce expenses with the use of technology, partially offset by decreases in professional fees and state insurance department fees.</w:t>
      </w:r>
    </w:p>
    <w:p>
      <w:pPr>
        <w:spacing w:after="0" w:line="187" w:lineRule="exact"/>
        <w:rPr>
          <w:sz w:val="20"/>
          <w:szCs w:val="20"/>
          <w:color w:val="auto"/>
        </w:rPr>
      </w:pPr>
    </w:p>
    <w:p>
      <w:pPr>
        <w:jc w:val="both"/>
        <w:ind w:firstLine="703"/>
        <w:spacing w:after="0" w:line="259"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$2,961,000 in Three Months 2022 compared to $2,513,000 in Three Months 2021. The increase of $448,000, or 17.8%, is greater than the 11.7% increase in direct written premiums. In the periods following Three Months 2021, we invested in the hiring of higher-level managers and staff to implement our goals of modernization and efficiency, which we refer to as Kingstone 2.0.</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net underwriting expense ratio in Three Months 2022 was 36.9% compared to 39.3% in Three Months 2021. The following table shows the individual components of our net underwriting expense ratio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7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8"/>
              </w:rPr>
              <w:t>Three months ended September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09"/>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Other underwriting expenses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Point Change</w:t>
            </w: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Employment costs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420"/>
              <w:spacing w:after="0"/>
              <w:rPr>
                <w:sz w:val="20"/>
                <w:szCs w:val="20"/>
                <w:color w:val="auto"/>
              </w:rPr>
            </w:pPr>
            <w:r>
              <w:rPr>
                <w:rFonts w:ascii="Arial" w:cs="Arial" w:eastAsia="Arial" w:hAnsi="Arial"/>
                <w:sz w:val="18"/>
                <w:szCs w:val="18"/>
                <w:color w:val="auto"/>
              </w:rPr>
              <w:t>Underwriting fees (inspections/surveys)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IT expenses</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gridSpan w:val="3"/>
          </w:tcPr>
          <w:p>
            <w:pPr>
              <w:ind w:left="420"/>
              <w:spacing w:after="0"/>
              <w:rPr>
                <w:sz w:val="20"/>
                <w:szCs w:val="20"/>
                <w:color w:val="auto"/>
              </w:rPr>
            </w:pPr>
            <w:r>
              <w:rPr>
                <w:rFonts w:ascii="Arial" w:cs="Arial" w:eastAsia="Arial" w:hAnsi="Arial"/>
                <w:sz w:val="18"/>
                <w:szCs w:val="18"/>
                <w:color w:val="auto"/>
              </w:rPr>
              <w:t>Profesional fees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ind w:left="220"/>
              <w:spacing w:after="0"/>
              <w:rPr>
                <w:sz w:val="20"/>
                <w:szCs w:val="20"/>
                <w:color w:val="auto"/>
              </w:rPr>
            </w:pPr>
            <w:r>
              <w:rPr>
                <w:rFonts w:ascii="Arial" w:cs="Arial" w:eastAsia="Arial" w:hAnsi="Arial"/>
                <w:sz w:val="18"/>
                <w:szCs w:val="18"/>
                <w:color w:val="auto"/>
              </w:rPr>
              <w:t>Total other underwriting expenses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Commission expense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Ceding commission revenue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Provisional</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280" w:type="dxa"/>
            <w:vAlign w:val="bottom"/>
            <w:gridSpan w:val="2"/>
          </w:tcPr>
          <w:p>
            <w:pPr>
              <w:ind w:left="420"/>
              <w:spacing w:after="0"/>
              <w:rPr>
                <w:sz w:val="20"/>
                <w:szCs w:val="20"/>
                <w:color w:val="auto"/>
              </w:rPr>
            </w:pPr>
            <w:r>
              <w:rPr>
                <w:rFonts w:ascii="Arial" w:cs="Arial" w:eastAsia="Arial" w:hAnsi="Arial"/>
                <w:sz w:val="18"/>
                <w:szCs w:val="18"/>
                <w:color w:val="auto"/>
              </w:rPr>
              <w:t>Contingent</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ceding commission revenue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28"/>
        </w:trPr>
        <w:tc>
          <w:tcPr>
            <w:tcW w:w="7280" w:type="dxa"/>
            <w:vAlign w:val="bottom"/>
            <w:tcBorders>
              <w:top w:val="single" w:sz="8" w:color="CCEEFF"/>
              <w:bottom w:val="single" w:sz="8" w:color="auto"/>
            </w:tcBorders>
            <w:gridSpan w:val="2"/>
          </w:tcPr>
          <w:p>
            <w:pPr>
              <w:ind w:left="5540"/>
              <w:spacing w:after="0"/>
              <w:rPr>
                <w:sz w:val="20"/>
                <w:szCs w:val="20"/>
                <w:color w:val="auto"/>
              </w:rPr>
            </w:pPr>
            <w:r>
              <w:rPr>
                <w:rFonts w:ascii="Arial" w:cs="Arial" w:eastAsia="Arial" w:hAnsi="Arial"/>
                <w:sz w:val="18"/>
                <w:szCs w:val="18"/>
                <w:color w:val="auto"/>
              </w:rPr>
              <w:t>57</w:t>
            </w:r>
          </w:p>
        </w:tc>
        <w:tc>
          <w:tcPr>
            <w:tcW w:w="7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67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overall 16.6 percentage point increase in the benefit from ceding commissions in Three Months 2022 was driven by the increase in provisional ceding commission revenue due to the inception of the 2021/2023 Treaty on December 31, 2021. The components of our net underwriting expense ratio related to other underwriting expenses and commissions increased due to a higher percentage of our direct earned premiums in Three Months 2022 being ceded due to the inception of the 2021/2023 Treaty.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operating expenses, related to the expenses of our holding company and Cosi, were $810,000 for Three Months 2022 compared to $855,000 for Three Months 2021. The following table shows a breakdown of the significant components of other operating expenses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Percent</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Employement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Bonuses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compensation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594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Professional</w:t>
            </w: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Griffin Highline fees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Total other operating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25" w:lineRule="exact"/>
        <w:rPr>
          <w:sz w:val="20"/>
          <w:szCs w:val="20"/>
          <w:color w:val="auto"/>
        </w:rPr>
      </w:pPr>
    </w:p>
    <w:p>
      <w:pPr>
        <w:ind w:firstLine="607"/>
        <w:spacing w:after="0" w:line="257" w:lineRule="auto"/>
        <w:rPr>
          <w:sz w:val="20"/>
          <w:szCs w:val="20"/>
          <w:color w:val="auto"/>
        </w:rPr>
      </w:pPr>
      <w:r>
        <w:rPr>
          <w:rFonts w:ascii="Arial" w:cs="Arial" w:eastAsia="Arial" w:hAnsi="Arial"/>
          <w:sz w:val="18"/>
          <w:szCs w:val="18"/>
          <w:color w:val="auto"/>
        </w:rPr>
        <w:t>The decrease in Three Months 2022 of $45,000, or 5.3%, as compared to Three Months 2021 was primarily due to a decrease in employment costs. The decrease in employment costs was due to staff reductions and fluctuations in deferred compensation liability related to changes in the underlying invested portfolio. The decrease in employment costs was partially offset by an increase in professional fees attributable to the non-binding indication of interest from Griffin Highline, disclosed above as “Griffin Highline fees” incurred, related to a then contemplated acquisition of all of the outstanding equity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Depreciation and amortization was $825,000 in Three Months 2022 compared to $820,000 in Three Months 2021. The increase of $5,000, or 0.6%, in depreciation and amortization was primarily due to the completion of customized policy management software, now allowing us to consolidate multiple legacy systems into one efficient system. The increase from the assets currently placed in service in Three Months 2022 was partially offset by a decrease in depreciation and amortization from assets previously put into service that are currently being utilized and being fully depreciated. In the last quarter of 2021, due to the extended useful life of assets related to our system platforms, Management determined that such systems, currently put into service, should be depreciated over five years reflecting their expected useful lives as compared to the previous three years.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was $457,000 for both Three Months 2022 and Three Months 2021. We incurred interest expense in connection with our $30.0 million issuance of long-term debt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in Three Months 2022 was $562,000, which resulted in an effective tax benefit rate of 20.7%. Income tax expense in Three Months 2021 was $312,000, which resulted in an effective tax rate of 13.3%. Loss before taxes was $4,559,000 in Three Months 2022 compared to $13,679,000 in Three Months 2021. The difference in effective tax rate is due to the effect of permanent differences in Three Months 2022 compared to Three Months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was $3,998,000 in Three Months 2022 compared to $10,618,000 in Three Months 2021. The decrease in net loss of $6,619,000 was due to the circumstances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premiums written:</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51,242,544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45,984,939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138,197,960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124,593,302</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3,309,845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2,813,571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9,036,713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6,836,999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66,659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180,485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54,591,551</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48,865,169</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147,353,911</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131,610,786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gross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54,591,551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48,865,169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147,353,911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131,609,930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premiums written: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30,327,951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38,762,235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79,487,201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102,741,368</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3,309,845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2,813,571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9,036,713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6,836,999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28,374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178,021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33,666,170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41,641,643</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88,610,138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109,756,388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net premiums written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33,666,170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41,641,643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88,610,138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109,755,532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26,407,939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34,715,708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75,747,009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101,054,415</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2,920,335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2,028,786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8,082,173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5,598,605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32,702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58,757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107,242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176,731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29,360,976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36,803,251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83,936,424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106,829,751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Total 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29,360,976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36,803,251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83,936,424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106,828,895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19,512,893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32,958,728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56,296,473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72,353,668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1,716,383</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1,766,989</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3,727,175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3,469,465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180,995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434,816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126,560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867,675</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2,870,115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2,783,547</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21,365,330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35,774,387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62,878,890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79,041,496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662,186</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(34,152)</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745,865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18,621</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loss and loss adjustment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35,740,235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63,624,755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79,060,117</w:t>
            </w:r>
          </w:p>
        </w:tc>
      </w:tr>
      <w:tr>
        <w:trPr>
          <w:trHeight w:val="197"/>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Personal lines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308.0%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246.0%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without commercial lines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ind w:left="460" w:right="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 in quota share ceding rate, effective December 31, 2021.</w:t>
      </w:r>
    </w:p>
    <w:p>
      <w:pPr>
        <w:ind w:left="460" w:hanging="452"/>
        <w:spacing w:after="0" w:line="26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above with regard to “Net Loss and LAE”, as to catastrophe losses in the three months and nine months ended September 30, 2022 and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5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425"/>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36,803,251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83,936,424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106,828,895</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4,886,094</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14,283,077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37,400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1,418,521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1,676,596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3,411,946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5,137,867</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(losses) gains on investments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(366,411)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214,085</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(9,098,008)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5,380,909</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322,705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740,424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617,257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35,568,477</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39,009,361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93,273,863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118,002,328</w:t>
            </w:r>
          </w:p>
        </w:tc>
      </w:tr>
      <w:tr>
        <w:trPr>
          <w:trHeight w:val="210"/>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35,740,235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63,624,755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79,060,117</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8,702,190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8,201,935</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25,534,307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24,711,115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7,276,101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6,562,743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20,717,047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19,722,705</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803,568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780,906</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2,430,769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2,374,203</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38,809,375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51,285,819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112,306,878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125,868,140</w:t>
            </w:r>
          </w:p>
        </w:tc>
      </w:tr>
      <w:tr>
        <w:trPr>
          <w:trHeight w:val="210"/>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income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(3,240,898)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(12,276,458)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(19,033,015)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(7,865,812)</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(345,080)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(2,633,026)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(3,702,374)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(1,812,195)</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(2,895,818)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(9,643,432)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(15,330,641)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(6,053,617)</w:t>
            </w:r>
          </w:p>
        </w:tc>
      </w:tr>
      <w:tr>
        <w:trPr>
          <w:trHeight w:val="196"/>
        </w:trPr>
        <w:tc>
          <w:tcPr>
            <w:tcW w:w="58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loss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14,764,678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46,251,354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44,433,820</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(4,886,094)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7,276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(14,283,077)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(322,705)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(740,424)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Net underwriting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10,822,900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14,449,249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31,227,853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43,779,163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36,803,251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83,936,424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106,828,895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4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Direct</w:t>
            </w: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Assumed</w:t>
            </w: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Ceded</w:t>
            </w:r>
          </w:p>
        </w:tc>
        <w:tc>
          <w:tcPr>
            <w:tcW w:w="14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147,353,911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(58,743,773)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88,610,138</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(6,029,774)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1,356,060</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(4,673,714)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141,324,137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(57,387,713)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83,936,424</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83,345,972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(23,186,898)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60,159,074</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7,509,597</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(4,043,916)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3,465,681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90,855,569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(27,230,814)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63,624,755</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131,609,930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(21,854,398)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109,755,532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(2,911,439)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(2,926,637)</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128,698,491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(21,869,596)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106,828,895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67,633,915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(860,490)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66,773,425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12,647,172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12,286,692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80,281,087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(1,220,970)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79,060,117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Written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54,591,551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(20,925,381)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33,666,170</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Change in unearned premiums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(5,636,421)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1,331,227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(4,305,194)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48,955,130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(19,594,154)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29,360,976</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30,513,819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(8,820,270)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21,693,549</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477,127</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(143,160)</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333,967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30,990,946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(8,963,430)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22,027,516</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ratio</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Written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48,865,169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(7,223,526)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41,641,643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(4,848,145)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(4,838,392)</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Earned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44,017,024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(7,213,773)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36,803,251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23,537,875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23,559,114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12,541,601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(360,480)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12,181,121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36,079,476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(339,241)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35,740,235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Loss ratio excluding the effect of catastrophes</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Catastrophe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Loss ratio</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21"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Nine Months ended</w:t>
            </w:r>
          </w:p>
        </w:tc>
      </w:tr>
      <w:tr>
        <w:trPr>
          <w:trHeight w:val="234"/>
        </w:trPr>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bl>
    <w:p>
      <w:pPr>
        <w:sectPr>
          <w:pgSz w:w="11900" w:h="16838" w:orient="portrait"/>
          <w:cols w:equalWidth="0" w:num="1">
            <w:col w:w="11240"/>
          </w:cols>
          <w:pgMar w:left="320" w:top="557" w:right="3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36,803,251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83,936,424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106,828,895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4,886,094</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14,283,077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37,400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269,297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322,705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740,424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617,257</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22,027,516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35,740,235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63,624,755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79,060,117</w:t>
            </w:r>
          </w:p>
        </w:tc>
      </w:tr>
      <w:tr>
        <w:trPr>
          <w:trHeight w:val="216"/>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8,702,190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8,201,935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25,534,307</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24,711,115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7,276,101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6,562,743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20,717,047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19,722,705</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acquisition costs and other underwriting expenses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14,764,678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46,251,354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44,433,820</w:t>
            </w:r>
          </w:p>
        </w:tc>
      </w:tr>
      <w:tr>
        <w:trPr>
          <w:trHeight w:val="209"/>
        </w:trPr>
        <w:tc>
          <w:tcPr>
            <w:tcW w:w="5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Underwriting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(3,489,440)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(13,386,233)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(10,916,184)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(16,010,385)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Key Measures: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Effect of catastrophe loss on net loss ratio (1)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r>
        <w:trPr>
          <w:trHeight w:val="209"/>
        </w:trPr>
        <w:tc>
          <w:tcPr>
            <w:tcW w:w="5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 excluding the effect of catastrophes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Effect of catastrophe loss on 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5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Arial" w:cs="Arial" w:eastAsia="Arial" w:hAnsi="Arial"/>
                <w:sz w:val="18"/>
                <w:szCs w:val="18"/>
                <w:color w:val="auto"/>
              </w:rPr>
              <w:t>Net combined ratio excluding the effect of catastrophes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108.9%</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catastrophe loss on net combined ratio (1)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Net combined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Reconciliation of net underwriting expense ratio:</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and other underwriting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15,978,291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14,764,678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46,251,354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44,433,820</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Less: Ceding commission revenue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(4,886,094)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7,276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(14,283,077)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(37,400)</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(322,705)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(740,424)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(617,257)</w:t>
            </w: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10,822,900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14,449,249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31,227,853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43,779,163</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earned premium</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29,360,976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36,803,251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83,936,424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106,828,895</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Underwriting Expense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three months ended September 30, 2022 and 2021, includes the sum of net catastrophe losses and loss adjustment expenses of $333,967 and $12,181,121, respectively. For the nine months ended September 30, 2022 and 2021, includes the sum of net catastrophe losses and loss adjustment expenses of $3,465,681 and $12,286,692,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Fixed-Maturity Securities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September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b w:val="1"/>
                <w:bCs w:val="1"/>
                <w:color w:val="auto"/>
                <w:w w:val="89"/>
              </w:rPr>
              <w:t>September 30, 2022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Cost or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2"/>
              <w:spacing w:after="0" w:line="191"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U.S. Treasury securities and obligations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0"/>
              </w:rPr>
              <w:t>U.S. government corporations and agencies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9,946,032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9,946,839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Political subdivisions of States, Territories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and Possessions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17,117,473</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(3,250,196)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(590,936)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13,276,341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Corporate and other bonds Industrial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84,163,055</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(9,154,182)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(269,694)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74,739,179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 other asset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54,307,907</w:t>
            </w:r>
          </w:p>
        </w:tc>
        <w:tc>
          <w:tcPr>
            <w:tcW w:w="2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68,159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(4,333,707)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(2,699,011)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47,343,348</w:t>
            </w: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backed securities (1)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Total fixed-maturity securities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165,534,467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69,089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80"/>
              <w:spacing w:after="0" w:line="223" w:lineRule="exact"/>
              <w:rPr>
                <w:sz w:val="20"/>
                <w:szCs w:val="20"/>
                <w:color w:val="auto"/>
              </w:rPr>
            </w:pPr>
            <w:r>
              <w:rPr>
                <w:rFonts w:ascii="Arial" w:cs="Arial" w:eastAsia="Arial" w:hAnsi="Arial"/>
                <w:sz w:val="14"/>
                <w:szCs w:val="14"/>
                <w:color w:val="auto"/>
              </w:rPr>
              <w:t>(16,738,208</w:t>
            </w:r>
            <w:r>
              <w:rPr>
                <w:rFonts w:ascii="Arial" w:cs="Arial" w:eastAsia="Arial" w:hAnsi="Arial"/>
                <w:sz w:val="25"/>
                <w:szCs w:val="25"/>
                <w:color w:val="auto"/>
                <w:vertAlign w:val="subscript"/>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23" w:lineRule="exact"/>
              <w:rPr>
                <w:sz w:val="20"/>
                <w:szCs w:val="20"/>
                <w:color w:val="auto"/>
              </w:rPr>
            </w:pPr>
            <w:r>
              <w:rPr>
                <w:rFonts w:ascii="Arial" w:cs="Arial" w:eastAsia="Arial" w:hAnsi="Arial"/>
                <w:sz w:val="14"/>
                <w:szCs w:val="14"/>
                <w:color w:val="auto"/>
              </w:rPr>
              <w:t>(3,559,641</w:t>
            </w:r>
            <w:r>
              <w:rPr>
                <w:rFonts w:ascii="Arial" w:cs="Arial" w:eastAsia="Arial" w:hAnsi="Arial"/>
                <w:sz w:val="25"/>
                <w:szCs w:val="25"/>
                <w:color w:val="auto"/>
                <w:vertAlign w:val="subscript"/>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145,305,707</w:t>
            </w:r>
          </w:p>
        </w:tc>
        <w:tc>
          <w:tcPr>
            <w:tcW w:w="1160" w:type="dxa"/>
            <w:vAlign w:val="bottom"/>
            <w:gridSpan w:val="2"/>
          </w:tcPr>
          <w:p>
            <w:pPr>
              <w:jc w:val="right"/>
              <w:ind w:right="20"/>
              <w:spacing w:after="0" w:line="223" w:lineRule="exact"/>
              <w:rPr>
                <w:sz w:val="20"/>
                <w:szCs w:val="20"/>
                <w:color w:val="auto"/>
              </w:rPr>
            </w:pPr>
            <w:r>
              <w:rPr>
                <w:rFonts w:ascii="Arial" w:cs="Arial" w:eastAsia="Arial" w:hAnsi="Arial"/>
                <w:sz w:val="14"/>
                <w:szCs w:val="14"/>
                <w:color w:val="auto"/>
              </w:rPr>
              <w:t>100.0</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w:t>
        <w:tab/>
        <w:t>KICO has placed certain residential mortgage backed securities as eligible collateral in a designated custodian account related to its</w:t>
      </w:r>
    </w:p>
    <w:p>
      <w:pPr>
        <w:sectPr>
          <w:pgSz w:w="11900" w:h="16838" w:orient="portrait"/>
          <w:cols w:equalWidth="0" w:num="1">
            <w:col w:w="11240"/>
          </w:cols>
          <w:pgMar w:left="320" w:top="356" w:right="339" w:bottom="0" w:gutter="0" w:footer="0" w:header="0"/>
        </w:sectPr>
      </w:pPr>
    </w:p>
    <w:bookmarkStart w:id="41" w:name="page42"/>
    <w:bookmarkEnd w:id="41"/>
    <w:p>
      <w:pPr>
        <w:spacing w:after="0" w:line="44" w:lineRule="exact"/>
        <w:rPr>
          <w:sz w:val="20"/>
          <w:szCs w:val="20"/>
          <w:color w:val="auto"/>
        </w:rPr>
      </w:pPr>
    </w:p>
    <w:p>
      <w:pPr>
        <w:jc w:val="both"/>
        <w:ind w:left="900"/>
        <w:spacing w:after="0" w:line="279" w:lineRule="auto"/>
        <w:rPr>
          <w:sz w:val="20"/>
          <w:szCs w:val="20"/>
          <w:color w:val="auto"/>
        </w:rPr>
      </w:pPr>
      <w:r>
        <w:rPr>
          <w:rFonts w:ascii="Arial" w:cs="Arial" w:eastAsia="Arial" w:hAnsi="Arial"/>
          <w:sz w:val="17"/>
          <w:szCs w:val="17"/>
          <w:color w:val="auto"/>
        </w:rPr>
        <w:t>membership in the Federal Home Loan Bank of New York ("FHLBNY") (see Note 7 to the condensed consolidated financial statements). The eligible collateral would be pledged to FHLBNY if KICO draws an advance from the FHLBNY credit line. As of September 30, 2022, the estimated fair value of the eligible investments was approximately $12,393,000. KICO will retain all rights regarding all securities if pledged as collateral. As of September 30, 2022, there was no outstanding balance on the FHLBNY credit line.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8"/>
                <w:szCs w:val="18"/>
                <w:b w:val="1"/>
                <w:bCs w:val="1"/>
                <w:color w:val="auto"/>
                <w:w w:val="91"/>
              </w:rPr>
              <w:t>December 31,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Cost or</w:t>
            </w: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8"/>
              </w:rPr>
              <w:t>Gross Unrealized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More than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9"/>
        </w:trPr>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5"/>
              </w:rPr>
              <w:t>Political subdivisions of States, Territories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and Possessions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17,236,750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246,748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17,285,514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80,534,769</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2,603,411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(126,926)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83,011,254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4"/>
          </w:tcPr>
          <w:p>
            <w:pPr>
              <w:spacing w:after="0" w:line="201" w:lineRule="exact"/>
              <w:rPr>
                <w:sz w:val="20"/>
                <w:szCs w:val="20"/>
                <w:color w:val="auto"/>
              </w:rPr>
            </w:pPr>
            <w:r>
              <w:rPr>
                <w:rFonts w:ascii="Arial" w:cs="Arial" w:eastAsia="Arial" w:hAnsi="Arial"/>
                <w:sz w:val="18"/>
                <w:szCs w:val="18"/>
                <w:color w:val="auto"/>
              </w:rPr>
              <w:t>Residential mortgage and other asset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58,036,959</w:t>
            </w:r>
          </w:p>
        </w:tc>
        <w:tc>
          <w:tcPr>
            <w:tcW w:w="2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355,985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(489,258)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(120,344)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7"/>
              </w:rPr>
              <w:t>57,783,342</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7"/>
        </w:trPr>
        <w:tc>
          <w:tcPr>
            <w:tcW w:w="3200" w:type="dxa"/>
            <w:vAlign w:val="bottom"/>
            <w:gridSpan w:val="4"/>
          </w:tcPr>
          <w:p>
            <w:pPr>
              <w:spacing w:after="0"/>
              <w:rPr>
                <w:sz w:val="20"/>
                <w:szCs w:val="20"/>
                <w:color w:val="auto"/>
              </w:rPr>
            </w:pPr>
            <w:r>
              <w:rPr>
                <w:rFonts w:ascii="Arial" w:cs="Arial" w:eastAsia="Arial" w:hAnsi="Arial"/>
                <w:sz w:val="18"/>
                <w:szCs w:val="18"/>
                <w:color w:val="auto"/>
              </w:rPr>
              <w:t>backed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 fixed-maturity securities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155,808,478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3,206,144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(814,168)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158,080,110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28"/>
        </w:trPr>
        <w:tc>
          <w:tcPr>
            <w:tcW w:w="6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88"/>
              </w:rPr>
              <w:t>Table of Contents</w:t>
            </w:r>
          </w:p>
        </w:tc>
        <w:tc>
          <w:tcPr>
            <w:tcW w:w="19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Equity Securities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and losses on, investments in equity securities as of September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2022</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16,047,207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(3,488,481)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12,558,726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10,728,809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(1,922,991)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8,909,720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26,776,016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103,902</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(5,411,472)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21,468,446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22,019,509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1,007,009</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22,841,901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Common stocks and exchange traded funds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15,451,160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1,573,653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(179,712)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16,845,101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37,470,669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2,580,662</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(364,329)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39,687,002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Investments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cost and estimated fair value of, and gross gains on, our other investments as of September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2022</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8"/>
              </w:rPr>
              <w:t>December 31, 2021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8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7"/>
              </w:rPr>
              <w:t>Estimated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90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r>
      <w:tr>
        <w:trPr>
          <w:trHeight w:val="234"/>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Gains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425"/>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Other Investments: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Hedge fund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1,987,040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589,232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2,576,272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3,999,381</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  3,562,034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7,561,415</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27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right="140" w:firstLine="607"/>
        <w:spacing w:after="0" w:line="277" w:lineRule="auto"/>
        <w:rPr>
          <w:sz w:val="20"/>
          <w:szCs w:val="20"/>
          <w:color w:val="auto"/>
        </w:rPr>
      </w:pPr>
      <w:r>
        <w:rPr>
          <w:rFonts w:ascii="Arial" w:cs="Arial" w:eastAsia="Arial" w:hAnsi="Arial"/>
          <w:sz w:val="18"/>
          <w:szCs w:val="18"/>
          <w:color w:val="auto"/>
        </w:rPr>
        <w:t>After providing notice, we redeemed 50% of our investment in the hedge fund as of September 30, 2022 for a realized gain of $589,000, which is recorded in the accompanying condensed consolidated statements of operations and comprehensive income (loss).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Held-to-Maturity Securities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September 30, 2022 and December 31, 2021:</w:t>
      </w:r>
    </w:p>
    <w:p>
      <w:pPr>
        <w:sectPr>
          <w:pgSz w:w="11900" w:h="16882" w:orient="portrait"/>
          <w:cols w:equalWidth="0" w:num="1">
            <w:col w:w="11240"/>
          </w:cols>
          <w:pgMar w:left="320" w:top="125" w:right="339" w:bottom="0" w:gutter="0" w:footer="0" w:header="0"/>
        </w:sectPr>
      </w:pPr>
    </w:p>
    <w:bookmarkStart w:id="42" w:name="page43"/>
    <w:bookmarkEnd w:id="4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September 30, 2022</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Gross</w:t>
            </w: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Gross Unrealized Losses</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r>
      <w:tr>
        <w:trPr>
          <w:trHeight w:val="191"/>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1,228,485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(36,802)</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1,265,151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Political subdivisions of States, Territories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Possessions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(43,361)</w:t>
            </w: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260,750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5,736,079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35,503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(1,182,635)</w:t>
            </w:r>
          </w:p>
        </w:tc>
        <w:tc>
          <w:tcPr>
            <w:tcW w:w="94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4,588,947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09"/>
        </w:trPr>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7,767,183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108,971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(1,264,296)</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6,611,858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Cost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Gross</w:t>
            </w: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Gross Unrealized Losses</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8"/>
                <w:szCs w:val="18"/>
                <w:color w:val="auto"/>
              </w:rPr>
            </w:pPr>
          </w:p>
        </w:tc>
      </w:tr>
      <w:tr>
        <w:trPr>
          <w:trHeight w:val="191"/>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More than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Unrealized</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 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r>
      <w:tr>
        <w:trPr>
          <w:trHeight w:val="425"/>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939,275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3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Political subdivisions of States, Territories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Possessions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1,021,095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3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traded debt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(13,921)</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3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Industrial and miscellaneous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6,234,342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(12,779)</w:t>
            </w:r>
          </w:p>
        </w:tc>
        <w:tc>
          <w:tcPr>
            <w:tcW w:w="94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6,502,514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r>
        <w:trPr>
          <w:trHeight w:val="210"/>
        </w:trPr>
        <w:tc>
          <w:tcPr>
            <w:tcW w:w="332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8,266,334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513,525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(26,700)</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8,753,159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of our investments in held-to-maturity securities by contractual maturity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708,325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742,533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1,008,180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1,120,315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1,082,015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1,205,829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1,290,465</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1,177,545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1,513,942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1,648,808</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4,538,818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3,609,765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4,551,851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4,805,706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7,767,183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8,266,334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8,753,159</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September 30, 2022 and December 31, 2021 as rated by Standard &amp; Poor’s (or, if unavailable from Standard &amp; Poor’s, then Moody’s, Fitch, or Kroll):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 2022</w:t>
            </w:r>
          </w:p>
        </w:tc>
        <w:tc>
          <w:tcPr>
            <w:tcW w:w="2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Estimated</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r>
      <w:tr>
        <w:trPr>
          <w:trHeight w:val="42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9,946,840</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  $</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0"/>
        </w:trPr>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AAA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990,819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1,321,809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16,410,900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11,532,572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bl>
    <w:p>
      <w:pPr>
        <w:sectPr>
          <w:pgSz w:w="11900" w:h="16851" w:orient="portrait"/>
          <w:cols w:equalWidth="0" w:num="1">
            <w:col w:w="11240"/>
          </w:cols>
          <w:pgMar w:left="320" w:top="337" w:right="3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32,163,411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38,272,571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11,938,310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17,936,359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20,414,670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25,161,776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4,461,056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4,193,401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ind w:left="420"/>
              <w:spacing w:after="0"/>
              <w:rPr>
                <w:sz w:val="20"/>
                <w:szCs w:val="20"/>
                <w:color w:val="auto"/>
              </w:rPr>
            </w:pPr>
            <w:r>
              <w:rPr>
                <w:rFonts w:ascii="Arial" w:cs="Arial" w:eastAsia="Arial" w:hAnsi="Arial"/>
                <w:sz w:val="18"/>
                <w:szCs w:val="18"/>
                <w:color w:val="auto"/>
              </w:rPr>
              <w:t>Total corporate and municipal bonds</w:t>
            </w:r>
          </w:p>
        </w:tc>
        <w:tc>
          <w:tcPr>
            <w:tcW w:w="1120" w:type="dxa"/>
            <w:vAlign w:val="bottom"/>
          </w:tcPr>
          <w:p>
            <w:pPr>
              <w:jc w:val="right"/>
              <w:spacing w:after="0"/>
              <w:rPr>
                <w:sz w:val="20"/>
                <w:szCs w:val="20"/>
                <w:color w:val="auto"/>
              </w:rPr>
            </w:pPr>
            <w:r>
              <w:rPr>
                <w:rFonts w:ascii="Arial" w:cs="Arial" w:eastAsia="Arial" w:hAnsi="Arial"/>
                <w:sz w:val="18"/>
                <w:szCs w:val="18"/>
                <w:color w:val="auto"/>
              </w:rPr>
              <w:t>86,379,166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98,418,488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Residential mortgage backed, asset backed, and other collateralized obligations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AAA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16,860,463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17,350,192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24,290,742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34,241,907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6,793,094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6,306,161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BBB</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20,763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24,254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CCC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495,227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664,628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CC</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105,761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125,412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42,159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Non rated</w:t>
            </w:r>
          </w:p>
        </w:tc>
        <w:tc>
          <w:tcPr>
            <w:tcW w:w="1120" w:type="dxa"/>
            <w:vAlign w:val="bottom"/>
          </w:tcPr>
          <w:p>
            <w:pPr>
              <w:jc w:val="right"/>
              <w:spacing w:after="0"/>
              <w:rPr>
                <w:sz w:val="20"/>
                <w:szCs w:val="20"/>
                <w:color w:val="auto"/>
              </w:rPr>
            </w:pPr>
            <w:r>
              <w:rPr>
                <w:rFonts w:ascii="Arial" w:cs="Arial" w:eastAsia="Arial" w:hAnsi="Arial"/>
                <w:sz w:val="18"/>
                <w:szCs w:val="18"/>
                <w:color w:val="auto"/>
              </w:rPr>
              <w:t>371,492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893,762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40" w:type="dxa"/>
            <w:vAlign w:val="bottom"/>
            <w:gridSpan w:val="2"/>
            <w:shd w:val="clear" w:color="auto" w:fill="CCEEFF"/>
          </w:tcPr>
          <w:p>
            <w:pPr>
              <w:ind w:left="420"/>
              <w:spacing w:after="0" w:line="195" w:lineRule="exact"/>
              <w:rPr>
                <w:sz w:val="20"/>
                <w:szCs w:val="20"/>
                <w:color w:val="auto"/>
              </w:rPr>
            </w:pPr>
            <w:r>
              <w:rPr>
                <w:rFonts w:ascii="Arial" w:cs="Arial" w:eastAsia="Arial" w:hAnsi="Arial"/>
                <w:sz w:val="18"/>
                <w:szCs w:val="18"/>
                <w:color w:val="auto"/>
                <w:w w:val="94"/>
              </w:rPr>
              <w:t>Total residential mortgage backed, asset backed, and other collateralized</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48,979,701</w:t>
            </w:r>
          </w:p>
        </w:tc>
        <w:tc>
          <w:tcPr>
            <w:tcW w:w="220" w:type="dxa"/>
            <w:vAlign w:val="bottom"/>
            <w:vMerge w:val="restart"/>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59,661,622</w:t>
            </w: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7"/>
        </w:trPr>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obligations</w:t>
            </w:r>
          </w:p>
        </w:tc>
        <w:tc>
          <w:tcPr>
            <w:tcW w:w="11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145,305,707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158,080,110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29"/>
        </w:trPr>
        <w:tc>
          <w:tcPr>
            <w:tcW w:w="5940" w:type="dxa"/>
            <w:vAlign w:val="bottom"/>
            <w:tcBorders>
              <w:top w:val="single" w:sz="8" w:color="CCEEFF"/>
              <w:bottom w:val="single" w:sz="8" w:color="auto"/>
            </w:tcBorders>
            <w:gridSpan w:val="2"/>
          </w:tcPr>
          <w:p>
            <w:pPr>
              <w:ind w:left="5540"/>
              <w:spacing w:after="0"/>
              <w:rPr>
                <w:sz w:val="20"/>
                <w:szCs w:val="20"/>
                <w:color w:val="auto"/>
              </w:rPr>
            </w:pPr>
            <w:r>
              <w:rPr>
                <w:rFonts w:ascii="Arial" w:cs="Arial" w:eastAsia="Arial" w:hAnsi="Arial"/>
                <w:sz w:val="18"/>
                <w:szCs w:val="18"/>
                <w:color w:val="auto"/>
              </w:rPr>
              <w:t>67</w:t>
            </w: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4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average yield by type of fixed-maturity security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 obligations of U.S. government corporations and agencies</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 Territories and Possessions</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Industrial and miscellaneous</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3.64%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2.43%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3.16%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lists the weighted average maturity and effective duration in years on our fixed-maturity securities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effective maturity</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2022 and December 31, 2021, 63% and 84%, respectively, of the investment portfolio recorded at fair value was priced based upon quoted market prices.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September 30,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September 30, 2022</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10"/>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89"/>
              </w:rPr>
              <w:t>Less than 12 months</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0"/>
              </w:rPr>
              <w:t>12 months or more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92"/>
              </w:rPr>
              <w:t>Total</w:t>
            </w:r>
          </w:p>
        </w:tc>
        <w:tc>
          <w:tcPr>
            <w:tcW w:w="900" w:type="dxa"/>
            <w:vAlign w:val="bottom"/>
            <w:tcBorders>
              <w:bottom w:val="single" w:sz="8" w:color="auto"/>
            </w:tcBorders>
          </w:tcPr>
          <w:p>
            <w:pPr>
              <w:spacing w:after="0"/>
              <w:rPr>
                <w:sz w:val="18"/>
                <w:szCs w:val="18"/>
                <w:color w:val="auto"/>
              </w:rPr>
            </w:pPr>
          </w:p>
        </w:tc>
      </w:tr>
      <w:tr>
        <w:trPr>
          <w:trHeight w:val="191"/>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jc w:val="center"/>
              <w:ind w:right="1380"/>
              <w:spacing w:after="0" w:line="191" w:lineRule="exact"/>
              <w:rPr>
                <w:sz w:val="20"/>
                <w:szCs w:val="20"/>
                <w:color w:val="auto"/>
              </w:rPr>
            </w:pPr>
            <w:r>
              <w:rPr>
                <w:rFonts w:ascii="Arial" w:cs="Arial" w:eastAsia="Arial" w:hAnsi="Arial"/>
                <w:sz w:val="18"/>
                <w:szCs w:val="18"/>
                <w:b w:val="1"/>
                <w:bCs w:val="1"/>
                <w:color w:val="auto"/>
                <w:w w:val="90"/>
              </w:rPr>
              <w:t>Estimated</w:t>
            </w: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No. of</w:t>
            </w:r>
          </w:p>
        </w:tc>
        <w:tc>
          <w:tcPr>
            <w:tcW w:w="220" w:type="dxa"/>
            <w:vAlign w:val="bottom"/>
          </w:tcPr>
          <w:p>
            <w:pPr>
              <w:spacing w:after="0"/>
              <w:rPr>
                <w:sz w:val="16"/>
                <w:szCs w:val="16"/>
                <w:color w:val="auto"/>
              </w:rPr>
            </w:pPr>
          </w:p>
        </w:tc>
        <w:tc>
          <w:tcPr>
            <w:tcW w:w="2260" w:type="dxa"/>
            <w:vAlign w:val="bottom"/>
            <w:gridSpan w:val="5"/>
          </w:tcPr>
          <w:p>
            <w:pPr>
              <w:jc w:val="center"/>
              <w:ind w:right="1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No. of</w:t>
            </w:r>
          </w:p>
        </w:tc>
        <w:tc>
          <w:tcPr>
            <w:tcW w:w="220" w:type="dxa"/>
            <w:vAlign w:val="bottom"/>
          </w:tcPr>
          <w:p>
            <w:pPr>
              <w:spacing w:after="0"/>
              <w:rPr>
                <w:sz w:val="16"/>
                <w:szCs w:val="16"/>
                <w:color w:val="auto"/>
              </w:rPr>
            </w:pPr>
          </w:p>
        </w:tc>
        <w:tc>
          <w:tcPr>
            <w:tcW w:w="132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Estimated</w:t>
            </w:r>
          </w:p>
        </w:tc>
        <w:tc>
          <w:tcPr>
            <w:tcW w:w="90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left="19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3"/>
              </w:rPr>
              <w:t>Positions</w:t>
            </w:r>
          </w:p>
        </w:tc>
        <w:tc>
          <w:tcPr>
            <w:tcW w:w="220" w:type="dxa"/>
            <w:vAlign w:val="bottom"/>
          </w:tcPr>
          <w:p>
            <w:pPr>
              <w:spacing w:after="0"/>
              <w:rPr>
                <w:sz w:val="18"/>
                <w:szCs w:val="18"/>
                <w:color w:val="auto"/>
              </w:rPr>
            </w:pPr>
          </w:p>
        </w:tc>
        <w:tc>
          <w:tcPr>
            <w:tcW w:w="740" w:type="dxa"/>
            <w:vAlign w:val="bottom"/>
          </w:tcPr>
          <w:p>
            <w:pPr>
              <w:jc w:val="center"/>
              <w:ind w:left="13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3"/>
              </w:rPr>
              <w:t>Positions</w:t>
            </w:r>
          </w:p>
        </w:tc>
        <w:tc>
          <w:tcPr>
            <w:tcW w:w="2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Fair</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r>
    </w:tbl>
    <w:p>
      <w:pPr>
        <w:sectPr>
          <w:pgSz w:w="11900" w:h="16838" w:orient="portrait"/>
          <w:cols w:equalWidth="0" w:num="1">
            <w:col w:w="11240"/>
          </w:cols>
          <w:pgMar w:left="320" w:top="125" w:right="339" w:bottom="0" w:gutter="0" w:footer="0" w:header="0"/>
        </w:sectPr>
      </w:pPr>
    </w:p>
    <w:bookmarkStart w:id="44" w:name="page45"/>
    <w:bookmarkEnd w:id="44"/>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of U.S.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government corporations and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  5,975,160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5,975,160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11,461,126</w:t>
            </w:r>
          </w:p>
        </w:tc>
        <w:tc>
          <w:tcPr>
            <w:tcW w:w="20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(3,250,196)</w:t>
            </w: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1,815,216</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(590,936)</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13,276,342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(3,841,132)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industrial and miscellaneous</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73,921,209</w:t>
            </w:r>
          </w:p>
        </w:tc>
        <w:tc>
          <w:tcPr>
            <w:tcW w:w="20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(9,154,182)</w:t>
            </w:r>
          </w:p>
        </w:tc>
        <w:tc>
          <w:tcPr>
            <w:tcW w:w="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817,970</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(269,694)</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74,739,179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(9,423,876)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 mortgage and</w:t>
            </w:r>
          </w:p>
        </w:tc>
        <w:tc>
          <w:tcPr>
            <w:tcW w:w="124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27,985,270</w:t>
            </w:r>
          </w:p>
        </w:tc>
        <w:tc>
          <w:tcPr>
            <w:tcW w:w="2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(4,333,707)</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8"/>
              </w:rPr>
              <w:t>18,593,599</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1"/>
              </w:rPr>
              <w:t>(2,699,011)</w:t>
            </w:r>
          </w:p>
        </w:tc>
        <w:tc>
          <w:tcPr>
            <w:tcW w:w="24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2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46,578,869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(7,032,718)</w:t>
            </w:r>
          </w:p>
        </w:tc>
        <w:tc>
          <w:tcPr>
            <w:tcW w:w="0" w:type="dxa"/>
            <w:vAlign w:val="bottom"/>
          </w:tcPr>
          <w:p>
            <w:pPr>
              <w:spacing w:after="0"/>
              <w:rPr>
                <w:sz w:val="1"/>
                <w:szCs w:val="1"/>
                <w:color w:val="auto"/>
              </w:rPr>
            </w:pPr>
          </w:p>
        </w:tc>
      </w:tr>
      <w:tr>
        <w:trPr>
          <w:trHeight w:val="217"/>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other asset backed securities</w:t>
            </w:r>
          </w:p>
        </w:tc>
        <w:tc>
          <w:tcPr>
            <w:tcW w:w="1240" w:type="dxa"/>
            <w:vAlign w:val="bottom"/>
            <w:tcBorders>
              <w:right w:val="single" w:sz="8" w:color="CCEEFF"/>
            </w:tcBorders>
            <w:gridSpan w:val="4"/>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1220" w:type="dxa"/>
            <w:vAlign w:val="bottom"/>
            <w:tcBorders>
              <w:right w:val="single" w:sz="8" w:color="CCEEFF"/>
            </w:tcBorders>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fixed-maturity</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$ 119,342,765</w:t>
            </w:r>
          </w:p>
        </w:tc>
        <w:tc>
          <w:tcPr>
            <w:tcW w:w="220" w:type="dxa"/>
            <w:vAlign w:val="bottom"/>
            <w:tcBorders>
              <w:right w:val="single" w:sz="8" w:color="CCEEFF"/>
            </w:tcBorders>
            <w:vMerge w:val="restart"/>
            <w:shd w:val="clear" w:color="auto" w:fill="CCEEFF"/>
          </w:tcPr>
          <w:p>
            <w:pPr>
              <w:spacing w:after="0"/>
              <w:rPr>
                <w:sz w:val="17"/>
                <w:szCs w:val="17"/>
                <w:color w:val="auto"/>
              </w:rPr>
            </w:pPr>
          </w:p>
        </w:tc>
        <w:tc>
          <w:tcPr>
            <w:tcW w:w="1200" w:type="dxa"/>
            <w:vAlign w:val="bottom"/>
            <w:gridSpan w:val="5"/>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7"/>
              </w:rPr>
              <w:t>$ (16,738,208)</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180" w:type="dxa"/>
            <w:vAlign w:val="bottom"/>
            <w:gridSpan w:val="5"/>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21,226,785</w:t>
            </w:r>
          </w:p>
        </w:tc>
        <w:tc>
          <w:tcPr>
            <w:tcW w:w="1260" w:type="dxa"/>
            <w:vAlign w:val="bottom"/>
            <w:tcBorders>
              <w:right w:val="single" w:sz="8" w:color="CCEEFF"/>
            </w:tcBorders>
            <w:gridSpan w:val="6"/>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(3,559,641)</w:t>
            </w:r>
          </w:p>
        </w:tc>
        <w:tc>
          <w:tcPr>
            <w:tcW w:w="24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2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140,569,550</w:t>
            </w:r>
          </w:p>
        </w:tc>
        <w:tc>
          <w:tcPr>
            <w:tcW w:w="11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88"/>
              </w:rPr>
              <w:t>$ (20,297,849)</w:t>
            </w:r>
          </w:p>
        </w:tc>
        <w:tc>
          <w:tcPr>
            <w:tcW w:w="0" w:type="dxa"/>
            <w:vAlign w:val="bottom"/>
          </w:tcPr>
          <w:p>
            <w:pPr>
              <w:spacing w:after="0"/>
              <w:rPr>
                <w:sz w:val="1"/>
                <w:szCs w:val="1"/>
                <w:color w:val="auto"/>
              </w:rPr>
            </w:pPr>
          </w:p>
        </w:tc>
      </w:tr>
      <w:tr>
        <w:trPr>
          <w:trHeight w:val="210"/>
        </w:trPr>
        <w:tc>
          <w:tcPr>
            <w:tcW w:w="2260" w:type="dxa"/>
            <w:vAlign w:val="bottom"/>
            <w:tcBorders>
              <w:right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securities</w:t>
            </w:r>
          </w:p>
        </w:tc>
        <w:tc>
          <w:tcPr>
            <w:tcW w:w="1020" w:type="dxa"/>
            <w:vAlign w:val="bottom"/>
            <w:gridSpan w:val="3"/>
            <w:vMerge w:val="continue"/>
            <w:shd w:val="clear" w:color="auto" w:fill="CCEEFF"/>
          </w:tcPr>
          <w:p>
            <w:pPr>
              <w:spacing w:after="0"/>
              <w:rPr>
                <w:sz w:val="18"/>
                <w:szCs w:val="18"/>
                <w:color w:val="auto"/>
              </w:rPr>
            </w:pP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20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vMerge w:val="continue"/>
            <w:shd w:val="clear" w:color="auto" w:fill="CCEEFF"/>
          </w:tcPr>
          <w:p>
            <w:pPr>
              <w:spacing w:after="0"/>
              <w:rPr>
                <w:sz w:val="18"/>
                <w:szCs w:val="18"/>
                <w:color w:val="auto"/>
              </w:rPr>
            </w:pPr>
          </w:p>
        </w:tc>
        <w:tc>
          <w:tcPr>
            <w:tcW w:w="1180" w:type="dxa"/>
            <w:vAlign w:val="bottom"/>
            <w:gridSpan w:val="5"/>
            <w:vMerge w:val="continue"/>
            <w:shd w:val="clear" w:color="auto" w:fill="CCEEFF"/>
          </w:tcPr>
          <w:p>
            <w:pPr>
              <w:spacing w:after="0"/>
              <w:rPr>
                <w:sz w:val="18"/>
                <w:szCs w:val="18"/>
                <w:color w:val="auto"/>
              </w:rPr>
            </w:pPr>
          </w:p>
        </w:tc>
        <w:tc>
          <w:tcPr>
            <w:tcW w:w="1260" w:type="dxa"/>
            <w:vAlign w:val="bottom"/>
            <w:tcBorders>
              <w:right w:val="single" w:sz="8" w:color="CCEEFF"/>
            </w:tcBorders>
            <w:gridSpan w:val="6"/>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vMerge w:val="continue"/>
            <w:shd w:val="clear" w:color="auto" w:fill="CCEEFF"/>
          </w:tcPr>
          <w:p>
            <w:pPr>
              <w:spacing w:after="0"/>
              <w:rPr>
                <w:sz w:val="18"/>
                <w:szCs w:val="18"/>
                <w:color w:val="auto"/>
              </w:rPr>
            </w:pPr>
          </w:p>
        </w:tc>
        <w:tc>
          <w:tcPr>
            <w:tcW w:w="1220" w:type="dxa"/>
            <w:vAlign w:val="bottom"/>
            <w:tcBorders>
              <w:right w:val="single" w:sz="8" w:color="CCEEFF"/>
            </w:tcBorders>
            <w:gridSpan w:val="4"/>
            <w:vMerge w:val="continue"/>
            <w:shd w:val="clear" w:color="auto" w:fill="CCEEFF"/>
          </w:tcPr>
          <w:p>
            <w:pPr>
              <w:spacing w:after="0"/>
              <w:rPr>
                <w:sz w:val="18"/>
                <w:szCs w:val="18"/>
                <w:color w:val="auto"/>
              </w:rPr>
            </w:pPr>
          </w:p>
        </w:tc>
        <w:tc>
          <w:tcPr>
            <w:tcW w:w="11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69</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6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4"/>
              </w:rPr>
              <w:t>Less than 12 months</w:t>
            </w: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1"/>
              </w:rPr>
              <w:t>12 months or more</w:t>
            </w: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6"/>
                <w:szCs w:val="16"/>
                <w:color w:val="auto"/>
              </w:rPr>
            </w:pPr>
          </w:p>
        </w:tc>
        <w:tc>
          <w:tcPr>
            <w:tcW w:w="940" w:type="dxa"/>
            <w:vAlign w:val="bottom"/>
            <w:gridSpan w:val="4"/>
          </w:tcPr>
          <w:p>
            <w:pPr>
              <w:jc w:val="center"/>
              <w:ind w:right="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6"/>
              </w:rPr>
              <w:t>Unrealized</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Positions</w:t>
            </w:r>
          </w:p>
        </w:tc>
        <w:tc>
          <w:tcPr>
            <w:tcW w:w="200" w:type="dxa"/>
            <w:vAlign w:val="bottom"/>
          </w:tcPr>
          <w:p>
            <w:pPr>
              <w:spacing w:after="0"/>
              <w:rPr>
                <w:sz w:val="18"/>
                <w:szCs w:val="18"/>
                <w:color w:val="auto"/>
              </w:rPr>
            </w:pPr>
          </w:p>
        </w:tc>
        <w:tc>
          <w:tcPr>
            <w:tcW w:w="7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Fair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4"/>
              </w:rPr>
              <w:t>Unrealized</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Positions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86"/>
              </w:rPr>
              <w:t>Losses</w:t>
            </w:r>
          </w:p>
        </w:tc>
        <w:tc>
          <w:tcPr>
            <w:tcW w:w="7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Held</w:t>
            </w:r>
          </w:p>
        </w:tc>
        <w:tc>
          <w:tcPr>
            <w:tcW w:w="200" w:type="dxa"/>
            <w:vAlign w:val="bottom"/>
          </w:tcPr>
          <w:p>
            <w:pPr>
              <w:spacing w:after="0"/>
              <w:rPr>
                <w:sz w:val="20"/>
                <w:szCs w:val="20"/>
                <w:color w:val="auto"/>
              </w:rPr>
            </w:pPr>
          </w:p>
        </w:tc>
        <w:tc>
          <w:tcPr>
            <w:tcW w:w="7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86"/>
              </w:rPr>
              <w:t>Losses</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Held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Losses</w:t>
            </w:r>
          </w:p>
        </w:tc>
        <w:tc>
          <w:tcPr>
            <w:tcW w:w="0" w:type="dxa"/>
            <w:vAlign w:val="bottom"/>
          </w:tcPr>
          <w:p>
            <w:pPr>
              <w:spacing w:after="0"/>
              <w:rPr>
                <w:sz w:val="1"/>
                <w:szCs w:val="1"/>
                <w:color w:val="auto"/>
              </w:rPr>
            </w:pPr>
          </w:p>
        </w:tc>
      </w:tr>
      <w:tr>
        <w:trPr>
          <w:trHeight w:val="425"/>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rPr>
              <w:t>Political subdivisions of States,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Territories and Possessions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6,768,123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(197,984)</w:t>
            </w:r>
          </w:p>
        </w:tc>
        <w:tc>
          <w:tcPr>
            <w:tcW w:w="44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6,768,123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(197,984)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Borders>
              <w:right w:val="single" w:sz="8" w:color="CCEEFF"/>
            </w:tcBorders>
            <w:gridSpan w:val="6"/>
            <w:shd w:val="clear" w:color="auto" w:fill="CCEEFF"/>
          </w:tcPr>
          <w:p>
            <w:pPr>
              <w:spacing w:after="0" w:line="201" w:lineRule="exact"/>
              <w:rPr>
                <w:sz w:val="20"/>
                <w:szCs w:val="20"/>
                <w:color w:val="auto"/>
              </w:rPr>
            </w:pPr>
            <w:r>
              <w:rPr>
                <w:rFonts w:ascii="Arial" w:cs="Arial" w:eastAsia="Arial" w:hAnsi="Arial"/>
                <w:sz w:val="18"/>
                <w:szCs w:val="18"/>
                <w:color w:val="auto"/>
              </w:rPr>
              <w:t>Corporate and other bonds industrial</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miscellaneous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17,593,707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(126,926)</w:t>
            </w:r>
          </w:p>
        </w:tc>
        <w:tc>
          <w:tcPr>
            <w:tcW w:w="44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17,593,707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(126,926)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0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Residential mortgage and other asset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backed securities</w:t>
            </w:r>
          </w:p>
        </w:tc>
        <w:tc>
          <w:tcPr>
            <w:tcW w:w="520" w:type="dxa"/>
            <w:vAlign w:val="bottom"/>
            <w:gridSpan w:val="2"/>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45,399,451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(489,258)</w:t>
            </w:r>
          </w:p>
        </w:tc>
        <w:tc>
          <w:tcPr>
            <w:tcW w:w="44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2,923,182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(120,344)</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48,322,633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(609,602)</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3"/>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gridSpan w:val="3"/>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Total fixed-maturity securities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69,761,281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(814,168)</w:t>
            </w:r>
          </w:p>
        </w:tc>
        <w:tc>
          <w:tcPr>
            <w:tcW w:w="44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$ 2,923,182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(120,344)</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72,684,463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(934,512)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were 155 securities at September 30, 2022 that accounted for the gross unrealized loss of our fixed-maturity securities available-for-sale, none of which were deemed by us to be other than temporarily impaired. There were 48 securities at December 31, 2021 that accounted for the gross unrealized loss, none of which were deemed by us to be other than temporarily impaired. Significant factors influencing our determination that unrealized losses were temporary included credit quality considerations, the magnitude of the unrealized losses in relation to each security’s cost, the nature of the investment and interest rate environment factors, and management’s intent not to sell these securities and it being not more likely than not that we will be required to sell these investments before anticipated recovery of fair value to our cost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nine months ended September 30, 2022, the primary source of cash flow for our holding company was the dividends received from KICO, subject to statutory restrictions. For the nine months ended September 30, 2022, KICO paid dividends of $1,500,000 to us. On October 27, 2022, KICO entered a sale-leaseback transaction whereby KICO sold substantially all its fixed assets for approximately $8,100,000. Subsequent to the closing of the sale-leaseback transaction, KICO paid a dividend of $3,000,000 to us. In addition, on October 17, 2022 we entered into a seven year loan agreement with KICO with regard to a loan from KICO to us in the amount of $6,450,000.</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w:t>
      </w:r>
    </w:p>
    <w:p>
      <w:pPr>
        <w:sectPr>
          <w:pgSz w:w="11900" w:h="16915" w:orient="portrait"/>
          <w:cols w:equalWidth="0" w:num="1">
            <w:col w:w="11240"/>
          </w:cols>
          <w:pgMar w:left="320" w:top="121" w:right="339" w:bottom="0" w:gutter="0" w:footer="0" w:header="0"/>
        </w:sectPr>
      </w:pPr>
    </w:p>
    <w:bookmarkStart w:id="45" w:name="page46"/>
    <w:bookmarkEnd w:id="45"/>
    <w:p>
      <w:pPr>
        <w:spacing w:after="0" w:line="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June 30, 2022, and are due and payable within 90 days of borrowing. The maximum allowable advance as of September 30, 2022, based on the net admitted assets as of June 30, 2022, was approximately $12,414,000. Advances are limited to 85% of the amount of available collateral, which was approximately $10,534,000 as of September 30, 2022. There were no borrowings under this facility during the nine months ended September 30, 2022.</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19, 2017, we issued $30 million of our 5.50% Senior Unsecured Notes due December 30, 2022. As of September 30, 2022, invested assets and cash in our holding company was approximately $2,416,000. See Notes 2 and 7 to our condensed consolidated financial statements included in this Quarterly Report for a discussion of our plans with regard to the satisfaction of the debt.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Nine months ended June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8"/>
                <w:szCs w:val="18"/>
                <w:color w:val="auto"/>
              </w:rPr>
              <w:t>Cash flows (used in) provided by:</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(7,921,438)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29,079,787</w:t>
            </w:r>
          </w:p>
        </w:tc>
      </w:tr>
      <w:tr>
        <w:trPr>
          <w:trHeight w:val="216"/>
        </w:trPr>
        <w:tc>
          <w:tcPr>
            <w:tcW w:w="86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398,911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(9,297,954)</w:t>
            </w:r>
          </w:p>
        </w:tc>
      </w:tr>
      <w:tr>
        <w:trPr>
          <w:trHeight w:val="216"/>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(1,656,865)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(3,137,487)</w:t>
            </w:r>
          </w:p>
        </w:tc>
      </w:tr>
      <w:tr>
        <w:trPr>
          <w:trHeight w:val="20"/>
        </w:trPr>
        <w:tc>
          <w:tcPr>
            <w:tcW w:w="8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(9,179,392)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16,644,346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24,290,598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19,463,742</w:t>
            </w:r>
          </w:p>
        </w:tc>
      </w:tr>
      <w:tr>
        <w:trPr>
          <w:trHeight w:val="209"/>
        </w:trPr>
        <w:tc>
          <w:tcPr>
            <w:tcW w:w="86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15,111,206</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36,108,088</w:t>
            </w:r>
          </w:p>
        </w:tc>
        <w:tc>
          <w:tcPr>
            <w:tcW w:w="100" w:type="dxa"/>
            <w:vAlign w:val="bottom"/>
            <w:tcBorders>
              <w:top w:val="single" w:sz="8" w:color="CCEEFF"/>
            </w:tcBorders>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Net cash used in operating activities was $7,921,000 in Nine Months 2022 as compared to $29,080,000 provided by operating activities in Nine Months 2021. The $37,001,000 decrease in cash flows provided by operating activities in Nine Months 2022 as compared to Nine Months 2021 was primarily the result of a decrease in cash arising from net fluctuations in operating assets and liabilities, partially offset by net loss (adjusted for non-cash items) of $4,927,000. The increase in cash used in operating activities is also attributable to the payment of $13,245,000 to reinsurers in Nine Months 2022 pursuant to the inception of our quota share reinsurance treaty, effective December 31, 2021. In addition, the increase of reinsurance recoverables by $19,073,000 also contributed to the increase in cash used during Nine Months 2022. The net fluctuations in assets and liabilities are related to operating activities of KICO as affected by growth or declines in its operations, payments on claims and other changes, which are described above.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$399,000 in Nine Months 2022 compared to $9,298,000 used in investing activities in Nine Months 2021. In Nine Months 2022, we had net investing activity provided by our investment portfolio of $3,741,000, compared to $6,375,000 used in Nine Months 2021 resulting in a $10,116,000 increase in net cash provided by investing activities. In addition, we increased our acquisition of fixed assets by $419,000 in Nine Months 2022 compared to Nine Months 2021.</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used in financing activities was $1,657,000 in Nine Months 2022 compared to $3,137,000 used in Nine Months 2021. The $1,481,000 decrease in net cash used in financing activities was attributable to the purchase of treasury stock of $1,672,000 in Nine Months 2021 partially offset by an increase in withholding taxes paid on the vesting of restricted stock awards in Nine Months 2022 compared to Nine Months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Effective December 31, 2021, we entered into a quota share reinsurance treaty for our personal lines business, which primarily consists of homeowners’ and dwelling fire policies, covering the period from December 31, 2021 through January 1, 2023 (“2021/2023 Treaty”).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excess of loss and catastrophe reinsurance treaties expired on June 30, 2022 and we entered into new excess of loss and catastrophe reinsurance treaties effective July 1, 2022. Effective October 20, 2021, we entered into a stub catastrophe reinsurance treaty covering the period from October 20, 2021 through December 31, 2021. The treaty provides reinsurance coverage for catastrophe losses of $5,000,000 in excess of $5,000,000.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 Material terms for our reinsurance treaties in effect for the treaty years shown below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Treaty Period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2"/>
              </w:rPr>
              <w:t>January 2,</w:t>
            </w:r>
          </w:p>
        </w:tc>
        <w:tc>
          <w:tcPr>
            <w:tcW w:w="25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(2021/2023 Treaty)</w:t>
            </w:r>
          </w:p>
        </w:tc>
        <w:tc>
          <w:tcPr>
            <w:tcW w:w="2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July 1,</w:t>
            </w:r>
          </w:p>
        </w:tc>
        <w:tc>
          <w:tcPr>
            <w:tcW w:w="2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July 1,</w:t>
            </w:r>
          </w:p>
        </w:tc>
        <w:tc>
          <w:tcPr>
            <w:tcW w:w="26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3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2021</w:t>
            </w:r>
          </w:p>
        </w:tc>
        <w:tc>
          <w:tcPr>
            <w:tcW w:w="13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January 1,</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Personal Lines: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Homeowners, dwelling fire and and canine legal liability</w:t>
      </w:r>
    </w:p>
    <w:p>
      <w:pPr>
        <w:sectPr>
          <w:pgSz w:w="11900" w:h="16869" w:orient="portrait"/>
          <w:cols w:equalWidth="0" w:num="1">
            <w:col w:w="11240"/>
          </w:cols>
          <w:pgMar w:left="320" w:top="125" w:right="339" w:bottom="0" w:gutter="0" w:footer="0" w:header="0"/>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Quota share treaty: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Percent ceded (9)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None (8)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None (5)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w w:val="94"/>
              </w:rPr>
              <w:t>Risk retained on intial $1,000,000 of losses (5) (7) (8) (9)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Losses per occurrence subject to quota share reinsurance</w:t>
            </w:r>
          </w:p>
        </w:tc>
        <w:tc>
          <w:tcPr>
            <w:tcW w:w="2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None (8)</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None (5)</w:t>
            </w:r>
          </w:p>
        </w:tc>
        <w:tc>
          <w:tcPr>
            <w:tcW w:w="2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122"/>
        </w:trPr>
        <w:tc>
          <w:tcPr>
            <w:tcW w:w="45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coverage</w:t>
            </w:r>
          </w:p>
        </w:tc>
        <w:tc>
          <w:tcPr>
            <w:tcW w:w="2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1,000,000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420"/>
              <w:spacing w:after="0" w:line="201" w:lineRule="exact"/>
              <w:rPr>
                <w:sz w:val="20"/>
                <w:szCs w:val="20"/>
                <w:color w:val="auto"/>
              </w:rPr>
            </w:pPr>
            <w:r>
              <w:rPr>
                <w:rFonts w:ascii="Arial" w:cs="Arial" w:eastAsia="Arial" w:hAnsi="Arial"/>
                <w:sz w:val="18"/>
                <w:szCs w:val="18"/>
                <w:color w:val="auto"/>
              </w:rPr>
              <w:t>Expiration date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January 1,</w:t>
            </w:r>
          </w:p>
        </w:tc>
        <w:tc>
          <w:tcPr>
            <w:tcW w:w="160" w:type="dxa"/>
            <w:vAlign w:val="bottom"/>
          </w:tcPr>
          <w:p>
            <w:pPr>
              <w:spacing w:after="0"/>
              <w:rPr>
                <w:sz w:val="17"/>
                <w:szCs w:val="17"/>
                <w:color w:val="auto"/>
              </w:rPr>
            </w:pPr>
          </w:p>
        </w:tc>
        <w:tc>
          <w:tcPr>
            <w:tcW w:w="12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January 1,</w:t>
            </w:r>
          </w:p>
        </w:tc>
        <w:tc>
          <w:tcPr>
            <w:tcW w:w="16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NA (5)</w:t>
            </w:r>
          </w:p>
        </w:tc>
        <w:tc>
          <w:tcPr>
            <w:tcW w:w="2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NA (5)</w:t>
            </w: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0"/>
                <w:szCs w:val="10"/>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0"/>
                <w:szCs w:val="10"/>
                <w:color w:val="auto"/>
              </w:rPr>
            </w:pPr>
          </w:p>
        </w:tc>
        <w:tc>
          <w:tcPr>
            <w:tcW w:w="1220" w:type="dxa"/>
            <w:vAlign w:val="bottom"/>
            <w:vMerge w:val="restart"/>
          </w:tcPr>
          <w:p>
            <w:pPr>
              <w:jc w:val="right"/>
              <w:ind w:right="11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Excess of loss coverage and facultative facility coverage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 (7)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8,400,000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in excess of</w:t>
            </w:r>
          </w:p>
        </w:tc>
        <w:tc>
          <w:tcPr>
            <w:tcW w:w="2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in excess of</w:t>
            </w:r>
          </w:p>
        </w:tc>
        <w:tc>
          <w:tcPr>
            <w:tcW w:w="1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in excess of</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w w:val="98"/>
              </w:rPr>
              <w:t>in excess of</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Total reinsurance coverage per occurrence (5) (7) (8)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Losses per occurrence subject to reinsurance coverage (5)</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Expiration date (8)</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7"/>
              </w:rPr>
              <w:t>June 30, 2023</w:t>
            </w:r>
          </w:p>
        </w:tc>
        <w:tc>
          <w:tcPr>
            <w:tcW w:w="2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w w:val="87"/>
              </w:rPr>
              <w:t>June 30, 2023</w:t>
            </w:r>
          </w:p>
        </w:tc>
        <w:tc>
          <w:tcPr>
            <w:tcW w:w="1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w w:val="87"/>
              </w:rPr>
              <w:t>June 30, 2022</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5"/>
              </w:rPr>
              <w:t>June 30, 2022</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Catastrophe Reinsurance: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Initial loss subject to personal lines quota share treaty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None (5)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None (5)</w:t>
            </w: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w w:val="95"/>
              </w:rPr>
              <w:t>Risk retained per catastrophe occurrence (5) (8) (9) (10)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7,400,000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7,400,000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Catastrophe loss coverage in excess of quota share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coverage (2) (5) (8)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335,000,000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490,000,000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490,000,000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475,000,000</w:t>
            </w:r>
          </w:p>
        </w:tc>
        <w:tc>
          <w:tcPr>
            <w:tcW w:w="0" w:type="dxa"/>
            <w:vAlign w:val="bottom"/>
          </w:tcPr>
          <w:p>
            <w:pPr>
              <w:spacing w:after="0"/>
              <w:rPr>
                <w:sz w:val="1"/>
                <w:szCs w:val="1"/>
                <w:color w:val="auto"/>
              </w:rPr>
            </w:pPr>
          </w:p>
        </w:tc>
      </w:tr>
      <w:tr>
        <w:trPr>
          <w:trHeight w:val="202"/>
        </w:trPr>
        <w:tc>
          <w:tcPr>
            <w:tcW w:w="4520" w:type="dxa"/>
            <w:vAlign w:val="bottom"/>
          </w:tcPr>
          <w:p>
            <w:pPr>
              <w:ind w:left="220"/>
              <w:spacing w:after="0" w:line="201" w:lineRule="exact"/>
              <w:rPr>
                <w:sz w:val="20"/>
                <w:szCs w:val="20"/>
                <w:color w:val="auto"/>
              </w:rPr>
            </w:pPr>
            <w:r>
              <w:rPr>
                <w:rFonts w:ascii="Arial" w:cs="Arial" w:eastAsia="Arial" w:hAnsi="Arial"/>
                <w:sz w:val="18"/>
                <w:szCs w:val="18"/>
                <w:color w:val="auto"/>
                <w:w w:val="91"/>
              </w:rPr>
              <w:t>Catastrophe stub coverage for the period from October 18,</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2021 through December 31, 2021 (6)</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in excess of</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Reinstatement premium protection (3) (4)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Yes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Yes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$9,000,000 in total insured value, which covers direct losses from $3,500,000 to $9,000,000 through June 30, 2023.</w:t>
      </w:r>
    </w:p>
    <w:p>
      <w:pPr>
        <w:spacing w:after="0" w:line="1"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5" w:lineRule="exact"/>
        <w:rPr>
          <w:sz w:val="20"/>
          <w:szCs w:val="20"/>
          <w:color w:val="auto"/>
        </w:rPr>
      </w:pPr>
    </w:p>
    <w:p>
      <w:pPr>
        <w:jc w:val="both"/>
        <w:ind w:left="460" w:right="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period July 1, 2020 through June 30, 2021, reinstatement premium protection for $70,000,000 of catastrophe coverage in excess of $10,000,000. For the period July 1, 2021 through June 30, 2022, reinstatement premium protection for $70,000,000 of catastrophe coverage in excess of $10,000,000.</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period July 1, 2022 through June 30, 2023, reinstatement premium protection for $9,800,000 of catastrophe coverage in excess of $10,000,000.</w:t>
      </w: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personal lines quota share (homeowners, dwelling fire and canine legal liability) expired on December 30, 2020; reinsurance coverage from December 31, 2020 through December 30, 2021 is only for excess of loss and catastrophe reinsurance.</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freeze and freeze related claims.</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period January 1, 2022 through January 1, 2023, underlying excess of loss treaty provides 50% reinsurance coverage for losses of $400,000 in excess of $600,000. Reduces retention to $500,000 from $700,000 under the 2021/2023 Treaty. Excludes losses from named storms.</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Personal lines quota share (homeowners, dwelling fire and canine liability) and underlying excess of loss reinsurance will expire on January 1, 2023; reinsurance coverage in effect from January 2, 2023 through June 30, 2023 is only for excess of loss and catastrophe reinsurance treaties.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2021/2023 Treaty, 4% of the 30% total of losses ceded under this treaty are excluded from a named catastrophe event.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Plus losses in excess of catastrophe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Treaty 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July 1, 2022</w:t>
            </w:r>
          </w:p>
        </w:tc>
        <w:tc>
          <w:tcPr>
            <w:tcW w:w="8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July 1, 2021</w:t>
            </w:r>
          </w:p>
        </w:tc>
        <w:tc>
          <w:tcPr>
            <w:tcW w:w="8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July 1, 2020</w:t>
            </w:r>
          </w:p>
        </w:tc>
        <w:tc>
          <w:tcPr>
            <w:tcW w:w="16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w:t>
            </w:r>
          </w:p>
        </w:tc>
      </w:tr>
      <w:tr>
        <w:trPr>
          <w:trHeight w:val="234"/>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Line of Business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2022</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411"/>
        </w:trPr>
        <w:tc>
          <w:tcPr>
            <w:tcW w:w="7220" w:type="dxa"/>
            <w:vAlign w:val="bottom"/>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7220" w:type="dxa"/>
            <w:vAlign w:val="bottom"/>
            <w:gridSpan w:val="2"/>
          </w:tcPr>
          <w:p>
            <w:pPr>
              <w:ind w:left="620"/>
              <w:spacing w:after="0"/>
              <w:rPr>
                <w:sz w:val="20"/>
                <w:szCs w:val="20"/>
                <w:color w:val="auto"/>
              </w:rPr>
            </w:pPr>
            <w:r>
              <w:rPr>
                <w:rFonts w:ascii="Arial" w:cs="Arial" w:eastAsia="Arial" w:hAnsi="Arial"/>
                <w:sz w:val="18"/>
                <w:szCs w:val="18"/>
                <w:color w:val="auto"/>
              </w:rPr>
              <w:t>Percent ceded - excess of $1,000,000 dollars of coverage</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7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r>
      <w:tr>
        <w:trPr>
          <w:trHeight w:val="216"/>
        </w:trPr>
        <w:tc>
          <w:tcPr>
            <w:tcW w:w="7220" w:type="dxa"/>
            <w:vAlign w:val="bottom"/>
            <w:gridSpan w:val="2"/>
          </w:tcPr>
          <w:p>
            <w:pPr>
              <w:ind w:left="6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4,700,000</w:t>
            </w:r>
          </w:p>
        </w:tc>
      </w:tr>
      <w:tr>
        <w:trPr>
          <w:trHeight w:val="216"/>
        </w:trPr>
        <w:tc>
          <w:tcPr>
            <w:tcW w:w="7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June 30, 2023</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June 30, 2022</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Commercial Lines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r>
        <w:trPr>
          <w:trHeight w:val="216"/>
        </w:trPr>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r>
      <w:tr>
        <w:trPr>
          <w:trHeight w:val="216"/>
        </w:trPr>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r>
      <w:tr>
        <w:trPr>
          <w:trHeight w:val="216"/>
        </w:trPr>
        <w:tc>
          <w:tcPr>
            <w:tcW w:w="7220" w:type="dxa"/>
            <w:vAlign w:val="bottom"/>
            <w:gridSpan w:val="2"/>
          </w:tcPr>
          <w:p>
            <w:pPr>
              <w:ind w:left="42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r>
      <w:tr>
        <w:trPr>
          <w:trHeight w:val="117"/>
        </w:trPr>
        <w:tc>
          <w:tcPr>
            <w:tcW w:w="7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25" w:right="339" w:bottom="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Commercial Umbrella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Quota share treaty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2" w:lineRule="exact"/>
        <w:rPr>
          <w:sz w:val="20"/>
          <w:szCs w:val="20"/>
          <w:color w:val="auto"/>
        </w:rPr>
      </w:pPr>
    </w:p>
    <w:p>
      <w:pPr>
        <w:sectPr>
          <w:pgSz w:w="11900" w:h="16838" w:orient="portrait"/>
          <w:cols w:equalWidth="0" w:num="2">
            <w:col w:w="9960" w:space="720"/>
            <w:col w:w="560"/>
          </w:cols>
          <w:pgMar w:left="320" w:top="341" w:right="339" w:bottom="129" w:gutter="0" w:footer="0" w:header="0"/>
        </w:sectPr>
      </w:pPr>
    </w:p>
    <w:p>
      <w:pPr>
        <w:spacing w:after="0" w:line="4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Coverage on all commercial lines policies expired in September 2020; reinsurance coverage is based on treaties in effect on the date of loss.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71" w:lineRule="exact"/>
        <w:rPr>
          <w:sz w:val="20"/>
          <w:szCs w:val="20"/>
          <w:color w:val="auto"/>
        </w:rPr>
      </w:pPr>
    </w:p>
    <w:p>
      <w:pPr>
        <w:jc w:val="both"/>
        <w:ind w:firstLine="731"/>
        <w:spacing w:after="0" w:line="277" w:lineRule="auto"/>
        <w:rPr>
          <w:sz w:val="20"/>
          <w:szCs w:val="20"/>
          <w:color w:val="auto"/>
        </w:rPr>
      </w:pPr>
      <w:r>
        <w:rPr>
          <w:rFonts w:ascii="Arial" w:cs="Arial" w:eastAsia="Arial" w:hAnsi="Arial"/>
          <w:sz w:val="18"/>
          <w:szCs w:val="18"/>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Nine Months 2022 included elevated economic inflation, which resulted in a significant increase in interest rates, a widening of credit spreads, lower public equity valuations, and significant financial market volatility. The higher interest rates and widening of credit spreads reduced the value of our fixed income securities, which lowered our stockholders’ equity materially for Nine Months 2022. The higher economic inflation impacted our loss and loss adjustment expenses as well; should these trends continue in the near-term, it would in all likelihood negatively impact our profitability.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976"/>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753"/>
        <w:spacing w:after="0" w:line="271" w:lineRule="auto"/>
        <w:rPr>
          <w:sz w:val="20"/>
          <w:szCs w:val="20"/>
          <w:color w:val="auto"/>
        </w:rPr>
      </w:pPr>
      <w:r>
        <w:rPr>
          <w:rFonts w:ascii="Arial" w:cs="Arial" w:eastAsia="Arial" w:hAnsi="Arial"/>
          <w:sz w:val="17"/>
          <w:szCs w:val="17"/>
          <w:color w:val="auto"/>
        </w:rPr>
        <w:t>The COVID-19 pandemic caused significant financial market volatility, economic uncertainty, and interruptions to normal business activities. As of the date of this report, we expect the effect of the COVID-19 pandemic on claims currently under our coverages to be manageable, based on the information presently available. However, the effects of the COVID-19 pandemic, including the emergence of variant strains, continue to evolve and we cannot predict the extent to which our business, results of operations, financial condition, liquidity, capital position, the value of investments we hold in our investment portfolio, premiums and the demand for our products and our ability to collect premiums or requirement to return premiums to our policyholders will ultimately be impacted. For additional information on the risks posed by COVID-19, see “The impact of COVID-19 and related risks could materially affect our results of operations, financial position and/or liquidity” included in Part I, Item 1A— “Risk Factors” in our Annual Report on Form 10-K for the year ended December 31, 2021, filed with the SEC.</w:t>
      </w:r>
    </w:p>
    <w:p>
      <w:pPr>
        <w:spacing w:after="0" w:line="178" w:lineRule="exact"/>
        <w:rPr>
          <w:sz w:val="20"/>
          <w:szCs w:val="20"/>
          <w:color w:val="auto"/>
        </w:rPr>
      </w:pPr>
    </w:p>
    <w:p>
      <w:pPr>
        <w:jc w:val="both"/>
        <w:ind w:firstLine="846"/>
        <w:spacing w:after="0" w:line="270" w:lineRule="auto"/>
        <w:rPr>
          <w:sz w:val="20"/>
          <w:szCs w:val="20"/>
          <w:color w:val="auto"/>
        </w:rPr>
      </w:pPr>
      <w:r>
        <w:rPr>
          <w:rFonts w:ascii="Arial" w:cs="Arial" w:eastAsia="Arial" w:hAnsi="Arial"/>
          <w:sz w:val="17"/>
          <w:szCs w:val="17"/>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have negatively impacted, and may continue to negatively impact,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September 30, 2022, our disclosure controls and procedures were: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ectPr>
          <w:pgSz w:w="11900" w:h="16838" w:orient="portrait"/>
          <w:cols w:equalWidth="0" w:num="1">
            <w:col w:w="11240"/>
          </w:cols>
          <w:pgMar w:left="320" w:top="341" w:right="339" w:bottom="129" w:gutter="0" w:footer="0" w:header="0"/>
          <w:type w:val="continuous"/>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September 30,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of the date of this report, there have been no misstatements identified. nd the g that were assessed as a material weakness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Effectiveness of Controls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w:t>
      </w:r>
    </w:p>
    <w:p>
      <w:pPr>
        <w:spacing w:after="0" w:line="2" w:lineRule="exact"/>
        <w:rPr>
          <w:sz w:val="20"/>
          <w:szCs w:val="20"/>
          <w:color w:val="auto"/>
        </w:rPr>
      </w:pPr>
    </w:p>
    <w:p>
      <w:pPr>
        <w:jc w:val="both"/>
        <w:ind w:firstLine="8"/>
        <w:spacing w:after="0" w:line="295" w:lineRule="auto"/>
        <w:tabs>
          <w:tab w:leader="none" w:pos="2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1"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9"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6"/>
          <w:szCs w:val="16"/>
          <w:color w:val="auto"/>
        </w:rPr>
        <w:t>For a discussion of the Company’s potential risks and uncertainties, see Part I, Item 1A— “Risk Factors” and Part II, Item 7— “Management’s Discussion and Analysis of Financial Condition and Results of Operations” in the Company’s 2021 Annual Report filed with the SEC, and Part I, Item 2 —“Management’s Discussion and Analysis of Financial Condition and Results of Operations” herein, in each case as updated by the Company's periodic filings with the SEC. Except as discussed under Part I, Item 2 – “Management’s Discussion and Analysis of Financial Condition and Results of Operations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Preliminary Non-binding Indication of Interest” herein, there have been no material changes to the risk factors disclosed in Part I, Item 1A of the Company’s 2021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9" w:lineRule="exact"/>
        <w:rPr>
          <w:sz w:val="20"/>
          <w:szCs w:val="20"/>
          <w:color w:val="auto"/>
        </w:rPr>
      </w:pPr>
    </w:p>
    <w:p>
      <w:pPr>
        <w:ind w:left="860" w:hanging="24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265"/>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860" w:hanging="24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r>
        <w:rPr>
          <w:rFonts w:ascii="Arial" w:cs="Arial" w:eastAsia="Arial" w:hAnsi="Arial"/>
          <w:sz w:val="18"/>
          <w:szCs w:val="18"/>
          <w:color w:val="auto"/>
        </w:rPr>
        <w: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r>
        <w:rPr>
          <w:rFonts w:ascii="Arial" w:cs="Arial" w:eastAsia="Arial" w:hAnsi="Arial"/>
          <w:sz w:val="18"/>
          <w:szCs w:val="18"/>
          <w:color w:val="auto"/>
        </w:rPr>
        <w:t>.</w:t>
      </w:r>
    </w:p>
    <w:p>
      <w:pPr>
        <w:spacing w:after="0" w:line="229" w:lineRule="exact"/>
        <w:rPr>
          <w:sz w:val="20"/>
          <w:szCs w:val="20"/>
          <w:color w:val="auto"/>
        </w:rPr>
      </w:pPr>
    </w:p>
    <w:p>
      <w:pPr>
        <w:ind w:left="600"/>
        <w:spacing w:after="0"/>
        <w:tabs>
          <w:tab w:leader="none" w:pos="1200" w:val="left"/>
        </w:tabs>
        <w:rPr>
          <w:rFonts w:ascii="Arial" w:cs="Arial" w:eastAsia="Arial" w:hAnsi="Arial"/>
          <w:sz w:val="16"/>
          <w:szCs w:val="16"/>
          <w:u w:val="single" w:color="auto"/>
          <w:color w:val="0000EE"/>
        </w:rPr>
      </w:pPr>
      <w:r>
        <w:rPr>
          <w:rFonts w:ascii="Arial" w:cs="Arial" w:eastAsia="Arial" w:hAnsi="Arial"/>
          <w:sz w:val="16"/>
          <w:szCs w:val="16"/>
          <w:u w:val="single" w:color="auto"/>
          <w:color w:val="0000EE"/>
        </w:rPr>
        <w:t>3(a)</w:t>
      </w:r>
      <w:r>
        <w:rPr>
          <w:sz w:val="20"/>
          <w:szCs w:val="20"/>
          <w:color w:val="auto"/>
        </w:rPr>
        <w:tab/>
      </w:r>
      <w:hyperlink r:id="rId90">
        <w:r>
          <w:rPr>
            <w:rFonts w:ascii="Arial" w:cs="Arial" w:eastAsia="Arial" w:hAnsi="Arial"/>
            <w:sz w:val="16"/>
            <w:szCs w:val="16"/>
            <w:u w:val="single" w:color="auto"/>
            <w:color w:val="0000EE"/>
          </w:rPr>
          <w:t>Restated Certificate of Incorporation, as amended (incorporated by reference to Exhibit 3(a) to the Company’s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6" w:lineRule="exact"/>
        <w:rPr>
          <w:sz w:val="20"/>
          <w:szCs w:val="20"/>
          <w:color w:val="auto"/>
        </w:rPr>
      </w:pPr>
    </w:p>
    <w:p>
      <w:pPr>
        <w:ind w:left="122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10-Q for the period ended March 31, 2014 filed on May 15, 2014).</w:t>
        </w:r>
      </w:hyperlink>
    </w:p>
    <w:p>
      <w:pPr>
        <w:sectPr>
          <w:pgSz w:w="11900" w:h="16838" w:orient="portrait"/>
          <w:cols w:equalWidth="0" w:num="1">
            <w:col w:w="11240"/>
          </w:cols>
          <w:pgMar w:left="320" w:top="125" w:right="3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20"/>
              <w:spacing w:after="0"/>
              <w:rPr>
                <w:rFonts w:ascii="Arial" w:cs="Arial" w:eastAsia="Arial" w:hAnsi="Arial"/>
                <w:sz w:val="18"/>
                <w:szCs w:val="18"/>
                <w:color w:val="0000EE"/>
              </w:rPr>
            </w:pPr>
            <w:hyperlink r:id="rId92">
              <w:r>
                <w:rPr>
                  <w:rFonts w:ascii="Arial" w:cs="Arial" w:eastAsia="Arial" w:hAnsi="Arial"/>
                  <w:sz w:val="18"/>
                  <w:szCs w:val="18"/>
                  <w:color w:val="0000EE"/>
                </w:rPr>
                <w:t>3(b)</w:t>
              </w:r>
            </w:hyperlink>
          </w:p>
        </w:tc>
        <w:tc>
          <w:tcPr>
            <w:tcW w:w="10020" w:type="dxa"/>
            <w:vAlign w:val="bottom"/>
            <w:gridSpan w:val="6"/>
            <w:shd w:val="clear" w:color="auto" w:fill="CCEEFF"/>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By-laws, as amended (incorporated by reference to Exhibit 3.1 to the Company’s Current Report on Form 8-K filed on November 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2009).</w:t>
              </w:r>
            </w:hyperlink>
          </w:p>
        </w:tc>
        <w:tc>
          <w:tcPr>
            <w:tcW w:w="2680" w:type="dxa"/>
            <w:vAlign w:val="bottom"/>
            <w:tcBorders>
              <w:top w:val="single" w:sz="8" w:color="0000EE"/>
            </w:tcBorders>
            <w:shd w:val="clear" w:color="auto" w:fill="CCEEFF"/>
          </w:tcPr>
          <w:p>
            <w:pPr>
              <w:spacing w:after="0"/>
              <w:rPr>
                <w:sz w:val="18"/>
                <w:szCs w:val="18"/>
                <w:color w:val="auto"/>
              </w:rPr>
            </w:pPr>
          </w:p>
        </w:tc>
        <w:tc>
          <w:tcPr>
            <w:tcW w:w="64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CCEEFF"/>
            </w:tcBorders>
            <w:gridSpan w:val="2"/>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320"/>
              <w:spacing w:after="0" w:line="176" w:lineRule="exact"/>
              <w:rPr>
                <w:sz w:val="20"/>
                <w:szCs w:val="20"/>
                <w:color w:val="auto"/>
              </w:rPr>
            </w:pPr>
            <w:r>
              <w:rPr>
                <w:rFonts w:ascii="Arial" w:cs="Arial" w:eastAsia="Arial" w:hAnsi="Arial"/>
                <w:sz w:val="18"/>
                <w:szCs w:val="18"/>
                <w:color w:val="0000EE"/>
                <w:w w:val="85"/>
              </w:rPr>
              <w:t>31(a)</w:t>
            </w:r>
          </w:p>
        </w:tc>
        <w:tc>
          <w:tcPr>
            <w:tcW w:w="100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Rule 13a-14(a)/15d-14(a) Certification of Chief Executive Officer as adopted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gridSpan w:val="2"/>
          </w:tcPr>
          <w:p>
            <w:pPr>
              <w:spacing w:after="0"/>
              <w:rPr>
                <w:sz w:val="18"/>
                <w:szCs w:val="18"/>
                <w:color w:val="auto"/>
              </w:rPr>
            </w:pPr>
          </w:p>
        </w:tc>
        <w:tc>
          <w:tcPr>
            <w:tcW w:w="64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320"/>
              <w:spacing w:after="0" w:line="176" w:lineRule="exact"/>
              <w:rPr>
                <w:sz w:val="20"/>
                <w:szCs w:val="20"/>
                <w:color w:val="auto"/>
              </w:rPr>
            </w:pPr>
            <w:r>
              <w:rPr>
                <w:rFonts w:ascii="Arial" w:cs="Arial" w:eastAsia="Arial" w:hAnsi="Arial"/>
                <w:sz w:val="18"/>
                <w:szCs w:val="18"/>
                <w:color w:val="0000EE"/>
                <w:w w:val="90"/>
              </w:rPr>
              <w:t>31(b)</w:t>
            </w:r>
          </w:p>
        </w:tc>
        <w:tc>
          <w:tcPr>
            <w:tcW w:w="100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4"/>
              </w:rPr>
              <w:t>Rule 13a-14(a)/15d-14(a) Certification of Principal Financial Officer as adopted pursuant to Section 302 of the Sarbanes-Oxley Act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2002</w:t>
            </w: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2680" w:type="dxa"/>
            <w:vAlign w:val="bottom"/>
            <w:tcBorders>
              <w:top w:val="single" w:sz="8" w:color="0000EE"/>
              <w:bottom w:val="single" w:sz="8" w:color="CCEEFF"/>
            </w:tcBorders>
            <w:shd w:val="clear" w:color="auto" w:fill="CCEEFF"/>
          </w:tcPr>
          <w:p>
            <w:pPr>
              <w:spacing w:after="0"/>
              <w:rPr>
                <w:sz w:val="18"/>
                <w:szCs w:val="18"/>
                <w:color w:val="auto"/>
              </w:rPr>
            </w:pPr>
          </w:p>
        </w:tc>
        <w:tc>
          <w:tcPr>
            <w:tcW w:w="646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gridSpan w:val="2"/>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20" w:type="dxa"/>
            <w:vAlign w:val="bottom"/>
            <w:gridSpan w:val="6"/>
            <w:shd w:val="clear" w:color="auto" w:fill="CCEEFF"/>
          </w:tcPr>
          <w:p>
            <w:pPr>
              <w:jc w:val="right"/>
              <w:ind w:right="320"/>
              <w:spacing w:after="0" w:line="176" w:lineRule="exact"/>
              <w:rPr>
                <w:sz w:val="20"/>
                <w:szCs w:val="20"/>
                <w:color w:val="auto"/>
              </w:rPr>
            </w:pPr>
            <w:r>
              <w:rPr>
                <w:rFonts w:ascii="Arial" w:cs="Arial" w:eastAsia="Arial" w:hAnsi="Arial"/>
                <w:sz w:val="18"/>
                <w:szCs w:val="18"/>
                <w:color w:val="0000EE"/>
              </w:rPr>
              <w:t>32+</w:t>
            </w:r>
          </w:p>
        </w:tc>
        <w:tc>
          <w:tcPr>
            <w:tcW w:w="100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6"/>
              </w:rPr>
              <w:t>Certification of Chief Executive Officer and Principal Financial Officer Pursuant to 18 U.S.C. Section 1350, as Adopted Pursuant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60" w:type="dxa"/>
            <w:vAlign w:val="bottom"/>
            <w:tcBorders>
              <w:top w:val="single" w:sz="8" w:color="0000EE"/>
            </w:tcBorders>
            <w:gridSpan w:val="2"/>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101.INS</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101.SCH</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101.CAL</w:t>
            </w: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9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101.DEF</w:t>
            </w: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9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101.LAB</w:t>
            </w: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9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101.PRE</w:t>
            </w:r>
          </w:p>
        </w:tc>
        <w:tc>
          <w:tcPr>
            <w:tcW w:w="100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101.PRE XBRL Taxonomy Extension Presentation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20" w:hanging="422"/>
        <w:spacing w:after="0" w:line="263"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140" w:type="dxa"/>
            <w:vAlign w:val="bottom"/>
            <w:gridSpan w:val="2"/>
          </w:tcPr>
          <w:p>
            <w:pPr>
              <w:ind w:left="188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14, 2022</w:t>
            </w:r>
          </w:p>
        </w:tc>
        <w:tc>
          <w:tcPr>
            <w:tcW w:w="6140" w:type="dxa"/>
            <w:vAlign w:val="bottom"/>
            <w:gridSpan w:val="2"/>
          </w:tcPr>
          <w:p>
            <w:pPr>
              <w:ind w:left="188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14, 2022</w:t>
            </w:r>
          </w:p>
        </w:tc>
        <w:tc>
          <w:tcPr>
            <w:tcW w:w="6140" w:type="dxa"/>
            <w:vAlign w:val="bottom"/>
            <w:gridSpan w:val="2"/>
          </w:tcPr>
          <w:p>
            <w:pPr>
              <w:ind w:left="1880"/>
              <w:spacing w:after="0"/>
              <w:rPr>
                <w:sz w:val="20"/>
                <w:szCs w:val="20"/>
                <w:color w:val="auto"/>
              </w:rPr>
            </w:pPr>
            <w:r>
              <w:rPr>
                <w:rFonts w:ascii="Arial" w:cs="Arial" w:eastAsia="Arial" w:hAnsi="Arial"/>
                <w:sz w:val="18"/>
                <w:szCs w:val="18"/>
                <w:color w:val="auto"/>
              </w:rPr>
              <w:t>By: /s/ Richard Swartz</w:t>
            </w:r>
          </w:p>
        </w:tc>
        <w:tc>
          <w:tcPr>
            <w:tcW w:w="13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Swartz</w:t>
            </w:r>
          </w:p>
        </w:tc>
        <w:tc>
          <w:tcPr>
            <w:tcW w:w="134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340" w:type="dxa"/>
            <w:vAlign w:val="bottom"/>
          </w:tcPr>
          <w:p>
            <w:pPr>
              <w:spacing w:after="0"/>
              <w:rPr>
                <w:sz w:val="20"/>
                <w:szCs w:val="20"/>
                <w:color w:val="auto"/>
              </w:rPr>
            </w:pPr>
          </w:p>
        </w:tc>
      </w:tr>
      <w:tr>
        <w:trPr>
          <w:trHeight w:val="648"/>
        </w:trPr>
        <w:tc>
          <w:tcPr>
            <w:tcW w:w="3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2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2494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2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hanging="447"/>
        <w:spacing w:after="0" w:line="308" w:lineRule="auto"/>
        <w:tabs>
          <w:tab w:leader="none" w:pos="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7"/>
        <w:spacing w:after="0" w:line="26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7"/>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24942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Richard Swartz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2022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14, 2022</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5"/>
        </w:trPr>
        <w:tc>
          <w:tcPr>
            <w:tcW w:w="56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Barry B. Goldstein</w:t>
            </w:r>
          </w:p>
        </w:tc>
      </w:tr>
      <w:tr>
        <w:trPr>
          <w:trHeight w:val="230"/>
        </w:trPr>
        <w:tc>
          <w:tcPr>
            <w:tcW w:w="56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6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r>
      <w:tr>
        <w:trPr>
          <w:trHeight w:val="195"/>
        </w:trPr>
        <w:tc>
          <w:tcPr>
            <w:tcW w:w="56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r>
      <w:tr>
        <w:trPr>
          <w:trHeight w:val="230"/>
        </w:trPr>
        <w:tc>
          <w:tcPr>
            <w:tcW w:w="56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upperLetter"/>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endash "/>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0" Type="http://schemas.openxmlformats.org/officeDocument/2006/relationships/hyperlink" Target="http://www.sec.gov/Archives/edgar/data/33992/000135448814002619/kins_ex3a.htm" TargetMode="External"/><Relationship Id="rId92"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2022-11-15T07:00:51Z</dcterms:created>
  <dcterms:modified xsi:type="dcterms:W3CDTF">2022-11-15T07:00:51Z</dcterms:modified>
</cp:coreProperties>
</file>