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105410</wp:posOffset>
            </wp:positionH>
            <wp:positionV relativeFrom="page">
              <wp:posOffset>240030</wp:posOffset>
            </wp:positionV>
            <wp:extent cx="734060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40600" cy="33655"/>
                    </a:xfrm>
                    <a:prstGeom prst="rect">
                      <a:avLst/>
                    </a:prstGeom>
                    <a:noFill/>
                  </pic:spPr>
                </pic:pic>
              </a:graphicData>
            </a:graphic>
          </wp:anchor>
        </w:drawing>
        <w:drawing>
          <wp:anchor simplePos="0" relativeHeight="251657728" behindDoc="1" locked="0" layoutInCell="0" allowOverlap="1">
            <wp:simplePos x="0" y="0"/>
            <wp:positionH relativeFrom="page">
              <wp:posOffset>105410</wp:posOffset>
            </wp:positionH>
            <wp:positionV relativeFrom="page">
              <wp:posOffset>340995</wp:posOffset>
            </wp:positionV>
            <wp:extent cx="7340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40600" cy="825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28" w:lineRule="exact"/>
        <w:rPr>
          <w:sz w:val="24"/>
          <w:szCs w:val="24"/>
          <w:color w:val="auto"/>
        </w:rPr>
      </w:pPr>
    </w:p>
    <w:p>
      <w:pPr>
        <w:jc w:val="center"/>
        <w:ind w:left="3900" w:right="1520" w:hanging="3623"/>
        <w:spacing w:after="0" w:line="267" w:lineRule="auto"/>
        <w:tabs>
          <w:tab w:leader="none" w:pos="1288"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September 30, 2018</w:t>
      </w: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17" w:lineRule="exact"/>
        <w:rPr>
          <w:sz w:val="24"/>
          <w:szCs w:val="24"/>
          <w:color w:val="auto"/>
        </w:rPr>
      </w:pPr>
    </w:p>
    <w:p>
      <w:pPr>
        <w:jc w:val="center"/>
        <w:ind w:left="3780" w:right="1500" w:hanging="3503"/>
        <w:spacing w:after="0" w:line="294" w:lineRule="auto"/>
        <w:tabs>
          <w:tab w:leader="none" w:pos="1286"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_________to _________</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0-1665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KINGSTONE COMPANIES, INC.</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560"/>
          </w:cols>
          <w:pgMar w:left="160" w:top="602" w:right="179" w:bottom="1440" w:gutter="0" w:footer="0" w:header="0"/>
        </w:sectPr>
      </w:pPr>
    </w:p>
    <w:p>
      <w:pPr>
        <w:spacing w:after="0" w:line="208"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Delaware</w:t>
      </w:r>
    </w:p>
    <w:p>
      <w:pPr>
        <w:spacing w:after="0" w:line="28"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(State or other jurisdiction of</w:t>
      </w:r>
    </w:p>
    <w:p>
      <w:pPr>
        <w:spacing w:after="0" w:line="28"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1860"/>
        <w:spacing w:after="0"/>
        <w:rPr>
          <w:sz w:val="20"/>
          <w:szCs w:val="20"/>
          <w:color w:val="auto"/>
        </w:rPr>
      </w:pPr>
      <w:r>
        <w:rPr>
          <w:rFonts w:ascii="Arial" w:cs="Arial" w:eastAsia="Arial" w:hAnsi="Arial"/>
          <w:sz w:val="17"/>
          <w:szCs w:val="17"/>
          <w:b w:val="1"/>
          <w:bCs w:val="1"/>
          <w:color w:val="auto"/>
        </w:rPr>
        <w:t>36-2476480</w:t>
      </w:r>
    </w:p>
    <w:p>
      <w:pPr>
        <w:spacing w:after="0" w:line="28" w:lineRule="exact"/>
        <w:rPr>
          <w:sz w:val="24"/>
          <w:szCs w:val="24"/>
          <w:color w:val="auto"/>
        </w:rPr>
      </w:pPr>
    </w:p>
    <w:p>
      <w:pPr>
        <w:jc w:val="center"/>
        <w:ind w:right="1860"/>
        <w:spacing w:after="0"/>
        <w:rPr>
          <w:sz w:val="20"/>
          <w:szCs w:val="20"/>
          <w:color w:val="auto"/>
        </w:rPr>
      </w:pPr>
      <w:r>
        <w:rPr>
          <w:rFonts w:ascii="Arial" w:cs="Arial" w:eastAsia="Arial" w:hAnsi="Arial"/>
          <w:sz w:val="17"/>
          <w:szCs w:val="17"/>
          <w:b w:val="1"/>
          <w:bCs w:val="1"/>
          <w:color w:val="auto"/>
        </w:rPr>
        <w:t>(I.R.S. Employer</w:t>
      </w:r>
    </w:p>
    <w:p>
      <w:pPr>
        <w:spacing w:after="0" w:line="16"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280" w:space="720"/>
            <w:col w:w="3560"/>
          </w:cols>
          <w:pgMar w:left="160" w:top="602" w:right="17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15 Joys Lane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Kingston, NY 12401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(845) 802-7900</w:t>
      </w:r>
    </w:p>
    <w:p>
      <w:pPr>
        <w:sectPr>
          <w:pgSz w:w="11900" w:h="16838" w:orient="portrait"/>
          <w:cols w:equalWidth="0" w:num="1">
            <w:col w:w="11560"/>
          </w:cols>
          <w:pgMar w:left="160" w:top="602" w:right="179" w:bottom="1440" w:gutter="0" w:footer="0" w:header="0"/>
          <w:type w:val="continuous"/>
        </w:sectPr>
      </w:pP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168"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8" w:lineRule="exact"/>
        <w:rPr>
          <w:sz w:val="24"/>
          <w:szCs w:val="24"/>
          <w:color w:val="auto"/>
        </w:rPr>
      </w:pPr>
    </w:p>
    <w:p>
      <w:pPr>
        <w:ind w:right="60"/>
        <w:spacing w:after="0" w:line="21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0"/>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42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640"/>
              <w:spacing w:after="0"/>
              <w:rPr>
                <w:sz w:val="20"/>
                <w:szCs w:val="20"/>
                <w:color w:val="auto"/>
              </w:rPr>
            </w:pPr>
            <w:r>
              <w:rPr>
                <w:rFonts w:ascii="Arial" w:cs="Arial" w:eastAsia="Arial" w:hAnsi="Arial"/>
                <w:sz w:val="17"/>
                <w:szCs w:val="17"/>
                <w:color w:val="auto"/>
              </w:rPr>
              <w:t>Accelerated filer</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2"/>
        </w:trPr>
        <w:tc>
          <w:tcPr>
            <w:tcW w:w="2160" w:type="dxa"/>
            <w:vAlign w:val="bottom"/>
          </w:tcPr>
          <w:p>
            <w:pPr>
              <w:spacing w:after="0"/>
              <w:rPr>
                <w:sz w:val="20"/>
                <w:szCs w:val="20"/>
                <w:color w:val="auto"/>
              </w:rPr>
            </w:pPr>
            <w:r>
              <w:rPr>
                <w:rFonts w:ascii="Arial" w:cs="Arial" w:eastAsia="Arial" w:hAnsi="Arial"/>
                <w:sz w:val="17"/>
                <w:szCs w:val="17"/>
                <w:color w:val="auto"/>
              </w:rPr>
              <w:t>Non-accelerated filer</w:t>
            </w:r>
          </w:p>
        </w:tc>
        <w:tc>
          <w:tcPr>
            <w:tcW w:w="342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640"/>
              <w:spacing w:after="0"/>
              <w:rPr>
                <w:sz w:val="20"/>
                <w:szCs w:val="20"/>
                <w:color w:val="auto"/>
              </w:rPr>
            </w:pPr>
            <w:r>
              <w:rPr>
                <w:rFonts w:ascii="Arial" w:cs="Arial" w:eastAsia="Arial" w:hAnsi="Arial"/>
                <w:sz w:val="17"/>
                <w:szCs w:val="17"/>
                <w:color w:val="auto"/>
              </w:rPr>
              <w:t>Smaller reporting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0"/>
        </w:trPr>
        <w:tc>
          <w:tcPr>
            <w:tcW w:w="216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5080" w:type="dxa"/>
            <w:vAlign w:val="bottom"/>
          </w:tcPr>
          <w:p>
            <w:pPr>
              <w:ind w:left="2640"/>
              <w:spacing w:after="0"/>
              <w:rPr>
                <w:sz w:val="20"/>
                <w:szCs w:val="20"/>
                <w:color w:val="auto"/>
              </w:rPr>
            </w:pPr>
            <w:r>
              <w:rPr>
                <w:rFonts w:ascii="Arial" w:cs="Arial" w:eastAsia="Arial" w:hAnsi="Arial"/>
                <w:sz w:val="17"/>
                <w:szCs w:val="17"/>
                <w:color w:val="auto"/>
              </w:rPr>
              <w:t>Emerging growth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86" w:lineRule="exact"/>
        <w:rPr>
          <w:sz w:val="24"/>
          <w:szCs w:val="24"/>
          <w:color w:val="auto"/>
        </w:rPr>
      </w:pPr>
    </w:p>
    <w:p>
      <w:pPr>
        <w:ind w:right="24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9"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61"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8, 2018, there were 10,743,373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340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4060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226060</wp:posOffset>
            </wp:positionV>
            <wp:extent cx="734060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4060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444500</wp:posOffset>
            </wp:positionV>
            <wp:extent cx="7340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602" w:right="1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t>KINGSTONE COMPANIES,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2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PAGE</w:t>
            </w:r>
          </w:p>
        </w:tc>
      </w:tr>
      <w:tr>
        <w:trPr>
          <w:trHeight w:val="212"/>
        </w:trPr>
        <w:tc>
          <w:tcPr>
            <w:tcW w:w="12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105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PART I — FINANCIAL INFORMATION</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w:t>
            </w:r>
          </w:p>
        </w:tc>
      </w:tr>
      <w:tr>
        <w:trPr>
          <w:trHeight w:val="212"/>
        </w:trPr>
        <w:tc>
          <w:tcPr>
            <w:tcW w:w="1220" w:type="dxa"/>
            <w:vAlign w:val="bottom"/>
          </w:tcPr>
          <w:p>
            <w:pPr>
              <w:ind w:left="120"/>
              <w:spacing w:after="0"/>
              <w:rPr>
                <w:sz w:val="20"/>
                <w:szCs w:val="20"/>
                <w:color w:val="auto"/>
              </w:rPr>
            </w:pPr>
            <w:r>
              <w:rPr>
                <w:rFonts w:ascii="Arial" w:cs="Arial" w:eastAsia="Arial" w:hAnsi="Arial"/>
                <w:sz w:val="17"/>
                <w:szCs w:val="17"/>
                <w:color w:val="auto"/>
              </w:rPr>
              <w:t>Item 1 —</w:t>
            </w:r>
          </w:p>
        </w:tc>
        <w:tc>
          <w:tcPr>
            <w:tcW w:w="9320" w:type="dxa"/>
            <w:vAlign w:val="bottom"/>
          </w:tcPr>
          <w:p>
            <w:pPr>
              <w:ind w:left="80"/>
              <w:spacing w:after="0"/>
              <w:rPr>
                <w:sz w:val="20"/>
                <w:szCs w:val="20"/>
                <w:color w:val="auto"/>
              </w:rPr>
            </w:pPr>
            <w:r>
              <w:rPr>
                <w:rFonts w:ascii="Arial" w:cs="Arial" w:eastAsia="Arial" w:hAnsi="Arial"/>
                <w:sz w:val="17"/>
                <w:szCs w:val="17"/>
                <w:color w:val="auto"/>
              </w:rPr>
              <w:t>Financial Statements</w:t>
            </w: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2</w:t>
            </w:r>
          </w:p>
        </w:tc>
      </w:tr>
      <w:tr>
        <w:trPr>
          <w:trHeight w:val="212"/>
        </w:trPr>
        <w:tc>
          <w:tcPr>
            <w:tcW w:w="1220" w:type="dxa"/>
            <w:vAlign w:val="bottom"/>
            <w:shd w:val="clear" w:color="auto" w:fill="CCEEFF"/>
          </w:tcPr>
          <w:p>
            <w:pPr>
              <w:spacing w:after="0"/>
              <w:rPr>
                <w:sz w:val="18"/>
                <w:szCs w:val="18"/>
                <w:color w:val="auto"/>
              </w:rPr>
            </w:pPr>
          </w:p>
        </w:tc>
        <w:tc>
          <w:tcPr>
            <w:tcW w:w="9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Condensed Consolidated Balance Sheets at September 30, 2018 (Unaudited) and December 31, 2017</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w:t>
            </w:r>
          </w:p>
        </w:tc>
      </w:tr>
      <w:tr>
        <w:trPr>
          <w:trHeight w:val="203"/>
        </w:trPr>
        <w:tc>
          <w:tcPr>
            <w:tcW w:w="1220" w:type="dxa"/>
            <w:vAlign w:val="bottom"/>
          </w:tcPr>
          <w:p>
            <w:pPr>
              <w:spacing w:after="0"/>
              <w:rPr>
                <w:sz w:val="17"/>
                <w:szCs w:val="17"/>
                <w:color w:val="auto"/>
              </w:rPr>
            </w:pPr>
          </w:p>
        </w:tc>
        <w:tc>
          <w:tcPr>
            <w:tcW w:w="9320" w:type="dxa"/>
            <w:vAlign w:val="bottom"/>
          </w:tcPr>
          <w:p>
            <w:pPr>
              <w:ind w:left="80"/>
              <w:spacing w:after="0"/>
              <w:rPr>
                <w:sz w:val="20"/>
                <w:szCs w:val="20"/>
                <w:color w:val="auto"/>
              </w:rPr>
            </w:pPr>
            <w:r>
              <w:rPr>
                <w:rFonts w:ascii="Arial" w:cs="Arial" w:eastAsia="Arial" w:hAnsi="Arial"/>
                <w:sz w:val="17"/>
                <w:szCs w:val="17"/>
                <w:color w:val="auto"/>
                <w:w w:val="91"/>
              </w:rPr>
              <w:t>Condensed Consolidated Statements of Income and Comprehensive Income for the three months and nine months ended September</w:t>
            </w:r>
          </w:p>
        </w:tc>
        <w:tc>
          <w:tcPr>
            <w:tcW w:w="1020" w:type="dxa"/>
            <w:vAlign w:val="bottom"/>
          </w:tcPr>
          <w:p>
            <w:pPr>
              <w:spacing w:after="0"/>
              <w:rPr>
                <w:sz w:val="17"/>
                <w:szCs w:val="17"/>
                <w:color w:val="auto"/>
              </w:rPr>
            </w:pPr>
          </w:p>
        </w:tc>
      </w:tr>
      <w:tr>
        <w:trPr>
          <w:trHeight w:val="219"/>
        </w:trPr>
        <w:tc>
          <w:tcPr>
            <w:tcW w:w="1220" w:type="dxa"/>
            <w:vAlign w:val="bottom"/>
          </w:tcPr>
          <w:p>
            <w:pPr>
              <w:spacing w:after="0"/>
              <w:rPr>
                <w:sz w:val="19"/>
                <w:szCs w:val="19"/>
                <w:color w:val="auto"/>
              </w:rPr>
            </w:pPr>
          </w:p>
        </w:tc>
        <w:tc>
          <w:tcPr>
            <w:tcW w:w="9320" w:type="dxa"/>
            <w:vAlign w:val="bottom"/>
          </w:tcPr>
          <w:p>
            <w:pPr>
              <w:ind w:left="80"/>
              <w:spacing w:after="0"/>
              <w:rPr>
                <w:sz w:val="20"/>
                <w:szCs w:val="20"/>
                <w:color w:val="auto"/>
              </w:rPr>
            </w:pPr>
            <w:r>
              <w:rPr>
                <w:rFonts w:ascii="Arial" w:cs="Arial" w:eastAsia="Arial" w:hAnsi="Arial"/>
                <w:sz w:val="17"/>
                <w:szCs w:val="17"/>
                <w:color w:val="auto"/>
              </w:rPr>
              <w:t>30, 2018 (Unaudited) and 2017 (Unaudited)</w:t>
            </w: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3</w:t>
            </w:r>
          </w:p>
        </w:tc>
      </w:tr>
      <w:tr>
        <w:trPr>
          <w:trHeight w:val="213"/>
        </w:trPr>
        <w:tc>
          <w:tcPr>
            <w:tcW w:w="1220" w:type="dxa"/>
            <w:vAlign w:val="bottom"/>
            <w:shd w:val="clear" w:color="auto" w:fill="CCEEFF"/>
          </w:tcPr>
          <w:p>
            <w:pPr>
              <w:spacing w:after="0"/>
              <w:rPr>
                <w:sz w:val="18"/>
                <w:szCs w:val="18"/>
                <w:color w:val="auto"/>
              </w:rPr>
            </w:pPr>
          </w:p>
        </w:tc>
        <w:tc>
          <w:tcPr>
            <w:tcW w:w="9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Condensed Consolidated Statement of Stockholders’ Equity for the nine months ended September 30, 2018 (Unaudited)</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w:t>
            </w:r>
          </w:p>
        </w:tc>
      </w:tr>
      <w:tr>
        <w:trPr>
          <w:trHeight w:val="203"/>
        </w:trPr>
        <w:tc>
          <w:tcPr>
            <w:tcW w:w="1220" w:type="dxa"/>
            <w:vAlign w:val="bottom"/>
          </w:tcPr>
          <w:p>
            <w:pPr>
              <w:spacing w:after="0"/>
              <w:rPr>
                <w:sz w:val="17"/>
                <w:szCs w:val="17"/>
                <w:color w:val="auto"/>
              </w:rPr>
            </w:pPr>
          </w:p>
        </w:tc>
        <w:tc>
          <w:tcPr>
            <w:tcW w:w="9320" w:type="dxa"/>
            <w:vAlign w:val="bottom"/>
          </w:tcPr>
          <w:p>
            <w:pPr>
              <w:ind w:left="80"/>
              <w:spacing w:after="0"/>
              <w:rPr>
                <w:sz w:val="20"/>
                <w:szCs w:val="20"/>
                <w:color w:val="auto"/>
              </w:rPr>
            </w:pPr>
            <w:r>
              <w:rPr>
                <w:rFonts w:ascii="Arial" w:cs="Arial" w:eastAsia="Arial" w:hAnsi="Arial"/>
                <w:sz w:val="17"/>
                <w:szCs w:val="17"/>
                <w:color w:val="auto"/>
                <w:w w:val="99"/>
              </w:rPr>
              <w:t>Condensed Consolidated Statements of Cash Flows for the nine months ended September 30, 2018 (Unaudited) and 2017</w:t>
            </w:r>
          </w:p>
        </w:tc>
        <w:tc>
          <w:tcPr>
            <w:tcW w:w="1020" w:type="dxa"/>
            <w:vAlign w:val="bottom"/>
          </w:tcPr>
          <w:p>
            <w:pPr>
              <w:spacing w:after="0"/>
              <w:rPr>
                <w:sz w:val="17"/>
                <w:szCs w:val="17"/>
                <w:color w:val="auto"/>
              </w:rPr>
            </w:pPr>
          </w:p>
        </w:tc>
      </w:tr>
      <w:tr>
        <w:trPr>
          <w:trHeight w:val="219"/>
        </w:trPr>
        <w:tc>
          <w:tcPr>
            <w:tcW w:w="1220" w:type="dxa"/>
            <w:vAlign w:val="bottom"/>
          </w:tcPr>
          <w:p>
            <w:pPr>
              <w:spacing w:after="0"/>
              <w:rPr>
                <w:sz w:val="19"/>
                <w:szCs w:val="19"/>
                <w:color w:val="auto"/>
              </w:rPr>
            </w:pPr>
          </w:p>
        </w:tc>
        <w:tc>
          <w:tcPr>
            <w:tcW w:w="9320" w:type="dxa"/>
            <w:vAlign w:val="bottom"/>
          </w:tcPr>
          <w:p>
            <w:pPr>
              <w:ind w:left="80"/>
              <w:spacing w:after="0"/>
              <w:rPr>
                <w:sz w:val="20"/>
                <w:szCs w:val="20"/>
                <w:color w:val="auto"/>
              </w:rPr>
            </w:pPr>
            <w:r>
              <w:rPr>
                <w:rFonts w:ascii="Arial" w:cs="Arial" w:eastAsia="Arial" w:hAnsi="Arial"/>
                <w:sz w:val="17"/>
                <w:szCs w:val="17"/>
                <w:color w:val="auto"/>
              </w:rPr>
              <w:t>(Unaudited)</w:t>
            </w: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5</w:t>
            </w:r>
          </w:p>
        </w:tc>
      </w:tr>
      <w:tr>
        <w:trPr>
          <w:trHeight w:val="213"/>
        </w:trPr>
        <w:tc>
          <w:tcPr>
            <w:tcW w:w="1220" w:type="dxa"/>
            <w:vAlign w:val="bottom"/>
            <w:shd w:val="clear" w:color="auto" w:fill="CCEEFF"/>
          </w:tcPr>
          <w:p>
            <w:pPr>
              <w:spacing w:after="0"/>
              <w:rPr>
                <w:sz w:val="18"/>
                <w:szCs w:val="18"/>
                <w:color w:val="auto"/>
              </w:rPr>
            </w:pPr>
          </w:p>
        </w:tc>
        <w:tc>
          <w:tcPr>
            <w:tcW w:w="9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Notes to Condensed Consolidated Financial Statements (Unaudited)</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w:t>
            </w:r>
          </w:p>
        </w:tc>
      </w:tr>
      <w:tr>
        <w:trPr>
          <w:trHeight w:val="212"/>
        </w:trPr>
        <w:tc>
          <w:tcPr>
            <w:tcW w:w="1220" w:type="dxa"/>
            <w:vAlign w:val="bottom"/>
          </w:tcPr>
          <w:p>
            <w:pPr>
              <w:ind w:left="120"/>
              <w:spacing w:after="0"/>
              <w:rPr>
                <w:sz w:val="20"/>
                <w:szCs w:val="20"/>
                <w:color w:val="auto"/>
              </w:rPr>
            </w:pPr>
            <w:r>
              <w:rPr>
                <w:rFonts w:ascii="Arial" w:cs="Arial" w:eastAsia="Arial" w:hAnsi="Arial"/>
                <w:sz w:val="17"/>
                <w:szCs w:val="17"/>
                <w:color w:val="auto"/>
              </w:rPr>
              <w:t>Item 2 —</w:t>
            </w:r>
          </w:p>
        </w:tc>
        <w:tc>
          <w:tcPr>
            <w:tcW w:w="9320" w:type="dxa"/>
            <w:vAlign w:val="bottom"/>
          </w:tcPr>
          <w:p>
            <w:pPr>
              <w:ind w:left="8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40</w:t>
            </w:r>
          </w:p>
        </w:tc>
      </w:tr>
      <w:tr>
        <w:trPr>
          <w:trHeight w:val="212"/>
        </w:trPr>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Item 3 —</w:t>
            </w:r>
          </w:p>
        </w:tc>
        <w:tc>
          <w:tcPr>
            <w:tcW w:w="9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Quantitative and Qualitative Disclosures About Market Risk</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76</w:t>
            </w:r>
          </w:p>
        </w:tc>
      </w:tr>
      <w:tr>
        <w:trPr>
          <w:trHeight w:val="212"/>
        </w:trPr>
        <w:tc>
          <w:tcPr>
            <w:tcW w:w="1220" w:type="dxa"/>
            <w:vAlign w:val="bottom"/>
          </w:tcPr>
          <w:p>
            <w:pPr>
              <w:ind w:left="120"/>
              <w:spacing w:after="0"/>
              <w:rPr>
                <w:sz w:val="20"/>
                <w:szCs w:val="20"/>
                <w:color w:val="auto"/>
              </w:rPr>
            </w:pPr>
            <w:r>
              <w:rPr>
                <w:rFonts w:ascii="Arial" w:cs="Arial" w:eastAsia="Arial" w:hAnsi="Arial"/>
                <w:sz w:val="17"/>
                <w:szCs w:val="17"/>
                <w:color w:val="auto"/>
              </w:rPr>
              <w:t>Item 4 —</w:t>
            </w:r>
          </w:p>
        </w:tc>
        <w:tc>
          <w:tcPr>
            <w:tcW w:w="9320" w:type="dxa"/>
            <w:vAlign w:val="bottom"/>
          </w:tcPr>
          <w:p>
            <w:pPr>
              <w:ind w:left="80"/>
              <w:spacing w:after="0"/>
              <w:rPr>
                <w:sz w:val="20"/>
                <w:szCs w:val="20"/>
                <w:color w:val="auto"/>
              </w:rPr>
            </w:pPr>
            <w:r>
              <w:rPr>
                <w:rFonts w:ascii="Arial" w:cs="Arial" w:eastAsia="Arial" w:hAnsi="Arial"/>
                <w:sz w:val="17"/>
                <w:szCs w:val="17"/>
                <w:color w:val="auto"/>
              </w:rPr>
              <w:t>Controls and Procedures</w:t>
            </w: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77</w:t>
            </w:r>
          </w:p>
        </w:tc>
      </w:tr>
      <w:tr>
        <w:trPr>
          <w:trHeight w:val="212"/>
        </w:trPr>
        <w:tc>
          <w:tcPr>
            <w:tcW w:w="1054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2"/>
        </w:trPr>
        <w:tc>
          <w:tcPr>
            <w:tcW w:w="10540" w:type="dxa"/>
            <w:vAlign w:val="bottom"/>
            <w:gridSpan w:val="2"/>
          </w:tcPr>
          <w:p>
            <w:pPr>
              <w:spacing w:after="0"/>
              <w:rPr>
                <w:sz w:val="20"/>
                <w:szCs w:val="20"/>
                <w:color w:val="auto"/>
              </w:rPr>
            </w:pPr>
            <w:r>
              <w:rPr>
                <w:rFonts w:ascii="Arial" w:cs="Arial" w:eastAsia="Arial" w:hAnsi="Arial"/>
                <w:sz w:val="17"/>
                <w:szCs w:val="17"/>
                <w:b w:val="1"/>
                <w:bCs w:val="1"/>
                <w:color w:val="auto"/>
              </w:rPr>
              <w:t>PART II — OTHER INFORMATION</w:t>
            </w: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78</w:t>
            </w:r>
          </w:p>
        </w:tc>
      </w:tr>
      <w:tr>
        <w:trPr>
          <w:trHeight w:val="212"/>
        </w:trPr>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Item 1 —</w:t>
            </w:r>
          </w:p>
        </w:tc>
        <w:tc>
          <w:tcPr>
            <w:tcW w:w="9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Legal Proceedings</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78</w:t>
            </w:r>
          </w:p>
        </w:tc>
      </w:tr>
      <w:tr>
        <w:trPr>
          <w:trHeight w:val="212"/>
        </w:trPr>
        <w:tc>
          <w:tcPr>
            <w:tcW w:w="1220" w:type="dxa"/>
            <w:vAlign w:val="bottom"/>
          </w:tcPr>
          <w:p>
            <w:pPr>
              <w:ind w:left="120"/>
              <w:spacing w:after="0"/>
              <w:rPr>
                <w:sz w:val="20"/>
                <w:szCs w:val="20"/>
                <w:color w:val="auto"/>
              </w:rPr>
            </w:pPr>
            <w:r>
              <w:rPr>
                <w:rFonts w:ascii="Arial" w:cs="Arial" w:eastAsia="Arial" w:hAnsi="Arial"/>
                <w:sz w:val="17"/>
                <w:szCs w:val="17"/>
                <w:color w:val="auto"/>
              </w:rPr>
              <w:t>Item 1A —</w:t>
            </w:r>
          </w:p>
        </w:tc>
        <w:tc>
          <w:tcPr>
            <w:tcW w:w="9320" w:type="dxa"/>
            <w:vAlign w:val="bottom"/>
          </w:tcPr>
          <w:p>
            <w:pPr>
              <w:ind w:left="80"/>
              <w:spacing w:after="0"/>
              <w:rPr>
                <w:sz w:val="20"/>
                <w:szCs w:val="20"/>
                <w:color w:val="auto"/>
              </w:rPr>
            </w:pPr>
            <w:r>
              <w:rPr>
                <w:rFonts w:ascii="Arial" w:cs="Arial" w:eastAsia="Arial" w:hAnsi="Arial"/>
                <w:sz w:val="17"/>
                <w:szCs w:val="17"/>
                <w:color w:val="auto"/>
              </w:rPr>
              <w:t>Risk Factors</w:t>
            </w: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78</w:t>
            </w:r>
          </w:p>
        </w:tc>
      </w:tr>
      <w:tr>
        <w:trPr>
          <w:trHeight w:val="212"/>
        </w:trPr>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Item 2 —</w:t>
            </w:r>
          </w:p>
        </w:tc>
        <w:tc>
          <w:tcPr>
            <w:tcW w:w="9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Unregistered Sales of Equity Securities and Use of Proceeds</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78</w:t>
            </w:r>
          </w:p>
        </w:tc>
      </w:tr>
      <w:tr>
        <w:trPr>
          <w:trHeight w:val="212"/>
        </w:trPr>
        <w:tc>
          <w:tcPr>
            <w:tcW w:w="1220" w:type="dxa"/>
            <w:vAlign w:val="bottom"/>
          </w:tcPr>
          <w:p>
            <w:pPr>
              <w:ind w:left="120"/>
              <w:spacing w:after="0"/>
              <w:rPr>
                <w:sz w:val="20"/>
                <w:szCs w:val="20"/>
                <w:color w:val="auto"/>
              </w:rPr>
            </w:pPr>
            <w:r>
              <w:rPr>
                <w:rFonts w:ascii="Arial" w:cs="Arial" w:eastAsia="Arial" w:hAnsi="Arial"/>
                <w:sz w:val="17"/>
                <w:szCs w:val="17"/>
                <w:color w:val="auto"/>
              </w:rPr>
              <w:t>Item 3 —</w:t>
            </w:r>
          </w:p>
        </w:tc>
        <w:tc>
          <w:tcPr>
            <w:tcW w:w="9320" w:type="dxa"/>
            <w:vAlign w:val="bottom"/>
          </w:tcPr>
          <w:p>
            <w:pPr>
              <w:ind w:left="80"/>
              <w:spacing w:after="0"/>
              <w:rPr>
                <w:sz w:val="20"/>
                <w:szCs w:val="20"/>
                <w:color w:val="auto"/>
              </w:rPr>
            </w:pPr>
            <w:r>
              <w:rPr>
                <w:rFonts w:ascii="Arial" w:cs="Arial" w:eastAsia="Arial" w:hAnsi="Arial"/>
                <w:sz w:val="17"/>
                <w:szCs w:val="17"/>
                <w:color w:val="auto"/>
              </w:rPr>
              <w:t>Defaults Upon Senior Securities</w:t>
            </w: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78</w:t>
            </w:r>
          </w:p>
        </w:tc>
      </w:tr>
      <w:tr>
        <w:trPr>
          <w:trHeight w:val="212"/>
        </w:trPr>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Item 4 —</w:t>
            </w:r>
          </w:p>
        </w:tc>
        <w:tc>
          <w:tcPr>
            <w:tcW w:w="9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Mine Safety Disclosures</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78</w:t>
            </w:r>
          </w:p>
        </w:tc>
      </w:tr>
      <w:tr>
        <w:trPr>
          <w:trHeight w:val="212"/>
        </w:trPr>
        <w:tc>
          <w:tcPr>
            <w:tcW w:w="1220" w:type="dxa"/>
            <w:vAlign w:val="bottom"/>
          </w:tcPr>
          <w:p>
            <w:pPr>
              <w:ind w:left="120"/>
              <w:spacing w:after="0"/>
              <w:rPr>
                <w:sz w:val="20"/>
                <w:szCs w:val="20"/>
                <w:color w:val="auto"/>
              </w:rPr>
            </w:pPr>
            <w:r>
              <w:rPr>
                <w:rFonts w:ascii="Arial" w:cs="Arial" w:eastAsia="Arial" w:hAnsi="Arial"/>
                <w:sz w:val="17"/>
                <w:szCs w:val="17"/>
                <w:color w:val="auto"/>
              </w:rPr>
              <w:t>Item 5 —</w:t>
            </w:r>
          </w:p>
        </w:tc>
        <w:tc>
          <w:tcPr>
            <w:tcW w:w="9320" w:type="dxa"/>
            <w:vAlign w:val="bottom"/>
          </w:tcPr>
          <w:p>
            <w:pPr>
              <w:ind w:left="80"/>
              <w:spacing w:after="0"/>
              <w:rPr>
                <w:sz w:val="20"/>
                <w:szCs w:val="20"/>
                <w:color w:val="auto"/>
              </w:rPr>
            </w:pPr>
            <w:r>
              <w:rPr>
                <w:rFonts w:ascii="Arial" w:cs="Arial" w:eastAsia="Arial" w:hAnsi="Arial"/>
                <w:sz w:val="17"/>
                <w:szCs w:val="17"/>
                <w:color w:val="auto"/>
              </w:rPr>
              <w:t>Other Information</w:t>
            </w: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78</w:t>
            </w:r>
          </w:p>
        </w:tc>
      </w:tr>
      <w:tr>
        <w:trPr>
          <w:trHeight w:val="212"/>
        </w:trPr>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Item 6 —</w:t>
            </w:r>
          </w:p>
        </w:tc>
        <w:tc>
          <w:tcPr>
            <w:tcW w:w="9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Exhibits</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79</w:t>
            </w:r>
          </w:p>
        </w:tc>
      </w:tr>
      <w:tr>
        <w:trPr>
          <w:trHeight w:val="203"/>
        </w:trPr>
        <w:tc>
          <w:tcPr>
            <w:tcW w:w="1220" w:type="dxa"/>
            <w:vAlign w:val="bottom"/>
          </w:tcPr>
          <w:p>
            <w:pPr>
              <w:spacing w:after="0"/>
              <w:rPr>
                <w:sz w:val="20"/>
                <w:szCs w:val="20"/>
                <w:color w:val="auto"/>
              </w:rPr>
            </w:pPr>
            <w:r>
              <w:rPr>
                <w:rFonts w:ascii="Arial" w:cs="Arial" w:eastAsia="Arial" w:hAnsi="Arial"/>
                <w:sz w:val="17"/>
                <w:szCs w:val="17"/>
                <w:color w:val="auto"/>
              </w:rPr>
              <w:t>Signatures</w:t>
            </w:r>
          </w:p>
        </w:tc>
        <w:tc>
          <w:tcPr>
            <w:tcW w:w="9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2"/>
        </w:trPr>
        <w:tc>
          <w:tcPr>
            <w:tcW w:w="1220" w:type="dxa"/>
            <w:vAlign w:val="bottom"/>
          </w:tcPr>
          <w:p>
            <w:pPr>
              <w:ind w:left="40"/>
              <w:spacing w:after="0"/>
              <w:rPr>
                <w:sz w:val="20"/>
                <w:szCs w:val="20"/>
                <w:color w:val="auto"/>
              </w:rPr>
            </w:pPr>
            <w:r>
              <w:rPr>
                <w:rFonts w:ascii="Arial" w:cs="Arial" w:eastAsia="Arial" w:hAnsi="Arial"/>
                <w:sz w:val="17"/>
                <w:szCs w:val="17"/>
                <w:color w:val="auto"/>
              </w:rPr>
              <w:t>EXHIBIT 3(a)</w:t>
            </w: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1220" w:type="dxa"/>
            <w:vAlign w:val="bottom"/>
          </w:tcPr>
          <w:p>
            <w:pPr>
              <w:ind w:left="40"/>
              <w:spacing w:after="0"/>
              <w:rPr>
                <w:sz w:val="20"/>
                <w:szCs w:val="20"/>
                <w:color w:val="auto"/>
              </w:rPr>
            </w:pPr>
            <w:r>
              <w:rPr>
                <w:rFonts w:ascii="Arial" w:cs="Arial" w:eastAsia="Arial" w:hAnsi="Arial"/>
                <w:sz w:val="17"/>
                <w:szCs w:val="17"/>
                <w:color w:val="auto"/>
              </w:rPr>
              <w:t>EXHIBIT 3(b)</w:t>
            </w: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1220" w:type="dxa"/>
            <w:vAlign w:val="bottom"/>
          </w:tcPr>
          <w:p>
            <w:pPr>
              <w:ind w:left="40"/>
              <w:spacing w:after="0"/>
              <w:rPr>
                <w:sz w:val="20"/>
                <w:szCs w:val="20"/>
                <w:color w:val="auto"/>
              </w:rPr>
            </w:pPr>
            <w:r>
              <w:rPr>
                <w:rFonts w:ascii="Arial" w:cs="Arial" w:eastAsia="Arial" w:hAnsi="Arial"/>
                <w:sz w:val="17"/>
                <w:szCs w:val="17"/>
                <w:color w:val="auto"/>
              </w:rPr>
              <w:t>EXHIBIT 10(a)</w:t>
            </w: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1220" w:type="dxa"/>
            <w:vAlign w:val="bottom"/>
          </w:tcPr>
          <w:p>
            <w:pPr>
              <w:ind w:left="40"/>
              <w:spacing w:after="0"/>
              <w:rPr>
                <w:sz w:val="20"/>
                <w:szCs w:val="20"/>
                <w:color w:val="auto"/>
              </w:rPr>
            </w:pPr>
            <w:r>
              <w:rPr>
                <w:rFonts w:ascii="Arial" w:cs="Arial" w:eastAsia="Arial" w:hAnsi="Arial"/>
                <w:sz w:val="17"/>
                <w:szCs w:val="17"/>
                <w:color w:val="auto"/>
              </w:rPr>
              <w:t>EXHIBIT 10(b)</w:t>
            </w: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1220" w:type="dxa"/>
            <w:vAlign w:val="bottom"/>
          </w:tcPr>
          <w:p>
            <w:pPr>
              <w:ind w:left="40"/>
              <w:spacing w:after="0"/>
              <w:rPr>
                <w:sz w:val="20"/>
                <w:szCs w:val="20"/>
                <w:color w:val="auto"/>
              </w:rPr>
            </w:pPr>
            <w:r>
              <w:rPr>
                <w:rFonts w:ascii="Arial" w:cs="Arial" w:eastAsia="Arial" w:hAnsi="Arial"/>
                <w:sz w:val="17"/>
                <w:szCs w:val="17"/>
                <w:color w:val="auto"/>
              </w:rPr>
              <w:t>EXHIBIT 31(a)</w:t>
            </w: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1220" w:type="dxa"/>
            <w:vAlign w:val="bottom"/>
          </w:tcPr>
          <w:p>
            <w:pPr>
              <w:ind w:left="40"/>
              <w:spacing w:after="0"/>
              <w:rPr>
                <w:sz w:val="20"/>
                <w:szCs w:val="20"/>
                <w:color w:val="auto"/>
              </w:rPr>
            </w:pPr>
            <w:r>
              <w:rPr>
                <w:rFonts w:ascii="Arial" w:cs="Arial" w:eastAsia="Arial" w:hAnsi="Arial"/>
                <w:sz w:val="17"/>
                <w:szCs w:val="17"/>
                <w:color w:val="auto"/>
              </w:rPr>
              <w:t>EXHIBIT 31(b)</w:t>
            </w: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1220" w:type="dxa"/>
            <w:vAlign w:val="bottom"/>
          </w:tcPr>
          <w:p>
            <w:pPr>
              <w:ind w:left="40"/>
              <w:spacing w:after="0"/>
              <w:rPr>
                <w:sz w:val="20"/>
                <w:szCs w:val="20"/>
                <w:color w:val="auto"/>
              </w:rPr>
            </w:pPr>
            <w:r>
              <w:rPr>
                <w:rFonts w:ascii="Arial" w:cs="Arial" w:eastAsia="Arial" w:hAnsi="Arial"/>
                <w:sz w:val="17"/>
                <w:szCs w:val="17"/>
                <w:color w:val="auto"/>
              </w:rPr>
              <w:t>EXHIBIT 32</w:t>
            </w:r>
          </w:p>
        </w:tc>
        <w:tc>
          <w:tcPr>
            <w:tcW w:w="932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ind w:left="40"/>
        <w:spacing w:after="0"/>
        <w:rPr>
          <w:sz w:val="20"/>
          <w:szCs w:val="20"/>
          <w:color w:val="auto"/>
        </w:rPr>
      </w:pPr>
      <w:r>
        <w:rPr>
          <w:rFonts w:ascii="Arial" w:cs="Arial" w:eastAsia="Arial" w:hAnsi="Arial"/>
          <w:sz w:val="17"/>
          <w:szCs w:val="17"/>
          <w:color w:val="auto"/>
        </w:rPr>
        <w:t>EXHIBIT 101.INS XBRL Instance Document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101.SCH XBRL Taxonomy Extension Schema</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101.CAL XBRL Taxonomy Extension Calculation Linkbase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101.DEF XBRL Taxonomy Extension Definition Linkbase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101.LAB XBRL Taxonomy Extension Label Linkbase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281305</wp:posOffset>
            </wp:positionV>
            <wp:extent cx="7340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69" w:right="17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auto"/>
        </w:rPr>
        <w:t>Forward-Looking Statements</w:t>
      </w:r>
    </w:p>
    <w:p>
      <w:pPr>
        <w:spacing w:after="0" w:line="16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This Quarterly Report on Form 10-Q contains forward-looking statements within the meaning of the Private Securities Litigation Reform Act of 1995. The events described in forward-looking statements contained in this Quarterly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Item 7 of our Annual Report on Form 10-K for the year ended December 31, 2017 under “Factors That May Affect Future Results and Financial Condition.”</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886460</wp:posOffset>
            </wp:positionV>
            <wp:extent cx="7340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1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0" w:type="dxa"/>
            <w:vAlign w:val="bottom"/>
            <w:gridSpan w:val="2"/>
          </w:tcPr>
          <w:p>
            <w:pPr>
              <w:jc w:val="center"/>
              <w:ind w:left="1354"/>
              <w:spacing w:after="0"/>
              <w:rPr>
                <w:sz w:val="20"/>
                <w:szCs w:val="20"/>
                <w:color w:val="auto"/>
              </w:rPr>
            </w:pPr>
            <w:r>
              <w:rPr>
                <w:rFonts w:ascii="Arial" w:cs="Arial" w:eastAsia="Arial" w:hAnsi="Arial"/>
                <w:sz w:val="17"/>
                <w:szCs w:val="17"/>
                <w:b w:val="1"/>
                <w:bCs w:val="1"/>
                <w:color w:val="auto"/>
              </w:rPr>
              <w:t>PART I. FINANCIAL INFORMATION</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3640" w:type="dxa"/>
            <w:vAlign w:val="bottom"/>
            <w:gridSpan w:val="2"/>
          </w:tcPr>
          <w:p>
            <w:pPr>
              <w:spacing w:after="0"/>
              <w:rPr>
                <w:sz w:val="20"/>
                <w:szCs w:val="20"/>
                <w:color w:val="auto"/>
              </w:rPr>
            </w:pPr>
            <w:r>
              <w:rPr>
                <w:rFonts w:ascii="Arial" w:cs="Arial" w:eastAsia="Arial" w:hAnsi="Arial"/>
                <w:sz w:val="17"/>
                <w:szCs w:val="17"/>
                <w:b w:val="1"/>
                <w:bCs w:val="1"/>
                <w:color w:val="auto"/>
              </w:rPr>
              <w:t>Financial Statements</w:t>
            </w:r>
            <w:r>
              <w:rPr>
                <w:rFonts w:ascii="Arial" w:cs="Arial" w:eastAsia="Arial" w:hAnsi="Arial"/>
                <w:sz w:val="17"/>
                <w:szCs w:val="17"/>
                <w:color w:val="auto"/>
              </w:rPr>
              <w:t>.</w:t>
            </w:r>
          </w:p>
        </w:tc>
        <w:tc>
          <w:tcPr>
            <w:tcW w:w="230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1"/>
        </w:trPr>
        <w:tc>
          <w:tcPr>
            <w:tcW w:w="13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00" w:type="dxa"/>
            <w:vAlign w:val="bottom"/>
            <w:gridSpan w:val="5"/>
          </w:tcPr>
          <w:p>
            <w:pPr>
              <w:jc w:val="right"/>
              <w:spacing w:after="0"/>
              <w:rPr>
                <w:sz w:val="20"/>
                <w:szCs w:val="20"/>
                <w:color w:val="auto"/>
              </w:rPr>
            </w:pPr>
            <w:r>
              <w:rPr>
                <w:rFonts w:ascii="Arial" w:cs="Arial" w:eastAsia="Arial" w:hAnsi="Arial"/>
                <w:sz w:val="17"/>
                <w:szCs w:val="17"/>
                <w:b w:val="1"/>
                <w:bCs w:val="1"/>
                <w:color w:val="auto"/>
              </w:rPr>
              <w:t>KINGSTONE COMPANIES, INC. AND SUBSIDIARIES</w:t>
            </w:r>
          </w:p>
        </w:tc>
      </w:tr>
      <w:tr>
        <w:trPr>
          <w:trHeight w:val="248"/>
        </w:trPr>
        <w:tc>
          <w:tcPr>
            <w:tcW w:w="726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rPr>
              <w:t>Condensed Consolidated Balance Sheets</w:t>
            </w:r>
          </w:p>
        </w:tc>
        <w:tc>
          <w:tcPr>
            <w:tcW w:w="1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27"/>
        </w:trPr>
        <w:tc>
          <w:tcPr>
            <w:tcW w:w="1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center"/>
              <w:ind w:right="155"/>
              <w:spacing w:after="0"/>
              <w:rPr>
                <w:sz w:val="20"/>
                <w:szCs w:val="20"/>
                <w:color w:val="auto"/>
              </w:rPr>
            </w:pPr>
            <w:r>
              <w:rPr>
                <w:rFonts w:ascii="Arial" w:cs="Arial" w:eastAsia="Arial" w:hAnsi="Arial"/>
                <w:sz w:val="15"/>
                <w:szCs w:val="15"/>
                <w:b w:val="1"/>
                <w:bCs w:val="1"/>
                <w:color w:val="auto"/>
                <w:w w:val="87"/>
              </w:rPr>
              <w:t>September 30,</w:t>
            </w:r>
          </w:p>
        </w:tc>
        <w:tc>
          <w:tcPr>
            <w:tcW w:w="2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5"/>
                <w:szCs w:val="15"/>
                <w:b w:val="1"/>
                <w:bCs w:val="1"/>
                <w:color w:val="auto"/>
                <w:w w:val="88"/>
              </w:rPr>
              <w:t>December 31,</w:t>
            </w:r>
          </w:p>
        </w:tc>
      </w:tr>
      <w:tr>
        <w:trPr>
          <w:trHeight w:val="203"/>
        </w:trPr>
        <w:tc>
          <w:tcPr>
            <w:tcW w:w="1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95"/>
              <w:spacing w:after="0"/>
              <w:rPr>
                <w:sz w:val="20"/>
                <w:szCs w:val="20"/>
                <w:color w:val="auto"/>
              </w:rPr>
            </w:pPr>
            <w:r>
              <w:rPr>
                <w:rFonts w:ascii="Arial" w:cs="Arial" w:eastAsia="Arial" w:hAnsi="Arial"/>
                <w:sz w:val="15"/>
                <w:szCs w:val="15"/>
                <w:b w:val="1"/>
                <w:bCs w:val="1"/>
                <w:color w:val="auto"/>
                <w:w w:val="89"/>
              </w:rPr>
              <w:t>2018</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2017</w:t>
            </w:r>
          </w:p>
        </w:tc>
      </w:tr>
      <w:tr>
        <w:trPr>
          <w:trHeight w:val="212"/>
        </w:trPr>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55"/>
              <w:spacing w:after="0"/>
              <w:rPr>
                <w:sz w:val="20"/>
                <w:szCs w:val="20"/>
                <w:color w:val="auto"/>
              </w:rPr>
            </w:pPr>
            <w:r>
              <w:rPr>
                <w:rFonts w:ascii="Arial" w:cs="Arial" w:eastAsia="Arial" w:hAnsi="Arial"/>
                <w:sz w:val="15"/>
                <w:szCs w:val="15"/>
                <w:color w:val="auto"/>
                <w:w w:val="86"/>
              </w:rPr>
              <w:t>(unaudited)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13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154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7"/>
        </w:trPr>
        <w:tc>
          <w:tcPr>
            <w:tcW w:w="7260" w:type="dxa"/>
            <w:vAlign w:val="bottom"/>
            <w:gridSpan w:val="4"/>
          </w:tcPr>
          <w:p>
            <w:pPr>
              <w:ind w:left="260"/>
              <w:spacing w:after="0"/>
              <w:rPr>
                <w:sz w:val="20"/>
                <w:szCs w:val="20"/>
                <w:color w:val="auto"/>
              </w:rPr>
            </w:pPr>
            <w:r>
              <w:rPr>
                <w:rFonts w:ascii="Arial" w:cs="Arial" w:eastAsia="Arial" w:hAnsi="Arial"/>
                <w:sz w:val="17"/>
                <w:szCs w:val="17"/>
                <w:color w:val="auto"/>
              </w:rPr>
              <w:t>Fixed-maturity securities, held-to-maturity, at amortized cost (fair value of</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3"/>
        </w:trPr>
        <w:tc>
          <w:tcPr>
            <w:tcW w:w="7260" w:type="dxa"/>
            <w:vAlign w:val="bottom"/>
            <w:gridSpan w:val="4"/>
            <w:shd w:val="clear" w:color="auto" w:fill="CCEEFF"/>
          </w:tcPr>
          <w:p>
            <w:pPr>
              <w:ind w:left="400"/>
              <w:spacing w:after="0"/>
              <w:rPr>
                <w:sz w:val="20"/>
                <w:szCs w:val="20"/>
                <w:color w:val="auto"/>
              </w:rPr>
            </w:pPr>
            <w:r>
              <w:rPr>
                <w:rFonts w:ascii="Arial" w:cs="Arial" w:eastAsia="Arial" w:hAnsi="Arial"/>
                <w:sz w:val="17"/>
                <w:szCs w:val="17"/>
                <w:color w:val="auto"/>
              </w:rPr>
              <w:t>$4,410,764 at September 30, 2018 and $5,150,076 at December 31, 2017)</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4,222,352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4,869,808</w:t>
            </w:r>
          </w:p>
        </w:tc>
      </w:tr>
      <w:tr>
        <w:trPr>
          <w:trHeight w:val="212"/>
        </w:trPr>
        <w:tc>
          <w:tcPr>
            <w:tcW w:w="7260" w:type="dxa"/>
            <w:vAlign w:val="bottom"/>
            <w:gridSpan w:val="4"/>
          </w:tcPr>
          <w:p>
            <w:pPr>
              <w:ind w:left="260"/>
              <w:spacing w:after="0"/>
              <w:rPr>
                <w:sz w:val="20"/>
                <w:szCs w:val="20"/>
                <w:color w:val="auto"/>
              </w:rPr>
            </w:pPr>
            <w:r>
              <w:rPr>
                <w:rFonts w:ascii="Arial" w:cs="Arial" w:eastAsia="Arial" w:hAnsi="Arial"/>
                <w:sz w:val="17"/>
                <w:szCs w:val="17"/>
                <w:color w:val="auto"/>
              </w:rPr>
              <w:t>Fixed-maturity securities, available-for-sale, at fair value (amortized cost of</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7260" w:type="dxa"/>
            <w:vAlign w:val="bottom"/>
            <w:gridSpan w:val="4"/>
            <w:shd w:val="clear" w:color="auto" w:fill="CCEEFF"/>
          </w:tcPr>
          <w:p>
            <w:pPr>
              <w:ind w:left="400"/>
              <w:spacing w:after="0"/>
              <w:rPr>
                <w:sz w:val="20"/>
                <w:szCs w:val="20"/>
                <w:color w:val="auto"/>
              </w:rPr>
            </w:pPr>
            <w:r>
              <w:rPr>
                <w:rFonts w:ascii="Arial" w:cs="Arial" w:eastAsia="Arial" w:hAnsi="Arial"/>
                <w:sz w:val="17"/>
                <w:szCs w:val="17"/>
                <w:color w:val="auto"/>
              </w:rPr>
              <w:t>$144,572,834 at September 30, 2018 and $119,122,106 at December 31, 2017)</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141,360,535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119,988,256</w:t>
            </w:r>
          </w:p>
        </w:tc>
      </w:tr>
      <w:tr>
        <w:trPr>
          <w:trHeight w:val="212"/>
        </w:trPr>
        <w:tc>
          <w:tcPr>
            <w:tcW w:w="7260" w:type="dxa"/>
            <w:vAlign w:val="bottom"/>
            <w:gridSpan w:val="4"/>
          </w:tcPr>
          <w:p>
            <w:pPr>
              <w:ind w:left="260"/>
              <w:spacing w:after="0"/>
              <w:rPr>
                <w:sz w:val="20"/>
                <w:szCs w:val="20"/>
                <w:color w:val="auto"/>
              </w:rPr>
            </w:pPr>
            <w:r>
              <w:rPr>
                <w:rFonts w:ascii="Arial" w:cs="Arial" w:eastAsia="Arial" w:hAnsi="Arial"/>
                <w:sz w:val="17"/>
                <w:szCs w:val="17"/>
                <w:color w:val="auto"/>
              </w:rPr>
              <w:t>Equity securities, at fair value (cost of $18,494,309 at September 30, 2018 and</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7260" w:type="dxa"/>
            <w:vAlign w:val="bottom"/>
            <w:gridSpan w:val="4"/>
            <w:shd w:val="clear" w:color="auto" w:fill="CCEEFF"/>
          </w:tcPr>
          <w:p>
            <w:pPr>
              <w:ind w:left="400"/>
              <w:spacing w:after="0"/>
              <w:rPr>
                <w:sz w:val="20"/>
                <w:szCs w:val="20"/>
                <w:color w:val="auto"/>
              </w:rPr>
            </w:pPr>
            <w:r>
              <w:rPr>
                <w:rFonts w:ascii="Arial" w:cs="Arial" w:eastAsia="Arial" w:hAnsi="Arial"/>
                <w:sz w:val="17"/>
                <w:szCs w:val="17"/>
                <w:color w:val="auto"/>
              </w:rPr>
              <w:t>$13,761,841 at December 31, 2017)</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18,876,690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14,286,198</w:t>
            </w:r>
          </w:p>
        </w:tc>
      </w:tr>
      <w:tr>
        <w:trPr>
          <w:trHeight w:val="218"/>
        </w:trPr>
        <w:tc>
          <w:tcPr>
            <w:tcW w:w="7260" w:type="dxa"/>
            <w:vAlign w:val="bottom"/>
            <w:gridSpan w:val="4"/>
          </w:tcPr>
          <w:p>
            <w:pPr>
              <w:ind w:left="200"/>
              <w:spacing w:after="0"/>
              <w:rPr>
                <w:sz w:val="20"/>
                <w:szCs w:val="20"/>
                <w:color w:val="auto"/>
              </w:rPr>
            </w:pPr>
            <w:r>
              <w:rPr>
                <w:rFonts w:ascii="Arial" w:cs="Arial" w:eastAsia="Arial" w:hAnsi="Arial"/>
                <w:sz w:val="17"/>
                <w:szCs w:val="17"/>
                <w:color w:val="auto"/>
              </w:rPr>
              <w:t>Other investments</w:t>
            </w:r>
          </w:p>
        </w:tc>
        <w:tc>
          <w:tcPr>
            <w:tcW w:w="1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2,241,444</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r>
      <w:tr>
        <w:trPr>
          <w:trHeight w:val="212"/>
        </w:trPr>
        <w:tc>
          <w:tcPr>
            <w:tcW w:w="72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Total investments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166,701,021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139,144,262</w:t>
            </w:r>
          </w:p>
        </w:tc>
      </w:tr>
      <w:tr>
        <w:trPr>
          <w:trHeight w:val="212"/>
        </w:trPr>
        <w:tc>
          <w:tcPr>
            <w:tcW w:w="7260" w:type="dxa"/>
            <w:vAlign w:val="bottom"/>
            <w:gridSpan w:val="4"/>
          </w:tcPr>
          <w:p>
            <w:pPr>
              <w:ind w:left="200"/>
              <w:spacing w:after="0"/>
              <w:rPr>
                <w:sz w:val="20"/>
                <w:szCs w:val="20"/>
                <w:color w:val="auto"/>
              </w:rPr>
            </w:pPr>
            <w:r>
              <w:rPr>
                <w:rFonts w:ascii="Arial" w:cs="Arial" w:eastAsia="Arial" w:hAnsi="Arial"/>
                <w:sz w:val="17"/>
                <w:szCs w:val="17"/>
                <w:color w:val="auto"/>
              </w:rPr>
              <w:t>Cash and cash equivalents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29,893,676</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48,381,633</w:t>
            </w:r>
          </w:p>
        </w:tc>
      </w:tr>
      <w:tr>
        <w:trPr>
          <w:trHeight w:val="212"/>
        </w:trPr>
        <w:tc>
          <w:tcPr>
            <w:tcW w:w="72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Investment subscription receivable</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2,000,000</w:t>
            </w:r>
          </w:p>
        </w:tc>
      </w:tr>
      <w:tr>
        <w:trPr>
          <w:trHeight w:val="212"/>
        </w:trPr>
        <w:tc>
          <w:tcPr>
            <w:tcW w:w="7260" w:type="dxa"/>
            <w:vAlign w:val="bottom"/>
            <w:gridSpan w:val="4"/>
          </w:tcPr>
          <w:p>
            <w:pPr>
              <w:ind w:left="200"/>
              <w:spacing w:after="0"/>
              <w:rPr>
                <w:sz w:val="20"/>
                <w:szCs w:val="20"/>
                <w:color w:val="auto"/>
              </w:rPr>
            </w:pPr>
            <w:r>
              <w:rPr>
                <w:rFonts w:ascii="Arial" w:cs="Arial" w:eastAsia="Arial" w:hAnsi="Arial"/>
                <w:sz w:val="17"/>
                <w:szCs w:val="17"/>
                <w:color w:val="auto"/>
              </w:rPr>
              <w:t>Premiums receivable, net</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13,484,547</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13,217,698</w:t>
            </w:r>
          </w:p>
        </w:tc>
      </w:tr>
      <w:tr>
        <w:trPr>
          <w:trHeight w:val="212"/>
        </w:trPr>
        <w:tc>
          <w:tcPr>
            <w:tcW w:w="72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Reinsurance receivables, net</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25,018,461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28,519,130</w:t>
            </w:r>
          </w:p>
        </w:tc>
      </w:tr>
      <w:tr>
        <w:trPr>
          <w:trHeight w:val="212"/>
        </w:trPr>
        <w:tc>
          <w:tcPr>
            <w:tcW w:w="7260" w:type="dxa"/>
            <w:vAlign w:val="bottom"/>
            <w:gridSpan w:val="4"/>
          </w:tcPr>
          <w:p>
            <w:pPr>
              <w:ind w:left="200"/>
              <w:spacing w:after="0"/>
              <w:rPr>
                <w:sz w:val="20"/>
                <w:szCs w:val="20"/>
                <w:color w:val="auto"/>
              </w:rPr>
            </w:pPr>
            <w:r>
              <w:rPr>
                <w:rFonts w:ascii="Arial" w:cs="Arial" w:eastAsia="Arial" w:hAnsi="Arial"/>
                <w:sz w:val="17"/>
                <w:szCs w:val="17"/>
                <w:color w:val="auto"/>
              </w:rPr>
              <w:t>Deferred policy acquisition costs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17,123,248</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14,847,236</w:t>
            </w:r>
          </w:p>
        </w:tc>
      </w:tr>
      <w:tr>
        <w:trPr>
          <w:trHeight w:val="212"/>
        </w:trPr>
        <w:tc>
          <w:tcPr>
            <w:tcW w:w="72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Intangible assets, net</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755,000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1,010,000</w:t>
            </w:r>
          </w:p>
        </w:tc>
      </w:tr>
      <w:tr>
        <w:trPr>
          <w:trHeight w:val="212"/>
        </w:trPr>
        <w:tc>
          <w:tcPr>
            <w:tcW w:w="7260" w:type="dxa"/>
            <w:vAlign w:val="bottom"/>
            <w:gridSpan w:val="4"/>
          </w:tcPr>
          <w:p>
            <w:pPr>
              <w:ind w:left="200"/>
              <w:spacing w:after="0"/>
              <w:rPr>
                <w:sz w:val="20"/>
                <w:szCs w:val="20"/>
                <w:color w:val="auto"/>
              </w:rPr>
            </w:pPr>
            <w:r>
              <w:rPr>
                <w:rFonts w:ascii="Arial" w:cs="Arial" w:eastAsia="Arial" w:hAnsi="Arial"/>
                <w:sz w:val="17"/>
                <w:szCs w:val="17"/>
                <w:color w:val="auto"/>
              </w:rPr>
              <w:t>Property and equipment, net</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5,798,042</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4,772,577</w:t>
            </w:r>
          </w:p>
        </w:tc>
      </w:tr>
      <w:tr>
        <w:trPr>
          <w:trHeight w:val="212"/>
        </w:trPr>
        <w:tc>
          <w:tcPr>
            <w:tcW w:w="72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Deferred income taxes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122,003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18"/>
        </w:trPr>
        <w:tc>
          <w:tcPr>
            <w:tcW w:w="1320" w:type="dxa"/>
            <w:vAlign w:val="bottom"/>
          </w:tcPr>
          <w:p>
            <w:pPr>
              <w:ind w:left="200"/>
              <w:spacing w:after="0"/>
              <w:rPr>
                <w:sz w:val="20"/>
                <w:szCs w:val="20"/>
                <w:color w:val="auto"/>
              </w:rPr>
            </w:pPr>
            <w:r>
              <w:rPr>
                <w:rFonts w:ascii="Arial" w:cs="Arial" w:eastAsia="Arial" w:hAnsi="Arial"/>
                <w:sz w:val="17"/>
                <w:szCs w:val="17"/>
                <w:color w:val="auto"/>
              </w:rPr>
              <w:t>Other assets</w:t>
            </w:r>
          </w:p>
        </w:tc>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4,476,703</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2,655,527</w:t>
            </w:r>
          </w:p>
        </w:tc>
      </w:tr>
      <w:tr>
        <w:trPr>
          <w:trHeight w:val="252"/>
        </w:trPr>
        <w:tc>
          <w:tcPr>
            <w:tcW w:w="13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Total assets</w:t>
            </w:r>
          </w:p>
        </w:tc>
        <w:tc>
          <w:tcPr>
            <w:tcW w:w="154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263,372,701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254,548,063</w:t>
            </w:r>
          </w:p>
        </w:tc>
      </w:tr>
      <w:tr>
        <w:trPr>
          <w:trHeight w:val="205"/>
        </w:trPr>
        <w:tc>
          <w:tcPr>
            <w:tcW w:w="132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2"/>
        </w:trPr>
        <w:tc>
          <w:tcPr>
            <w:tcW w:w="13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Liabilities</w:t>
            </w:r>
          </w:p>
        </w:tc>
        <w:tc>
          <w:tcPr>
            <w:tcW w:w="15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7260" w:type="dxa"/>
            <w:vAlign w:val="bottom"/>
            <w:gridSpan w:val="4"/>
          </w:tcPr>
          <w:p>
            <w:pPr>
              <w:ind w:left="200"/>
              <w:spacing w:after="0"/>
              <w:rPr>
                <w:sz w:val="20"/>
                <w:szCs w:val="20"/>
                <w:color w:val="auto"/>
              </w:rPr>
            </w:pPr>
            <w:r>
              <w:rPr>
                <w:rFonts w:ascii="Arial" w:cs="Arial" w:eastAsia="Arial" w:hAnsi="Arial"/>
                <w:sz w:val="17"/>
                <w:szCs w:val="17"/>
                <w:color w:val="auto"/>
              </w:rPr>
              <w:t>Loss and loss adjustment expense reserves</w:t>
            </w:r>
          </w:p>
        </w:tc>
        <w:tc>
          <w:tcPr>
            <w:tcW w:w="1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53,942,957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48,799,622</w:t>
            </w:r>
          </w:p>
        </w:tc>
      </w:tr>
      <w:tr>
        <w:trPr>
          <w:trHeight w:val="212"/>
        </w:trPr>
        <w:tc>
          <w:tcPr>
            <w:tcW w:w="72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Unearned premiums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75,574,404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65,647,663</w:t>
            </w:r>
          </w:p>
        </w:tc>
      </w:tr>
      <w:tr>
        <w:trPr>
          <w:trHeight w:val="212"/>
        </w:trPr>
        <w:tc>
          <w:tcPr>
            <w:tcW w:w="7260" w:type="dxa"/>
            <w:vAlign w:val="bottom"/>
            <w:gridSpan w:val="4"/>
          </w:tcPr>
          <w:p>
            <w:pPr>
              <w:ind w:left="200"/>
              <w:spacing w:after="0"/>
              <w:rPr>
                <w:sz w:val="20"/>
                <w:szCs w:val="20"/>
                <w:color w:val="auto"/>
              </w:rPr>
            </w:pPr>
            <w:r>
              <w:rPr>
                <w:rFonts w:ascii="Arial" w:cs="Arial" w:eastAsia="Arial" w:hAnsi="Arial"/>
                <w:sz w:val="17"/>
                <w:szCs w:val="17"/>
                <w:color w:val="auto"/>
              </w:rPr>
              <w:t>Advance premiums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2,888,720</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1,477,693</w:t>
            </w:r>
          </w:p>
        </w:tc>
      </w:tr>
      <w:tr>
        <w:trPr>
          <w:trHeight w:val="212"/>
        </w:trPr>
        <w:tc>
          <w:tcPr>
            <w:tcW w:w="72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Reinsurance balances payable</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1,723,844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2,563,966</w:t>
            </w:r>
          </w:p>
        </w:tc>
      </w:tr>
      <w:tr>
        <w:trPr>
          <w:trHeight w:val="212"/>
        </w:trPr>
        <w:tc>
          <w:tcPr>
            <w:tcW w:w="7260" w:type="dxa"/>
            <w:vAlign w:val="bottom"/>
            <w:gridSpan w:val="4"/>
          </w:tcPr>
          <w:p>
            <w:pPr>
              <w:ind w:left="200"/>
              <w:spacing w:after="0"/>
              <w:rPr>
                <w:sz w:val="20"/>
                <w:szCs w:val="20"/>
                <w:color w:val="auto"/>
              </w:rPr>
            </w:pPr>
            <w:r>
              <w:rPr>
                <w:rFonts w:ascii="Arial" w:cs="Arial" w:eastAsia="Arial" w:hAnsi="Arial"/>
                <w:sz w:val="17"/>
                <w:szCs w:val="17"/>
                <w:color w:val="auto"/>
              </w:rPr>
              <w:t>Deferred ceding commission revenue</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2,517,468</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4,266,412</w:t>
            </w:r>
          </w:p>
        </w:tc>
      </w:tr>
      <w:tr>
        <w:trPr>
          <w:trHeight w:val="212"/>
        </w:trPr>
        <w:tc>
          <w:tcPr>
            <w:tcW w:w="72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Accounts payable, accrued expenses and other liabilities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6,108,345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7,487,654</w:t>
            </w:r>
          </w:p>
        </w:tc>
      </w:tr>
      <w:tr>
        <w:trPr>
          <w:trHeight w:val="212"/>
        </w:trPr>
        <w:tc>
          <w:tcPr>
            <w:tcW w:w="7260" w:type="dxa"/>
            <w:vAlign w:val="bottom"/>
            <w:gridSpan w:val="4"/>
          </w:tcPr>
          <w:p>
            <w:pPr>
              <w:ind w:left="200"/>
              <w:spacing w:after="0"/>
              <w:rPr>
                <w:sz w:val="20"/>
                <w:szCs w:val="20"/>
                <w:color w:val="auto"/>
              </w:rPr>
            </w:pPr>
            <w:r>
              <w:rPr>
                <w:rFonts w:ascii="Arial" w:cs="Arial" w:eastAsia="Arial" w:hAnsi="Arial"/>
                <w:sz w:val="17"/>
                <w:szCs w:val="17"/>
                <w:color w:val="auto"/>
              </w:rPr>
              <w:t>Deferred income taxes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600,342</w:t>
            </w:r>
          </w:p>
        </w:tc>
      </w:tr>
      <w:tr>
        <w:trPr>
          <w:trHeight w:val="218"/>
        </w:trPr>
        <w:tc>
          <w:tcPr>
            <w:tcW w:w="726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7"/>
                <w:szCs w:val="17"/>
                <w:color w:val="auto"/>
              </w:rPr>
              <w:t>Long-term debt, net</w:t>
            </w:r>
          </w:p>
        </w:tc>
        <w:tc>
          <w:tcPr>
            <w:tcW w:w="1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29,251,206</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29,126,965</w:t>
            </w:r>
          </w:p>
        </w:tc>
      </w:tr>
      <w:tr>
        <w:trPr>
          <w:trHeight w:val="218"/>
        </w:trPr>
        <w:tc>
          <w:tcPr>
            <w:tcW w:w="1320" w:type="dxa"/>
            <w:vAlign w:val="bottom"/>
          </w:tcPr>
          <w:p>
            <w:pPr>
              <w:ind w:left="40"/>
              <w:spacing w:after="0"/>
              <w:rPr>
                <w:sz w:val="20"/>
                <w:szCs w:val="20"/>
                <w:color w:val="auto"/>
              </w:rPr>
            </w:pPr>
            <w:r>
              <w:rPr>
                <w:rFonts w:ascii="Arial" w:cs="Arial" w:eastAsia="Arial" w:hAnsi="Arial"/>
                <w:sz w:val="17"/>
                <w:szCs w:val="17"/>
                <w:b w:val="1"/>
                <w:bCs w:val="1"/>
                <w:color w:val="auto"/>
              </w:rPr>
              <w:t>Total liabilities</w:t>
            </w:r>
          </w:p>
        </w:tc>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172,006,944</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159,970,317</w:t>
            </w:r>
          </w:p>
        </w:tc>
      </w:tr>
      <w:tr>
        <w:trPr>
          <w:trHeight w:val="212"/>
        </w:trPr>
        <w:tc>
          <w:tcPr>
            <w:tcW w:w="2860" w:type="dxa"/>
            <w:vAlign w:val="bottom"/>
            <w:gridSpan w:val="2"/>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7260" w:type="dxa"/>
            <w:vAlign w:val="bottom"/>
            <w:gridSpan w:val="4"/>
          </w:tcPr>
          <w:p>
            <w:pPr>
              <w:ind w:left="40"/>
              <w:spacing w:after="0"/>
              <w:rPr>
                <w:sz w:val="20"/>
                <w:szCs w:val="20"/>
                <w:color w:val="auto"/>
              </w:rPr>
            </w:pPr>
            <w:r>
              <w:rPr>
                <w:rFonts w:ascii="Arial" w:cs="Arial" w:eastAsia="Arial" w:hAnsi="Arial"/>
                <w:sz w:val="17"/>
                <w:szCs w:val="17"/>
                <w:b w:val="1"/>
                <w:bCs w:val="1"/>
                <w:color w:val="auto"/>
              </w:rPr>
              <w:t>Commitments and Contingencies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860" w:type="dxa"/>
            <w:vAlign w:val="bottom"/>
            <w:gridSpan w:val="2"/>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7260" w:type="dxa"/>
            <w:vAlign w:val="bottom"/>
            <w:gridSpan w:val="4"/>
          </w:tcPr>
          <w:p>
            <w:pPr>
              <w:ind w:left="40"/>
              <w:spacing w:after="0"/>
              <w:rPr>
                <w:sz w:val="20"/>
                <w:szCs w:val="20"/>
                <w:color w:val="auto"/>
              </w:rPr>
            </w:pPr>
            <w:r>
              <w:rPr>
                <w:rFonts w:ascii="Arial" w:cs="Arial" w:eastAsia="Arial" w:hAnsi="Arial"/>
                <w:sz w:val="17"/>
                <w:szCs w:val="17"/>
                <w:b w:val="1"/>
                <w:bCs w:val="1"/>
                <w:color w:val="auto"/>
              </w:rPr>
              <w:t>Stockholders' Equity</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72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Preferred stock, $.01 par value; authorized 2,500,000 shares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12"/>
        </w:trPr>
        <w:tc>
          <w:tcPr>
            <w:tcW w:w="7260" w:type="dxa"/>
            <w:vAlign w:val="bottom"/>
            <w:gridSpan w:val="4"/>
          </w:tcPr>
          <w:p>
            <w:pPr>
              <w:ind w:left="260"/>
              <w:spacing w:after="0"/>
              <w:rPr>
                <w:sz w:val="20"/>
                <w:szCs w:val="20"/>
                <w:color w:val="auto"/>
              </w:rPr>
            </w:pPr>
            <w:r>
              <w:rPr>
                <w:rFonts w:ascii="Arial" w:cs="Arial" w:eastAsia="Arial" w:hAnsi="Arial"/>
                <w:sz w:val="17"/>
                <w:szCs w:val="17"/>
                <w:color w:val="auto"/>
              </w:rPr>
              <w:t>Common stock, $.01 par value; authorized 20,000,000 shares; issued 11,729,166 shares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7260" w:type="dxa"/>
            <w:vAlign w:val="bottom"/>
            <w:gridSpan w:val="4"/>
            <w:shd w:val="clear" w:color="auto" w:fill="CCEEFF"/>
          </w:tcPr>
          <w:p>
            <w:pPr>
              <w:ind w:left="400"/>
              <w:spacing w:after="0"/>
              <w:rPr>
                <w:sz w:val="20"/>
                <w:szCs w:val="20"/>
                <w:color w:val="auto"/>
              </w:rPr>
            </w:pPr>
            <w:r>
              <w:rPr>
                <w:rFonts w:ascii="Arial" w:cs="Arial" w:eastAsia="Arial" w:hAnsi="Arial"/>
                <w:sz w:val="17"/>
                <w:szCs w:val="17"/>
                <w:color w:val="auto"/>
              </w:rPr>
              <w:t>at September 30, 2018 and 11,618,646 at December 31, 2017; outstanding</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7260" w:type="dxa"/>
            <w:vAlign w:val="bottom"/>
            <w:gridSpan w:val="4"/>
          </w:tcPr>
          <w:p>
            <w:pPr>
              <w:ind w:left="400"/>
              <w:spacing w:after="0"/>
              <w:rPr>
                <w:sz w:val="20"/>
                <w:szCs w:val="20"/>
                <w:color w:val="auto"/>
              </w:rPr>
            </w:pPr>
            <w:r>
              <w:rPr>
                <w:rFonts w:ascii="Arial" w:cs="Arial" w:eastAsia="Arial" w:hAnsi="Arial"/>
                <w:sz w:val="17"/>
                <w:szCs w:val="17"/>
                <w:color w:val="auto"/>
              </w:rPr>
              <w:t>10,701,727 shares at September 30, 2018 and 10,631,837 shares at December 31, 2017</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117,291</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116,186</w:t>
            </w:r>
          </w:p>
        </w:tc>
      </w:tr>
      <w:tr>
        <w:trPr>
          <w:trHeight w:val="212"/>
        </w:trPr>
        <w:tc>
          <w:tcPr>
            <w:tcW w:w="7260" w:type="dxa"/>
            <w:vAlign w:val="bottom"/>
            <w:gridSpan w:val="4"/>
            <w:shd w:val="clear" w:color="auto" w:fill="CCEEFF"/>
          </w:tcPr>
          <w:p>
            <w:pPr>
              <w:ind w:left="260"/>
              <w:spacing w:after="0"/>
              <w:rPr>
                <w:sz w:val="20"/>
                <w:szCs w:val="20"/>
                <w:color w:val="auto"/>
              </w:rPr>
            </w:pPr>
            <w:r>
              <w:rPr>
                <w:rFonts w:ascii="Arial" w:cs="Arial" w:eastAsia="Arial" w:hAnsi="Arial"/>
                <w:sz w:val="17"/>
                <w:szCs w:val="17"/>
                <w:color w:val="auto"/>
              </w:rPr>
              <w:t>Capital in excess of par</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68,220,714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68,380,390</w:t>
            </w:r>
          </w:p>
        </w:tc>
      </w:tr>
      <w:tr>
        <w:trPr>
          <w:trHeight w:val="212"/>
        </w:trPr>
        <w:tc>
          <w:tcPr>
            <w:tcW w:w="7260" w:type="dxa"/>
            <w:vAlign w:val="bottom"/>
            <w:gridSpan w:val="4"/>
          </w:tcPr>
          <w:p>
            <w:pPr>
              <w:ind w:left="240"/>
              <w:spacing w:after="0"/>
              <w:rPr>
                <w:sz w:val="20"/>
                <w:szCs w:val="20"/>
                <w:color w:val="auto"/>
              </w:rPr>
            </w:pPr>
            <w:r>
              <w:rPr>
                <w:rFonts w:ascii="Arial" w:cs="Arial" w:eastAsia="Arial" w:hAnsi="Arial"/>
                <w:sz w:val="17"/>
                <w:szCs w:val="17"/>
                <w:color w:val="auto"/>
              </w:rPr>
              <w:t>Accumulated other comprehensive (loss) income</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(2,595,040)</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1,100,647</w:t>
            </w:r>
          </w:p>
        </w:tc>
      </w:tr>
      <w:tr>
        <w:trPr>
          <w:trHeight w:val="218"/>
        </w:trPr>
        <w:tc>
          <w:tcPr>
            <w:tcW w:w="726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7"/>
                <w:szCs w:val="17"/>
                <w:color w:val="auto"/>
              </w:rPr>
              <w:t>Retained earnings</w:t>
            </w:r>
          </w:p>
        </w:tc>
        <w:tc>
          <w:tcPr>
            <w:tcW w:w="1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28,335,344</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27,152,822</w:t>
            </w:r>
          </w:p>
        </w:tc>
      </w:tr>
      <w:tr>
        <w:trPr>
          <w:trHeight w:val="212"/>
        </w:trPr>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94,078,309</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96,750,045</w:t>
            </w:r>
          </w:p>
        </w:tc>
      </w:tr>
      <w:tr>
        <w:trPr>
          <w:trHeight w:val="212"/>
        </w:trPr>
        <w:tc>
          <w:tcPr>
            <w:tcW w:w="7260" w:type="dxa"/>
            <w:vAlign w:val="bottom"/>
            <w:gridSpan w:val="4"/>
            <w:shd w:val="clear" w:color="auto" w:fill="CCEEFF"/>
          </w:tcPr>
          <w:p>
            <w:pPr>
              <w:ind w:left="240"/>
              <w:spacing w:after="0"/>
              <w:rPr>
                <w:sz w:val="20"/>
                <w:szCs w:val="20"/>
                <w:color w:val="auto"/>
              </w:rPr>
            </w:pPr>
            <w:r>
              <w:rPr>
                <w:rFonts w:ascii="Arial" w:cs="Arial" w:eastAsia="Arial" w:hAnsi="Arial"/>
                <w:sz w:val="17"/>
                <w:szCs w:val="17"/>
                <w:color w:val="auto"/>
              </w:rPr>
              <w:t>Treasury stock, at cost, 1,027,439 shares at September 30, 2018</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8"/>
        </w:trPr>
        <w:tc>
          <w:tcPr>
            <w:tcW w:w="7260" w:type="dxa"/>
            <w:vAlign w:val="bottom"/>
            <w:gridSpan w:val="4"/>
          </w:tcPr>
          <w:p>
            <w:pPr>
              <w:ind w:left="400"/>
              <w:spacing w:after="0"/>
              <w:rPr>
                <w:sz w:val="20"/>
                <w:szCs w:val="20"/>
                <w:color w:val="auto"/>
              </w:rPr>
            </w:pPr>
            <w:r>
              <w:rPr>
                <w:rFonts w:ascii="Arial" w:cs="Arial" w:eastAsia="Arial" w:hAnsi="Arial"/>
                <w:sz w:val="17"/>
                <w:szCs w:val="17"/>
                <w:color w:val="auto"/>
              </w:rPr>
              <w:t>and 986,809 shares at December 31, 2017</w:t>
            </w:r>
          </w:p>
        </w:tc>
        <w:tc>
          <w:tcPr>
            <w:tcW w:w="1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(2,712,552)</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(2,172,299)</w:t>
            </w:r>
          </w:p>
        </w:tc>
      </w:tr>
      <w:tr>
        <w:trPr>
          <w:trHeight w:val="218"/>
        </w:trPr>
        <w:tc>
          <w:tcPr>
            <w:tcW w:w="7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b w:val="1"/>
                <w:bCs w:val="1"/>
                <w:color w:val="auto"/>
              </w:rPr>
              <w:t>Total stockholders' equity</w:t>
            </w:r>
          </w:p>
        </w:tc>
        <w:tc>
          <w:tcPr>
            <w:tcW w:w="1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91,365,757</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94,577,746</w:t>
            </w:r>
          </w:p>
        </w:tc>
      </w:tr>
      <w:tr>
        <w:trPr>
          <w:trHeight w:val="212"/>
        </w:trPr>
        <w:tc>
          <w:tcPr>
            <w:tcW w:w="2860" w:type="dxa"/>
            <w:vAlign w:val="bottom"/>
            <w:gridSpan w:val="2"/>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2"/>
        </w:trPr>
        <w:tc>
          <w:tcPr>
            <w:tcW w:w="7260" w:type="dxa"/>
            <w:vAlign w:val="bottom"/>
            <w:gridSpan w:val="4"/>
            <w:shd w:val="clear" w:color="auto" w:fill="CCEEFF"/>
          </w:tcPr>
          <w:p>
            <w:pPr>
              <w:ind w:left="40"/>
              <w:spacing w:after="0"/>
              <w:rPr>
                <w:sz w:val="20"/>
                <w:szCs w:val="20"/>
                <w:color w:val="auto"/>
              </w:rPr>
            </w:pPr>
            <w:r>
              <w:rPr>
                <w:rFonts w:ascii="Arial" w:cs="Arial" w:eastAsia="Arial" w:hAnsi="Arial"/>
                <w:sz w:val="17"/>
                <w:szCs w:val="17"/>
                <w:b w:val="1"/>
                <w:bCs w:val="1"/>
                <w:color w:val="auto"/>
              </w:rPr>
              <w:t>Total liabilities and stockholders' equity</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263,372,701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254,548,063</w:t>
            </w:r>
          </w:p>
        </w:tc>
      </w:tr>
      <w:tr>
        <w:trPr>
          <w:trHeight w:val="414"/>
        </w:trPr>
        <w:tc>
          <w:tcPr>
            <w:tcW w:w="7260" w:type="dxa"/>
            <w:vAlign w:val="bottom"/>
            <w:tcBorders>
              <w:top w:val="single" w:sz="8" w:color="CCEEFF"/>
            </w:tcBorders>
            <w:gridSpan w:val="4"/>
          </w:tcPr>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tc>
        <w:tc>
          <w:tcPr>
            <w:tcW w:w="15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571"/>
        </w:trPr>
        <w:tc>
          <w:tcPr>
            <w:tcW w:w="13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3"/>
          </w:tcPr>
          <w:p>
            <w:pPr>
              <w:jc w:val="right"/>
              <w:ind w:right="1440"/>
              <w:spacing w:after="0"/>
              <w:rPr>
                <w:sz w:val="20"/>
                <w:szCs w:val="20"/>
                <w:color w:val="auto"/>
              </w:rPr>
            </w:pPr>
            <w:r>
              <w:rPr>
                <w:rFonts w:ascii="Arial" w:cs="Arial" w:eastAsia="Arial" w:hAnsi="Arial"/>
                <w:sz w:val="17"/>
                <w:szCs w:val="17"/>
                <w:color w:val="auto"/>
              </w:rPr>
              <w:t>2</w:t>
            </w:r>
          </w:p>
        </w:tc>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560"/>
          </w:cols>
          <w:pgMar w:left="160" w:top="460" w:right="179" w:bottom="1440" w:gutter="0" w:footer="0" w:header="0"/>
        </w:sectPr>
      </w:pPr>
    </w:p>
    <w:bookmarkStart w:id="4" w:name="page5"/>
    <w:bookmarkEnd w:id="4"/>
    <w:p>
      <w:pPr>
        <w:ind w:left="728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Income and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34060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40600" cy="1651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60" w:type="dxa"/>
            <w:vAlign w:val="bottom"/>
            <w:gridSpan w:val="3"/>
          </w:tcPr>
          <w:p>
            <w:pPr>
              <w:jc w:val="right"/>
              <w:ind w:right="414"/>
              <w:spacing w:after="0"/>
              <w:rPr>
                <w:sz w:val="20"/>
                <w:szCs w:val="20"/>
                <w:color w:val="auto"/>
              </w:rPr>
            </w:pPr>
            <w:r>
              <w:rPr>
                <w:rFonts w:ascii="Arial" w:cs="Arial" w:eastAsia="Arial" w:hAnsi="Arial"/>
                <w:sz w:val="15"/>
                <w:szCs w:val="15"/>
                <w:b w:val="1"/>
                <w:bCs w:val="1"/>
                <w:color w:val="auto"/>
                <w:w w:val="95"/>
              </w:rPr>
              <w:t>For the Three Months Ended</w:t>
            </w:r>
          </w:p>
        </w:tc>
        <w:tc>
          <w:tcPr>
            <w:tcW w:w="320" w:type="dxa"/>
            <w:vAlign w:val="bottom"/>
          </w:tcPr>
          <w:p>
            <w:pPr>
              <w:spacing w:after="0"/>
              <w:rPr>
                <w:sz w:val="16"/>
                <w:szCs w:val="16"/>
                <w:color w:val="auto"/>
              </w:rPr>
            </w:pPr>
          </w:p>
        </w:tc>
        <w:tc>
          <w:tcPr>
            <w:tcW w:w="2420" w:type="dxa"/>
            <w:vAlign w:val="bottom"/>
            <w:gridSpan w:val="3"/>
          </w:tcPr>
          <w:p>
            <w:pPr>
              <w:jc w:val="right"/>
              <w:ind w:right="414"/>
              <w:spacing w:after="0"/>
              <w:rPr>
                <w:sz w:val="20"/>
                <w:szCs w:val="20"/>
                <w:color w:val="auto"/>
              </w:rPr>
            </w:pPr>
            <w:r>
              <w:rPr>
                <w:rFonts w:ascii="Arial" w:cs="Arial" w:eastAsia="Arial" w:hAnsi="Arial"/>
                <w:sz w:val="15"/>
                <w:szCs w:val="15"/>
                <w:b w:val="1"/>
                <w:bCs w:val="1"/>
                <w:color w:val="auto"/>
                <w:w w:val="97"/>
              </w:rPr>
              <w:t>For the Nine Months Ended</w:t>
            </w:r>
          </w:p>
        </w:tc>
      </w:tr>
      <w:tr>
        <w:trPr>
          <w:trHeight w:val="203"/>
        </w:trPr>
        <w:tc>
          <w:tcPr>
            <w:tcW w:w="60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18"/>
        </w:trPr>
        <w:tc>
          <w:tcPr>
            <w:tcW w:w="6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2018</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5"/>
                <w:szCs w:val="15"/>
                <w:b w:val="1"/>
                <w:bCs w:val="1"/>
                <w:color w:val="auto"/>
              </w:rPr>
              <w:t>2017</w:t>
            </w:r>
          </w:p>
        </w:tc>
      </w:tr>
      <w:tr>
        <w:trPr>
          <w:trHeight w:val="238"/>
        </w:trPr>
        <w:tc>
          <w:tcPr>
            <w:tcW w:w="6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Net premiums earned</w:t>
            </w:r>
          </w:p>
        </w:tc>
        <w:tc>
          <w:tcPr>
            <w:tcW w:w="3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27,533,907</w:t>
            </w:r>
          </w:p>
        </w:tc>
        <w:tc>
          <w:tcPr>
            <w:tcW w:w="40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74"/>
              <w:spacing w:after="0"/>
              <w:rPr>
                <w:sz w:val="20"/>
                <w:szCs w:val="20"/>
                <w:color w:val="auto"/>
              </w:rPr>
            </w:pPr>
            <w:r>
              <w:rPr>
                <w:rFonts w:ascii="Arial" w:cs="Arial" w:eastAsia="Arial" w:hAnsi="Arial"/>
                <w:sz w:val="17"/>
                <w:szCs w:val="17"/>
                <w:color w:val="auto"/>
                <w:w w:val="93"/>
              </w:rPr>
              <w:t>21,514,408</w:t>
            </w:r>
          </w:p>
        </w:tc>
        <w:tc>
          <w:tcPr>
            <w:tcW w:w="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74,476,138</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4"/>
              <w:spacing w:after="0"/>
              <w:rPr>
                <w:sz w:val="20"/>
                <w:szCs w:val="20"/>
                <w:color w:val="auto"/>
              </w:rPr>
            </w:pPr>
            <w:r>
              <w:rPr>
                <w:rFonts w:ascii="Arial" w:cs="Arial" w:eastAsia="Arial" w:hAnsi="Arial"/>
                <w:sz w:val="17"/>
                <w:szCs w:val="17"/>
                <w:color w:val="auto"/>
                <w:w w:val="93"/>
              </w:rPr>
              <w:t>54,837,883</w:t>
            </w:r>
          </w:p>
        </w:tc>
      </w:tr>
      <w:tr>
        <w:trPr>
          <w:trHeight w:val="212"/>
        </w:trPr>
        <w:tc>
          <w:tcPr>
            <w:tcW w:w="6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Ceding commission 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1,044,529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1,717,610</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4,430,855</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8,208,000</w:t>
            </w: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Net investment income</w:t>
            </w:r>
          </w:p>
        </w:tc>
        <w:tc>
          <w:tcPr>
            <w:tcW w:w="34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1,602,371</w:t>
            </w:r>
          </w:p>
        </w:tc>
        <w:tc>
          <w:tcPr>
            <w:tcW w:w="40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1,033,307</w:t>
            </w:r>
          </w:p>
        </w:tc>
        <w:tc>
          <w:tcPr>
            <w:tcW w:w="32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4,543,226</w:t>
            </w:r>
          </w:p>
        </w:tc>
        <w:tc>
          <w:tcPr>
            <w:tcW w:w="38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7"/>
                <w:szCs w:val="17"/>
                <w:color w:val="auto"/>
              </w:rPr>
              <w:t>2,917,111</w:t>
            </w:r>
          </w:p>
        </w:tc>
      </w:tr>
      <w:tr>
        <w:trPr>
          <w:trHeight w:val="212"/>
        </w:trPr>
        <w:tc>
          <w:tcPr>
            <w:tcW w:w="6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gains (losses) on investments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352,025</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20,998</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(277,835)</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96,915</w:t>
            </w:r>
          </w:p>
        </w:tc>
      </w:tr>
      <w:tr>
        <w:trPr>
          <w:trHeight w:val="218"/>
        </w:trPr>
        <w:tc>
          <w:tcPr>
            <w:tcW w:w="6020" w:type="dxa"/>
            <w:vAlign w:val="bottom"/>
          </w:tcPr>
          <w:p>
            <w:pPr>
              <w:ind w:left="200"/>
              <w:spacing w:after="0"/>
              <w:rPr>
                <w:sz w:val="20"/>
                <w:szCs w:val="20"/>
                <w:color w:val="auto"/>
              </w:rPr>
            </w:pPr>
            <w:r>
              <w:rPr>
                <w:rFonts w:ascii="Arial" w:cs="Arial" w:eastAsia="Arial" w:hAnsi="Arial"/>
                <w:sz w:val="17"/>
                <w:szCs w:val="17"/>
                <w:color w:val="auto"/>
              </w:rPr>
              <w:t>Other income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353,077</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328,330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961,581</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926,189</w:t>
            </w:r>
          </w:p>
        </w:tc>
      </w:tr>
      <w:tr>
        <w:trPr>
          <w:trHeight w:val="218"/>
        </w:trPr>
        <w:tc>
          <w:tcPr>
            <w:tcW w:w="6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30,885,909</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93"/>
              </w:rPr>
              <w:t>24,614,653</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84,133,965</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93"/>
              </w:rPr>
              <w:t>66,986,098</w:t>
            </w:r>
          </w:p>
        </w:tc>
      </w:tr>
      <w:tr>
        <w:trPr>
          <w:trHeight w:val="212"/>
        </w:trPr>
        <w:tc>
          <w:tcPr>
            <w:tcW w:w="6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34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13,296,708</w:t>
            </w:r>
          </w:p>
        </w:tc>
        <w:tc>
          <w:tcPr>
            <w:tcW w:w="40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7,073,323</w:t>
            </w:r>
          </w:p>
        </w:tc>
        <w:tc>
          <w:tcPr>
            <w:tcW w:w="32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41,739,123</w:t>
            </w:r>
          </w:p>
        </w:tc>
        <w:tc>
          <w:tcPr>
            <w:tcW w:w="38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7"/>
                <w:szCs w:val="17"/>
                <w:color w:val="auto"/>
                <w:w w:val="93"/>
              </w:rPr>
              <w:t>22,821,241</w:t>
            </w:r>
          </w:p>
        </w:tc>
      </w:tr>
      <w:tr>
        <w:trPr>
          <w:trHeight w:val="212"/>
        </w:trPr>
        <w:tc>
          <w:tcPr>
            <w:tcW w:w="6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Commission expense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6,594,323</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5,500,483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18,411,460</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93"/>
              </w:rPr>
              <w:t>15,491,027</w:t>
            </w: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Other underwriting expenses</w:t>
            </w:r>
          </w:p>
        </w:tc>
        <w:tc>
          <w:tcPr>
            <w:tcW w:w="34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5,193,679</w:t>
            </w:r>
          </w:p>
        </w:tc>
        <w:tc>
          <w:tcPr>
            <w:tcW w:w="40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4,475,455</w:t>
            </w:r>
          </w:p>
        </w:tc>
        <w:tc>
          <w:tcPr>
            <w:tcW w:w="32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15,301,168</w:t>
            </w:r>
          </w:p>
        </w:tc>
        <w:tc>
          <w:tcPr>
            <w:tcW w:w="38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7"/>
                <w:szCs w:val="17"/>
                <w:color w:val="auto"/>
                <w:w w:val="93"/>
              </w:rPr>
              <w:t>12,887,488</w:t>
            </w:r>
          </w:p>
        </w:tc>
      </w:tr>
      <w:tr>
        <w:trPr>
          <w:trHeight w:val="212"/>
        </w:trPr>
        <w:tc>
          <w:tcPr>
            <w:tcW w:w="6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operating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683,309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1,069,005</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1,773,983</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2,731,499</w:t>
            </w: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440,383</w:t>
            </w:r>
          </w:p>
        </w:tc>
        <w:tc>
          <w:tcPr>
            <w:tcW w:w="40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378,518</w:t>
            </w:r>
          </w:p>
        </w:tc>
        <w:tc>
          <w:tcPr>
            <w:tcW w:w="32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1,273,975</w:t>
            </w:r>
          </w:p>
        </w:tc>
        <w:tc>
          <w:tcPr>
            <w:tcW w:w="38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7"/>
                <w:szCs w:val="17"/>
                <w:color w:val="auto"/>
              </w:rPr>
              <w:t>1,023,390</w:t>
            </w:r>
          </w:p>
        </w:tc>
      </w:tr>
      <w:tr>
        <w:trPr>
          <w:trHeight w:val="218"/>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456,545</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1,365,052</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r>
      <w:tr>
        <w:trPr>
          <w:trHeight w:val="218"/>
        </w:trPr>
        <w:tc>
          <w:tcPr>
            <w:tcW w:w="6020" w:type="dxa"/>
            <w:vAlign w:val="bottom"/>
          </w:tcPr>
          <w:p>
            <w:pPr>
              <w:ind w:left="360"/>
              <w:spacing w:after="0"/>
              <w:rPr>
                <w:sz w:val="20"/>
                <w:szCs w:val="20"/>
                <w:color w:val="auto"/>
              </w:rPr>
            </w:pPr>
            <w:r>
              <w:rPr>
                <w:rFonts w:ascii="Arial" w:cs="Arial" w:eastAsia="Arial" w:hAnsi="Arial"/>
                <w:sz w:val="17"/>
                <w:szCs w:val="17"/>
                <w:color w:val="auto"/>
              </w:rPr>
              <w:t>Total expenses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26,664,947</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93"/>
              </w:rPr>
              <w:t>18,496,784</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79,864,761</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93"/>
              </w:rPr>
              <w:t>54,954,645</w:t>
            </w:r>
          </w:p>
        </w:tc>
      </w:tr>
      <w:tr>
        <w:trPr>
          <w:trHeight w:val="212"/>
        </w:trPr>
        <w:tc>
          <w:tcPr>
            <w:tcW w:w="6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Income from operations before taxes</w:t>
            </w:r>
          </w:p>
        </w:tc>
        <w:tc>
          <w:tcPr>
            <w:tcW w:w="34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4,220,962</w:t>
            </w:r>
          </w:p>
        </w:tc>
        <w:tc>
          <w:tcPr>
            <w:tcW w:w="40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6,117,869</w:t>
            </w:r>
          </w:p>
        </w:tc>
        <w:tc>
          <w:tcPr>
            <w:tcW w:w="32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4,269,204</w:t>
            </w:r>
          </w:p>
        </w:tc>
        <w:tc>
          <w:tcPr>
            <w:tcW w:w="38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7"/>
                <w:szCs w:val="17"/>
                <w:color w:val="auto"/>
                <w:w w:val="93"/>
              </w:rPr>
              <w:t>12,031,453</w:t>
            </w:r>
          </w:p>
        </w:tc>
      </w:tr>
      <w:tr>
        <w:trPr>
          <w:trHeight w:val="218"/>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287,232</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2,043,948</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296,111</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3,976,560</w:t>
            </w:r>
          </w:p>
        </w:tc>
      </w:tr>
      <w:tr>
        <w:trPr>
          <w:trHeight w:val="218"/>
        </w:trPr>
        <w:tc>
          <w:tcPr>
            <w:tcW w:w="6020" w:type="dxa"/>
            <w:vAlign w:val="bottom"/>
          </w:tcPr>
          <w:p>
            <w:pPr>
              <w:ind w:left="40"/>
              <w:spacing w:after="0"/>
              <w:rPr>
                <w:sz w:val="20"/>
                <w:szCs w:val="20"/>
                <w:color w:val="auto"/>
              </w:rPr>
            </w:pPr>
            <w:r>
              <w:rPr>
                <w:rFonts w:ascii="Arial" w:cs="Arial" w:eastAsia="Arial" w:hAnsi="Arial"/>
                <w:sz w:val="17"/>
                <w:szCs w:val="17"/>
                <w:b w:val="1"/>
                <w:bCs w:val="1"/>
                <w:color w:val="auto"/>
              </w:rPr>
              <w:t>Net income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3,933,730</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4,073,921</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3,973,093</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8,054,893</w:t>
            </w:r>
          </w:p>
        </w:tc>
      </w:tr>
      <w:tr>
        <w:trPr>
          <w:trHeight w:val="212"/>
        </w:trPr>
        <w:tc>
          <w:tcPr>
            <w:tcW w:w="6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b w:val="1"/>
                <w:bCs w:val="1"/>
                <w:color w:val="auto"/>
              </w:rPr>
              <w:t>Other comprehensive (loss) income, net of tax</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6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Gross change in unrealized (losses) gains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6020" w:type="dxa"/>
            <w:vAlign w:val="bottom"/>
          </w:tcPr>
          <w:p>
            <w:pPr>
              <w:ind w:left="360"/>
              <w:spacing w:after="0"/>
              <w:rPr>
                <w:sz w:val="20"/>
                <w:szCs w:val="20"/>
                <w:color w:val="auto"/>
              </w:rPr>
            </w:pPr>
            <w:r>
              <w:rPr>
                <w:rFonts w:ascii="Arial" w:cs="Arial" w:eastAsia="Arial" w:hAnsi="Arial"/>
                <w:sz w:val="17"/>
                <w:szCs w:val="17"/>
                <w:color w:val="auto"/>
              </w:rPr>
              <w:t>on available-for-sale-securities</w:t>
            </w:r>
          </w:p>
        </w:tc>
        <w:tc>
          <w:tcPr>
            <w:tcW w:w="34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(242,453)</w:t>
            </w:r>
          </w:p>
        </w:tc>
        <w:tc>
          <w:tcPr>
            <w:tcW w:w="40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499,077</w:t>
            </w:r>
          </w:p>
        </w:tc>
        <w:tc>
          <w:tcPr>
            <w:tcW w:w="32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(4,591,699)</w:t>
            </w:r>
          </w:p>
        </w:tc>
        <w:tc>
          <w:tcPr>
            <w:tcW w:w="38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7"/>
                <w:szCs w:val="17"/>
                <w:color w:val="auto"/>
              </w:rPr>
              <w:t>1,974,946</w:t>
            </w:r>
          </w:p>
        </w:tc>
      </w:tr>
      <w:tr>
        <w:trPr>
          <w:trHeight w:val="212"/>
        </w:trPr>
        <w:tc>
          <w:tcPr>
            <w:tcW w:w="6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Reclassification adjustment for losses (gains)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8"/>
        </w:trPr>
        <w:tc>
          <w:tcPr>
            <w:tcW w:w="6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included in net income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131,978</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(20,998)</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451,877</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(96,915)</w:t>
            </w:r>
          </w:p>
        </w:tc>
      </w:tr>
      <w:tr>
        <w:trPr>
          <w:trHeight w:val="212"/>
        </w:trPr>
        <w:tc>
          <w:tcPr>
            <w:tcW w:w="6020" w:type="dxa"/>
            <w:vAlign w:val="bottom"/>
          </w:tcPr>
          <w:p>
            <w:pPr>
              <w:ind w:left="520"/>
              <w:spacing w:after="0"/>
              <w:rPr>
                <w:sz w:val="20"/>
                <w:szCs w:val="20"/>
                <w:color w:val="auto"/>
              </w:rPr>
            </w:pPr>
            <w:r>
              <w:rPr>
                <w:rFonts w:ascii="Arial" w:cs="Arial" w:eastAsia="Arial" w:hAnsi="Arial"/>
                <w:sz w:val="17"/>
                <w:szCs w:val="17"/>
                <w:color w:val="auto"/>
              </w:rPr>
              <w:t>Net change in unrealized (losses) gains</w:t>
            </w:r>
          </w:p>
        </w:tc>
        <w:tc>
          <w:tcPr>
            <w:tcW w:w="34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(110,475)</w:t>
            </w:r>
          </w:p>
        </w:tc>
        <w:tc>
          <w:tcPr>
            <w:tcW w:w="40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478,079</w:t>
            </w:r>
          </w:p>
        </w:tc>
        <w:tc>
          <w:tcPr>
            <w:tcW w:w="32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(4,139,822)</w:t>
            </w:r>
          </w:p>
        </w:tc>
        <w:tc>
          <w:tcPr>
            <w:tcW w:w="38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7"/>
                <w:szCs w:val="17"/>
                <w:color w:val="auto"/>
              </w:rPr>
              <w:t>1,878,031</w:t>
            </w:r>
          </w:p>
        </w:tc>
      </w:tr>
      <w:tr>
        <w:trPr>
          <w:trHeight w:val="212"/>
        </w:trPr>
        <w:tc>
          <w:tcPr>
            <w:tcW w:w="6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tax benefit (expense) related to items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8"/>
        </w:trPr>
        <w:tc>
          <w:tcPr>
            <w:tcW w:w="6020" w:type="dxa"/>
            <w:vAlign w:val="bottom"/>
          </w:tcPr>
          <w:p>
            <w:pPr>
              <w:ind w:left="360"/>
              <w:spacing w:after="0"/>
              <w:rPr>
                <w:sz w:val="20"/>
                <w:szCs w:val="20"/>
                <w:color w:val="auto"/>
              </w:rPr>
            </w:pPr>
            <w:r>
              <w:rPr>
                <w:rFonts w:ascii="Arial" w:cs="Arial" w:eastAsia="Arial" w:hAnsi="Arial"/>
                <w:sz w:val="17"/>
                <w:szCs w:val="17"/>
                <w:color w:val="auto"/>
              </w:rPr>
              <w:t>of other comprehensive (loss) income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12,416</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(162,547)</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858,377</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(638,531)</w:t>
            </w:r>
          </w:p>
        </w:tc>
      </w:tr>
      <w:tr>
        <w:trPr>
          <w:trHeight w:val="218"/>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comprehensive (loss) income, net of tax</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(98,059)</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315,532</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(3,281,445)</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1,239,500</w:t>
            </w:r>
          </w:p>
        </w:tc>
      </w:tr>
      <w:tr>
        <w:trPr>
          <w:trHeight w:val="212"/>
        </w:trPr>
        <w:tc>
          <w:tcPr>
            <w:tcW w:w="6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2"/>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Comprehensive income</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3,835,671</w:t>
            </w:r>
          </w:p>
        </w:tc>
        <w:tc>
          <w:tcPr>
            <w:tcW w:w="4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4,389,453</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691,648</w:t>
            </w:r>
          </w:p>
        </w:tc>
        <w:tc>
          <w:tcPr>
            <w:tcW w:w="3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9,294,393</w:t>
            </w:r>
          </w:p>
        </w:tc>
      </w:tr>
      <w:tr>
        <w:trPr>
          <w:trHeight w:val="205"/>
        </w:trPr>
        <w:tc>
          <w:tcPr>
            <w:tcW w:w="6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2"/>
        </w:trPr>
        <w:tc>
          <w:tcPr>
            <w:tcW w:w="6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common share: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6020" w:type="dxa"/>
            <w:vAlign w:val="bottom"/>
          </w:tcPr>
          <w:p>
            <w:pPr>
              <w:ind w:left="16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0.37</w:t>
            </w:r>
          </w:p>
        </w:tc>
        <w:tc>
          <w:tcPr>
            <w:tcW w:w="4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0.38</w:t>
            </w: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0.37</w:t>
            </w:r>
          </w:p>
        </w:tc>
        <w:tc>
          <w:tcPr>
            <w:tcW w:w="3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0.78</w:t>
            </w:r>
          </w:p>
        </w:tc>
      </w:tr>
      <w:tr>
        <w:trPr>
          <w:trHeight w:val="20"/>
        </w:trPr>
        <w:tc>
          <w:tcPr>
            <w:tcW w:w="6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5"/>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0.36</w:t>
            </w:r>
          </w:p>
        </w:tc>
        <w:tc>
          <w:tcPr>
            <w:tcW w:w="4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0.38</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0.37</w:t>
            </w:r>
          </w:p>
        </w:tc>
        <w:tc>
          <w:tcPr>
            <w:tcW w:w="3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0.77</w:t>
            </w:r>
          </w:p>
        </w:tc>
      </w:tr>
      <w:tr>
        <w:trPr>
          <w:trHeight w:val="205"/>
        </w:trPr>
        <w:tc>
          <w:tcPr>
            <w:tcW w:w="6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2"/>
        </w:trPr>
        <w:tc>
          <w:tcPr>
            <w:tcW w:w="6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 average common shares outstanding</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6020" w:type="dxa"/>
            <w:vAlign w:val="bottom"/>
          </w:tcPr>
          <w:p>
            <w:pPr>
              <w:ind w:left="16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10,681,329</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93"/>
              </w:rPr>
              <w:t>10,626,242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10,672,084</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93"/>
              </w:rPr>
              <w:t>10,307,689</w:t>
            </w:r>
          </w:p>
        </w:tc>
      </w:tr>
      <w:tr>
        <w:trPr>
          <w:trHeight w:val="20"/>
        </w:trPr>
        <w:tc>
          <w:tcPr>
            <w:tcW w:w="6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5"/>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10,791,123</w:t>
            </w: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93"/>
              </w:rPr>
              <w:t>10,832,739</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10,780,590</w:t>
            </w:r>
          </w:p>
        </w:tc>
        <w:tc>
          <w:tcPr>
            <w:tcW w:w="3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93"/>
              </w:rPr>
              <w:t>10,500,272</w:t>
            </w:r>
          </w:p>
        </w:tc>
      </w:tr>
      <w:tr>
        <w:trPr>
          <w:trHeight w:val="205"/>
        </w:trPr>
        <w:tc>
          <w:tcPr>
            <w:tcW w:w="6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2"/>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Dividends declared and paid per common share</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0.1000</w:t>
            </w:r>
          </w:p>
        </w:tc>
        <w:tc>
          <w:tcPr>
            <w:tcW w:w="4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0.0800</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0.3000</w:t>
            </w:r>
          </w:p>
        </w:tc>
        <w:tc>
          <w:tcPr>
            <w:tcW w:w="3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0.2225</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95" w:right="179" w:bottom="1440" w:gutter="0" w:footer="0" w:header="0"/>
        </w:sectPr>
      </w:pPr>
    </w:p>
    <w:bookmarkStart w:id="5" w:name="page6"/>
    <w:bookmarkEnd w:id="5"/>
    <w:p>
      <w:pPr>
        <w:ind w:left="728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34060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40600" cy="1651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40600" cy="1651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100"/>
              <w:spacing w:after="0"/>
              <w:rPr>
                <w:sz w:val="20"/>
                <w:szCs w:val="20"/>
                <w:color w:val="auto"/>
              </w:rPr>
            </w:pPr>
            <w:r>
              <w:rPr>
                <w:rFonts w:ascii="Arial" w:cs="Arial" w:eastAsia="Arial" w:hAnsi="Arial"/>
                <w:sz w:val="12"/>
                <w:szCs w:val="12"/>
                <w:b w:val="1"/>
                <w:bCs w:val="1"/>
                <w:color w:val="auto"/>
                <w:w w:val="87"/>
              </w:rPr>
              <w:t>Accumulated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9"/>
        </w:trPr>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ind w:right="16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3"/>
                <w:szCs w:val="13"/>
                <w:color w:val="auto"/>
              </w:rPr>
            </w:pPr>
          </w:p>
        </w:tc>
        <w:tc>
          <w:tcPr>
            <w:tcW w:w="900" w:type="dxa"/>
            <w:vAlign w:val="bottom"/>
          </w:tcPr>
          <w:p>
            <w:pPr>
              <w:jc w:val="center"/>
              <w:ind w:right="100"/>
              <w:spacing w:after="0"/>
              <w:rPr>
                <w:sz w:val="20"/>
                <w:szCs w:val="20"/>
                <w:color w:val="auto"/>
              </w:rPr>
            </w:pPr>
            <w:r>
              <w:rPr>
                <w:rFonts w:ascii="Arial" w:cs="Arial" w:eastAsia="Arial" w:hAnsi="Arial"/>
                <w:sz w:val="12"/>
                <w:szCs w:val="12"/>
                <w:b w:val="1"/>
                <w:bCs w:val="1"/>
                <w:color w:val="auto"/>
                <w:w w:val="93"/>
              </w:rPr>
              <w:t>Other</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1180" w:type="dxa"/>
            <w:vAlign w:val="bottom"/>
          </w:tcPr>
          <w:p>
            <w:pPr>
              <w:spacing w:after="0"/>
              <w:rPr>
                <w:sz w:val="13"/>
                <w:szCs w:val="13"/>
                <w:color w:val="auto"/>
              </w:rPr>
            </w:pPr>
          </w:p>
        </w:tc>
        <w:tc>
          <w:tcPr>
            <w:tcW w:w="18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2"/>
                <w:szCs w:val="12"/>
                <w:b w:val="1"/>
                <w:bCs w:val="1"/>
                <w:color w:val="auto"/>
              </w:rPr>
              <w:t>Preferred Stock</w:t>
            </w:r>
          </w:p>
        </w:tc>
        <w:tc>
          <w:tcPr>
            <w:tcW w:w="3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3"/>
                <w:szCs w:val="13"/>
                <w:color w:val="auto"/>
              </w:rPr>
            </w:pPr>
          </w:p>
        </w:tc>
        <w:tc>
          <w:tcPr>
            <w:tcW w:w="840" w:type="dxa"/>
            <w:vAlign w:val="bottom"/>
          </w:tcPr>
          <w:p>
            <w:pPr>
              <w:jc w:val="center"/>
              <w:ind w:right="160"/>
              <w:spacing w:after="0"/>
              <w:rPr>
                <w:sz w:val="20"/>
                <w:szCs w:val="20"/>
                <w:color w:val="auto"/>
              </w:rPr>
            </w:pPr>
            <w:r>
              <w:rPr>
                <w:rFonts w:ascii="Arial" w:cs="Arial" w:eastAsia="Arial" w:hAnsi="Arial"/>
                <w:sz w:val="12"/>
                <w:szCs w:val="12"/>
                <w:b w:val="1"/>
                <w:bCs w:val="1"/>
                <w:color w:val="auto"/>
                <w:w w:val="82"/>
              </w:rPr>
              <w:t>in Excess</w:t>
            </w:r>
          </w:p>
        </w:tc>
        <w:tc>
          <w:tcPr>
            <w:tcW w:w="10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Comprehensive</w:t>
            </w:r>
          </w:p>
        </w:tc>
        <w:tc>
          <w:tcPr>
            <w:tcW w:w="200" w:type="dxa"/>
            <w:vAlign w:val="bottom"/>
          </w:tcPr>
          <w:p>
            <w:pPr>
              <w:spacing w:after="0"/>
              <w:rPr>
                <w:sz w:val="13"/>
                <w:szCs w:val="13"/>
                <w:color w:val="auto"/>
              </w:rPr>
            </w:pPr>
          </w:p>
        </w:tc>
        <w:tc>
          <w:tcPr>
            <w:tcW w:w="800" w:type="dxa"/>
            <w:vAlign w:val="bottom"/>
          </w:tcPr>
          <w:p>
            <w:pPr>
              <w:jc w:val="right"/>
              <w:ind w:right="200"/>
              <w:spacing w:after="0"/>
              <w:rPr>
                <w:sz w:val="20"/>
                <w:szCs w:val="20"/>
                <w:color w:val="auto"/>
              </w:rPr>
            </w:pPr>
            <w:r>
              <w:rPr>
                <w:rFonts w:ascii="Arial" w:cs="Arial" w:eastAsia="Arial" w:hAnsi="Arial"/>
                <w:sz w:val="12"/>
                <w:szCs w:val="12"/>
                <w:b w:val="1"/>
                <w:bCs w:val="1"/>
                <w:color w:val="auto"/>
              </w:rPr>
              <w:t>Retained</w:t>
            </w:r>
          </w:p>
        </w:tc>
        <w:tc>
          <w:tcPr>
            <w:tcW w:w="208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2"/>
                <w:szCs w:val="12"/>
                <w:b w:val="1"/>
                <w:bCs w:val="1"/>
                <w:color w:val="auto"/>
              </w:rPr>
              <w:t>Treasury Stock</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5"/>
        </w:trPr>
        <w:tc>
          <w:tcPr>
            <w:tcW w:w="1180" w:type="dxa"/>
            <w:vAlign w:val="bottom"/>
          </w:tcPr>
          <w:p>
            <w:pPr>
              <w:spacing w:after="0"/>
              <w:rPr>
                <w:sz w:val="14"/>
                <w:szCs w:val="14"/>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Amount</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Amount</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93"/>
              </w:rPr>
              <w:t>of Par</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8"/>
              </w:rPr>
              <w:t>Income (Loss)</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Earnings</w:t>
            </w:r>
          </w:p>
        </w:tc>
        <w:tc>
          <w:tcPr>
            <w:tcW w:w="104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Amount</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Total</w:t>
            </w:r>
          </w:p>
        </w:tc>
      </w:tr>
      <w:tr>
        <w:trPr>
          <w:trHeight w:val="122"/>
        </w:trPr>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Balance, January 1,</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43"/>
        </w:trPr>
        <w:tc>
          <w:tcPr>
            <w:tcW w:w="19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2018, as reported</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11,618,646</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116,186</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68,380,390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1,100,647</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27,152,822</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986,809</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(2,172,299)</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94,577,746</w:t>
            </w:r>
          </w:p>
        </w:tc>
      </w:tr>
      <w:tr>
        <w:trPr>
          <w:trHeight w:val="122"/>
        </w:trPr>
        <w:tc>
          <w:tcPr>
            <w:tcW w:w="1980" w:type="dxa"/>
            <w:vAlign w:val="bottom"/>
            <w:gridSpan w:val="2"/>
          </w:tcPr>
          <w:p>
            <w:pPr>
              <w:spacing w:after="0" w:line="122" w:lineRule="exact"/>
              <w:rPr>
                <w:sz w:val="20"/>
                <w:szCs w:val="20"/>
                <w:color w:val="auto"/>
              </w:rPr>
            </w:pPr>
            <w:r>
              <w:rPr>
                <w:rFonts w:ascii="Arial" w:cs="Arial" w:eastAsia="Arial" w:hAnsi="Arial"/>
                <w:sz w:val="12"/>
                <w:szCs w:val="12"/>
                <w:color w:val="auto"/>
              </w:rPr>
              <w:t>Cumulative effect of</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3"/>
        </w:trPr>
        <w:tc>
          <w:tcPr>
            <w:tcW w:w="1980" w:type="dxa"/>
            <w:vAlign w:val="bottom"/>
            <w:gridSpan w:val="2"/>
          </w:tcPr>
          <w:p>
            <w:pPr>
              <w:ind w:left="160"/>
              <w:spacing w:after="0"/>
              <w:rPr>
                <w:sz w:val="20"/>
                <w:szCs w:val="20"/>
                <w:color w:val="auto"/>
              </w:rPr>
            </w:pPr>
            <w:r>
              <w:rPr>
                <w:rFonts w:ascii="Arial" w:cs="Arial" w:eastAsia="Arial" w:hAnsi="Arial"/>
                <w:sz w:val="12"/>
                <w:szCs w:val="12"/>
                <w:color w:val="auto"/>
              </w:rPr>
              <w:t>adoption of updated</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2"/>
        </w:trPr>
        <w:tc>
          <w:tcPr>
            <w:tcW w:w="198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2"/>
                <w:szCs w:val="12"/>
                <w:color w:val="auto"/>
              </w:rPr>
              <w:t>accounting guidance</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43"/>
        </w:trPr>
        <w:tc>
          <w:tcPr>
            <w:tcW w:w="19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for equity</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22"/>
        </w:trPr>
        <w:tc>
          <w:tcPr>
            <w:tcW w:w="1980" w:type="dxa"/>
            <w:vAlign w:val="bottom"/>
            <w:gridSpan w:val="2"/>
          </w:tcPr>
          <w:p>
            <w:pPr>
              <w:ind w:left="160"/>
              <w:spacing w:after="0" w:line="122" w:lineRule="exact"/>
              <w:rPr>
                <w:sz w:val="20"/>
                <w:szCs w:val="20"/>
                <w:color w:val="auto"/>
              </w:rPr>
            </w:pPr>
            <w:r>
              <w:rPr>
                <w:rFonts w:ascii="Arial" w:cs="Arial" w:eastAsia="Arial" w:hAnsi="Arial"/>
                <w:sz w:val="12"/>
                <w:szCs w:val="12"/>
                <w:color w:val="auto"/>
              </w:rPr>
              <w:t>financial instruments</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9"/>
        </w:trPr>
        <w:tc>
          <w:tcPr>
            <w:tcW w:w="1180" w:type="dxa"/>
            <w:vAlign w:val="bottom"/>
          </w:tcPr>
          <w:p>
            <w:pPr>
              <w:ind w:left="160"/>
              <w:spacing w:after="0"/>
              <w:rPr>
                <w:sz w:val="20"/>
                <w:szCs w:val="20"/>
                <w:color w:val="auto"/>
              </w:rPr>
            </w:pPr>
            <w:r>
              <w:rPr>
                <w:rFonts w:ascii="Arial" w:cs="Arial" w:eastAsia="Arial" w:hAnsi="Arial"/>
                <w:sz w:val="12"/>
                <w:szCs w:val="12"/>
                <w:color w:val="auto"/>
              </w:rPr>
              <w:t>at January 1, 2018</w:t>
            </w:r>
          </w:p>
        </w:tc>
        <w:tc>
          <w:tcPr>
            <w:tcW w:w="8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(414,242)</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414,242</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r>
      <w:tr>
        <w:trPr>
          <w:trHeight w:val="122"/>
        </w:trPr>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Balance, January 1,</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43"/>
        </w:trPr>
        <w:tc>
          <w:tcPr>
            <w:tcW w:w="19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2018, as adjusted</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11,618,646</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116,186</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68,380,390</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686,405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27,567,064</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986,809</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(2,172,299)</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94,577,746</w:t>
            </w:r>
          </w:p>
        </w:tc>
      </w:tr>
      <w:tr>
        <w:trPr>
          <w:trHeight w:val="122"/>
        </w:trPr>
        <w:tc>
          <w:tcPr>
            <w:tcW w:w="1980" w:type="dxa"/>
            <w:vAlign w:val="bottom"/>
            <w:gridSpan w:val="2"/>
          </w:tcPr>
          <w:p>
            <w:pPr>
              <w:spacing w:after="0" w:line="122" w:lineRule="exact"/>
              <w:rPr>
                <w:sz w:val="20"/>
                <w:szCs w:val="20"/>
                <w:color w:val="auto"/>
              </w:rPr>
            </w:pPr>
            <w:r>
              <w:rPr>
                <w:rFonts w:ascii="Arial" w:cs="Arial" w:eastAsia="Arial" w:hAnsi="Arial"/>
                <w:sz w:val="12"/>
                <w:szCs w:val="12"/>
                <w:color w:val="auto"/>
              </w:rPr>
              <w:t>Stock-based</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3"/>
        </w:trPr>
        <w:tc>
          <w:tcPr>
            <w:tcW w:w="1980" w:type="dxa"/>
            <w:vAlign w:val="bottom"/>
            <w:gridSpan w:val="2"/>
          </w:tcPr>
          <w:p>
            <w:pPr>
              <w:ind w:left="160"/>
              <w:spacing w:after="0"/>
              <w:rPr>
                <w:sz w:val="20"/>
                <w:szCs w:val="20"/>
                <w:color w:val="auto"/>
              </w:rPr>
            </w:pPr>
            <w:r>
              <w:rPr>
                <w:rFonts w:ascii="Arial" w:cs="Arial" w:eastAsia="Arial" w:hAnsi="Arial"/>
                <w:sz w:val="12"/>
                <w:szCs w:val="12"/>
                <w:color w:val="auto"/>
              </w:rPr>
              <w:t>compensation</w:t>
            </w:r>
          </w:p>
        </w:tc>
        <w:tc>
          <w:tcPr>
            <w:tcW w:w="2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3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481,812</w:t>
            </w:r>
          </w:p>
        </w:tc>
        <w:tc>
          <w:tcPr>
            <w:tcW w:w="140" w:type="dxa"/>
            <w:vAlign w:val="bottom"/>
          </w:tcPr>
          <w:p>
            <w:pPr>
              <w:spacing w:after="0"/>
              <w:rPr>
                <w:sz w:val="12"/>
                <w:szCs w:val="12"/>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740" w:type="dxa"/>
            <w:vAlign w:val="bottom"/>
          </w:tcPr>
          <w:p>
            <w:pPr>
              <w:jc w:val="right"/>
              <w:ind w:right="40"/>
              <w:spacing w:after="0"/>
              <w:rPr>
                <w:sz w:val="20"/>
                <w:szCs w:val="20"/>
                <w:color w:val="auto"/>
              </w:rPr>
            </w:pPr>
            <w:r>
              <w:rPr>
                <w:rFonts w:ascii="Arial" w:cs="Arial" w:eastAsia="Arial" w:hAnsi="Arial"/>
                <w:sz w:val="12"/>
                <w:szCs w:val="12"/>
                <w:color w:val="auto"/>
              </w:rPr>
              <w:t>481,812</w:t>
            </w:r>
          </w:p>
        </w:tc>
      </w:tr>
      <w:tr>
        <w:trPr>
          <w:trHeight w:val="122"/>
        </w:trPr>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Shares deducted from</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43"/>
        </w:trPr>
        <w:tc>
          <w:tcPr>
            <w:tcW w:w="19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exercise of stock</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22"/>
        </w:trPr>
        <w:tc>
          <w:tcPr>
            <w:tcW w:w="1980" w:type="dxa"/>
            <w:vAlign w:val="bottom"/>
            <w:gridSpan w:val="2"/>
          </w:tcPr>
          <w:p>
            <w:pPr>
              <w:ind w:left="160"/>
              <w:spacing w:after="0" w:line="122" w:lineRule="exact"/>
              <w:rPr>
                <w:sz w:val="20"/>
                <w:szCs w:val="20"/>
                <w:color w:val="auto"/>
              </w:rPr>
            </w:pPr>
            <w:r>
              <w:rPr>
                <w:rFonts w:ascii="Arial" w:cs="Arial" w:eastAsia="Arial" w:hAnsi="Arial"/>
                <w:sz w:val="12"/>
                <w:szCs w:val="12"/>
                <w:color w:val="auto"/>
              </w:rPr>
              <w:t>options for payment</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3"/>
        </w:trPr>
        <w:tc>
          <w:tcPr>
            <w:tcW w:w="1980" w:type="dxa"/>
            <w:vAlign w:val="bottom"/>
            <w:gridSpan w:val="2"/>
          </w:tcPr>
          <w:p>
            <w:pPr>
              <w:ind w:left="160"/>
              <w:spacing w:after="0"/>
              <w:rPr>
                <w:sz w:val="20"/>
                <w:szCs w:val="20"/>
                <w:color w:val="auto"/>
              </w:rPr>
            </w:pPr>
            <w:r>
              <w:rPr>
                <w:rFonts w:ascii="Arial" w:cs="Arial" w:eastAsia="Arial" w:hAnsi="Arial"/>
                <w:sz w:val="12"/>
                <w:szCs w:val="12"/>
                <w:color w:val="auto"/>
              </w:rPr>
              <w:t>of withholding taxes</w:t>
            </w:r>
          </w:p>
        </w:tc>
        <w:tc>
          <w:tcPr>
            <w:tcW w:w="2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3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(33,891)</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(337)</w:t>
            </w:r>
          </w:p>
        </w:tc>
        <w:tc>
          <w:tcPr>
            <w:tcW w:w="220" w:type="dxa"/>
            <w:vAlign w:val="bottom"/>
          </w:tcPr>
          <w:p>
            <w:pPr>
              <w:spacing w:after="0"/>
              <w:rPr>
                <w:sz w:val="12"/>
                <w:szCs w:val="12"/>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(674,314)</w:t>
            </w:r>
          </w:p>
        </w:tc>
        <w:tc>
          <w:tcPr>
            <w:tcW w:w="140" w:type="dxa"/>
            <w:vAlign w:val="bottom"/>
          </w:tcPr>
          <w:p>
            <w:pPr>
              <w:spacing w:after="0"/>
              <w:rPr>
                <w:sz w:val="12"/>
                <w:szCs w:val="12"/>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(674,651)</w:t>
            </w:r>
          </w:p>
        </w:tc>
      </w:tr>
      <w:tr>
        <w:trPr>
          <w:trHeight w:val="122"/>
        </w:trPr>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Vesting of restricted</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43"/>
        </w:trPr>
        <w:tc>
          <w:tcPr>
            <w:tcW w:w="19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stock awards</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15,752</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155</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(155)</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22"/>
        </w:trPr>
        <w:tc>
          <w:tcPr>
            <w:tcW w:w="1980" w:type="dxa"/>
            <w:vAlign w:val="bottom"/>
            <w:gridSpan w:val="2"/>
          </w:tcPr>
          <w:p>
            <w:pPr>
              <w:spacing w:after="0" w:line="122" w:lineRule="exact"/>
              <w:rPr>
                <w:sz w:val="20"/>
                <w:szCs w:val="20"/>
                <w:color w:val="auto"/>
              </w:rPr>
            </w:pPr>
            <w:r>
              <w:rPr>
                <w:rFonts w:ascii="Arial" w:cs="Arial" w:eastAsia="Arial" w:hAnsi="Arial"/>
                <w:sz w:val="12"/>
                <w:szCs w:val="12"/>
                <w:color w:val="auto"/>
              </w:rPr>
              <w:t>Shares deducted from</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3"/>
        </w:trPr>
        <w:tc>
          <w:tcPr>
            <w:tcW w:w="1980" w:type="dxa"/>
            <w:vAlign w:val="bottom"/>
            <w:gridSpan w:val="2"/>
          </w:tcPr>
          <w:p>
            <w:pPr>
              <w:ind w:left="160"/>
              <w:spacing w:after="0"/>
              <w:rPr>
                <w:sz w:val="20"/>
                <w:szCs w:val="20"/>
                <w:color w:val="auto"/>
              </w:rPr>
            </w:pPr>
            <w:r>
              <w:rPr>
                <w:rFonts w:ascii="Arial" w:cs="Arial" w:eastAsia="Arial" w:hAnsi="Arial"/>
                <w:sz w:val="12"/>
                <w:szCs w:val="12"/>
                <w:color w:val="auto"/>
              </w:rPr>
              <w:t>restricted stock</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2"/>
        </w:trPr>
        <w:tc>
          <w:tcPr>
            <w:tcW w:w="198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2"/>
                <w:szCs w:val="12"/>
                <w:color w:val="auto"/>
              </w:rPr>
              <w:t>awards for payment</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43"/>
        </w:trPr>
        <w:tc>
          <w:tcPr>
            <w:tcW w:w="19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of withholding taxes</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(2,213)</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(39,847)</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(39,871)</w:t>
            </w:r>
          </w:p>
        </w:tc>
      </w:tr>
      <w:tr>
        <w:trPr>
          <w:trHeight w:val="122"/>
        </w:trPr>
        <w:tc>
          <w:tcPr>
            <w:tcW w:w="1980" w:type="dxa"/>
            <w:vAlign w:val="bottom"/>
            <w:gridSpan w:val="2"/>
          </w:tcPr>
          <w:p>
            <w:pPr>
              <w:spacing w:after="0" w:line="122" w:lineRule="exact"/>
              <w:rPr>
                <w:sz w:val="20"/>
                <w:szCs w:val="20"/>
                <w:color w:val="auto"/>
              </w:rPr>
            </w:pPr>
            <w:r>
              <w:rPr>
                <w:rFonts w:ascii="Arial" w:cs="Arial" w:eastAsia="Arial" w:hAnsi="Arial"/>
                <w:sz w:val="12"/>
                <w:szCs w:val="12"/>
                <w:color w:val="auto"/>
              </w:rPr>
              <w:t>Exercise of stock</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3"/>
        </w:trPr>
        <w:tc>
          <w:tcPr>
            <w:tcW w:w="1980" w:type="dxa"/>
            <w:vAlign w:val="bottom"/>
            <w:gridSpan w:val="2"/>
          </w:tcPr>
          <w:p>
            <w:pPr>
              <w:ind w:left="160"/>
              <w:spacing w:after="0"/>
              <w:rPr>
                <w:sz w:val="20"/>
                <w:szCs w:val="20"/>
                <w:color w:val="auto"/>
              </w:rPr>
            </w:pPr>
            <w:r>
              <w:rPr>
                <w:rFonts w:ascii="Arial" w:cs="Arial" w:eastAsia="Arial" w:hAnsi="Arial"/>
                <w:sz w:val="12"/>
                <w:szCs w:val="12"/>
                <w:color w:val="auto"/>
              </w:rPr>
              <w:t>options</w:t>
            </w:r>
          </w:p>
        </w:tc>
        <w:tc>
          <w:tcPr>
            <w:tcW w:w="2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3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130,872</w:t>
            </w:r>
          </w:p>
        </w:tc>
        <w:tc>
          <w:tcPr>
            <w:tcW w:w="24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1,311</w:t>
            </w:r>
          </w:p>
        </w:tc>
        <w:tc>
          <w:tcPr>
            <w:tcW w:w="220" w:type="dxa"/>
            <w:vAlign w:val="bottom"/>
          </w:tcPr>
          <w:p>
            <w:pPr>
              <w:spacing w:after="0"/>
              <w:rPr>
                <w:sz w:val="12"/>
                <w:szCs w:val="12"/>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72,828</w:t>
            </w:r>
          </w:p>
        </w:tc>
        <w:tc>
          <w:tcPr>
            <w:tcW w:w="140" w:type="dxa"/>
            <w:vAlign w:val="bottom"/>
          </w:tcPr>
          <w:p>
            <w:pPr>
              <w:spacing w:after="0"/>
              <w:rPr>
                <w:sz w:val="12"/>
                <w:szCs w:val="12"/>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740" w:type="dxa"/>
            <w:vAlign w:val="bottom"/>
          </w:tcPr>
          <w:p>
            <w:pPr>
              <w:jc w:val="right"/>
              <w:ind w:right="40"/>
              <w:spacing w:after="0"/>
              <w:rPr>
                <w:sz w:val="20"/>
                <w:szCs w:val="20"/>
                <w:color w:val="auto"/>
              </w:rPr>
            </w:pPr>
            <w:r>
              <w:rPr>
                <w:rFonts w:ascii="Arial" w:cs="Arial" w:eastAsia="Arial" w:hAnsi="Arial"/>
                <w:sz w:val="12"/>
                <w:szCs w:val="12"/>
                <w:color w:val="auto"/>
              </w:rPr>
              <w:t>74,139</w:t>
            </w:r>
          </w:p>
        </w:tc>
      </w:tr>
      <w:tr>
        <w:trPr>
          <w:trHeight w:val="122"/>
        </w:trPr>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Acquisition of treasury</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43"/>
        </w:trPr>
        <w:tc>
          <w:tcPr>
            <w:tcW w:w="19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stock</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40,630</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(540,253)</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(540,253)</w:t>
            </w:r>
          </w:p>
        </w:tc>
      </w:tr>
      <w:tr>
        <w:trPr>
          <w:trHeight w:val="132"/>
        </w:trPr>
        <w:tc>
          <w:tcPr>
            <w:tcW w:w="1980" w:type="dxa"/>
            <w:vAlign w:val="bottom"/>
            <w:gridSpan w:val="2"/>
          </w:tcPr>
          <w:p>
            <w:pPr>
              <w:spacing w:after="0" w:line="133" w:lineRule="exact"/>
              <w:rPr>
                <w:sz w:val="20"/>
                <w:szCs w:val="20"/>
                <w:color w:val="auto"/>
              </w:rPr>
            </w:pPr>
            <w:r>
              <w:rPr>
                <w:rFonts w:ascii="Arial" w:cs="Arial" w:eastAsia="Arial" w:hAnsi="Arial"/>
                <w:sz w:val="12"/>
                <w:szCs w:val="12"/>
                <w:color w:val="auto"/>
              </w:rPr>
              <w:t>Dividends</w:t>
            </w:r>
          </w:p>
        </w:tc>
        <w:tc>
          <w:tcPr>
            <w:tcW w:w="240" w:type="dxa"/>
            <w:vAlign w:val="bottom"/>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spacing w:after="0"/>
              <w:rPr>
                <w:sz w:val="11"/>
                <w:szCs w:val="11"/>
                <w:color w:val="auto"/>
              </w:rPr>
            </w:pPr>
          </w:p>
        </w:tc>
        <w:tc>
          <w:tcPr>
            <w:tcW w:w="360" w:type="dxa"/>
            <w:vAlign w:val="bottom"/>
          </w:tcPr>
          <w:p>
            <w:pPr>
              <w:jc w:val="right"/>
              <w:ind w:right="180"/>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0" w:type="dxa"/>
            <w:vAlign w:val="bottom"/>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4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(3,204,813)</w:t>
            </w:r>
          </w:p>
        </w:tc>
        <w:tc>
          <w:tcPr>
            <w:tcW w:w="1040" w:type="dxa"/>
            <w:vAlign w:val="bottom"/>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0" w:type="dxa"/>
            <w:vAlign w:val="bottom"/>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(3,204,813)</w:t>
            </w:r>
          </w:p>
        </w:tc>
      </w:tr>
      <w:tr>
        <w:trPr>
          <w:trHeight w:val="132"/>
        </w:trPr>
        <w:tc>
          <w:tcPr>
            <w:tcW w:w="19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Net income</w:t>
            </w:r>
          </w:p>
        </w:tc>
        <w:tc>
          <w:tcPr>
            <w:tcW w:w="24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3,973,093</w:t>
            </w:r>
          </w:p>
        </w:tc>
        <w:tc>
          <w:tcPr>
            <w:tcW w:w="104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3,973,093</w:t>
            </w:r>
          </w:p>
        </w:tc>
      </w:tr>
      <w:tr>
        <w:trPr>
          <w:trHeight w:val="122"/>
        </w:trPr>
        <w:tc>
          <w:tcPr>
            <w:tcW w:w="1980" w:type="dxa"/>
            <w:vAlign w:val="bottom"/>
            <w:gridSpan w:val="2"/>
          </w:tcPr>
          <w:p>
            <w:pPr>
              <w:spacing w:after="0" w:line="122" w:lineRule="exact"/>
              <w:rPr>
                <w:sz w:val="20"/>
                <w:szCs w:val="20"/>
                <w:color w:val="auto"/>
              </w:rPr>
            </w:pPr>
            <w:r>
              <w:rPr>
                <w:rFonts w:ascii="Arial" w:cs="Arial" w:eastAsia="Arial" w:hAnsi="Arial"/>
                <w:sz w:val="12"/>
                <w:szCs w:val="12"/>
                <w:color w:val="auto"/>
              </w:rPr>
              <w:t>Change in unrealized</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3"/>
        </w:trPr>
        <w:tc>
          <w:tcPr>
            <w:tcW w:w="1980" w:type="dxa"/>
            <w:vAlign w:val="bottom"/>
            <w:gridSpan w:val="2"/>
          </w:tcPr>
          <w:p>
            <w:pPr>
              <w:ind w:left="160"/>
              <w:spacing w:after="0"/>
              <w:rPr>
                <w:sz w:val="20"/>
                <w:szCs w:val="20"/>
                <w:color w:val="auto"/>
              </w:rPr>
            </w:pPr>
            <w:r>
              <w:rPr>
                <w:rFonts w:ascii="Arial" w:cs="Arial" w:eastAsia="Arial" w:hAnsi="Arial"/>
                <w:sz w:val="12"/>
                <w:szCs w:val="12"/>
                <w:color w:val="auto"/>
              </w:rPr>
              <w:t>losses on available-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2"/>
        </w:trPr>
        <w:tc>
          <w:tcPr>
            <w:tcW w:w="198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2"/>
                <w:szCs w:val="12"/>
                <w:color w:val="auto"/>
              </w:rPr>
              <w:t>for-sale securities,</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49"/>
        </w:trPr>
        <w:tc>
          <w:tcPr>
            <w:tcW w:w="1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net of tax</w:t>
            </w:r>
          </w:p>
        </w:tc>
        <w:tc>
          <w:tcPr>
            <w:tcW w:w="8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(3,281,445)</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(3,281,445)</w:t>
            </w:r>
          </w:p>
        </w:tc>
      </w:tr>
      <w:tr>
        <w:trPr>
          <w:trHeight w:val="122"/>
        </w:trPr>
        <w:tc>
          <w:tcPr>
            <w:tcW w:w="1980" w:type="dxa"/>
            <w:vAlign w:val="bottom"/>
            <w:gridSpan w:val="2"/>
          </w:tcPr>
          <w:p>
            <w:pPr>
              <w:spacing w:after="0" w:line="122" w:lineRule="exact"/>
              <w:rPr>
                <w:sz w:val="20"/>
                <w:szCs w:val="20"/>
                <w:color w:val="auto"/>
              </w:rPr>
            </w:pPr>
            <w:r>
              <w:rPr>
                <w:rFonts w:ascii="Arial" w:cs="Arial" w:eastAsia="Arial" w:hAnsi="Arial"/>
                <w:sz w:val="12"/>
                <w:szCs w:val="12"/>
                <w:color w:val="auto"/>
              </w:rPr>
              <w:t>Balance, September 30,</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3"/>
        </w:trPr>
        <w:tc>
          <w:tcPr>
            <w:tcW w:w="1180" w:type="dxa"/>
            <w:vAlign w:val="bottom"/>
          </w:tcPr>
          <w:p>
            <w:pPr>
              <w:ind w:left="160"/>
              <w:spacing w:after="0"/>
              <w:rPr>
                <w:sz w:val="20"/>
                <w:szCs w:val="20"/>
                <w:color w:val="auto"/>
              </w:rPr>
            </w:pPr>
            <w:r>
              <w:rPr>
                <w:rFonts w:ascii="Arial" w:cs="Arial" w:eastAsia="Arial" w:hAnsi="Arial"/>
                <w:sz w:val="12"/>
                <w:szCs w:val="12"/>
                <w:color w:val="auto"/>
              </w:rPr>
              <w:t>2018</w:t>
            </w:r>
          </w:p>
        </w:tc>
        <w:tc>
          <w:tcPr>
            <w:tcW w:w="8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11,729,166</w:t>
            </w: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117,291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68,220,714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(2,595,040)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28,335,344</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1,027,439</w:t>
            </w: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(2,712,552)</w:t>
            </w:r>
          </w:p>
        </w:tc>
        <w:tc>
          <w:tcPr>
            <w:tcW w:w="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91,365,757</w:t>
            </w:r>
          </w:p>
        </w:tc>
      </w:tr>
      <w:tr>
        <w:trPr>
          <w:trHeight w:val="20"/>
        </w:trPr>
        <w:tc>
          <w:tcPr>
            <w:tcW w:w="1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283" w:right="179" w:bottom="1440" w:gutter="0" w:footer="0" w:header="0"/>
        </w:sectPr>
      </w:pPr>
    </w:p>
    <w:bookmarkStart w:id="6" w:name="page7"/>
    <w:bookmarkEnd w:id="6"/>
    <w:p>
      <w:pPr>
        <w:ind w:left="728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i w:val="1"/>
                <w:iCs w:val="1"/>
                <w:color w:val="auto"/>
              </w:rPr>
              <w:t>Nine months ended September 30,</w:t>
            </w:r>
          </w:p>
        </w:tc>
        <w:tc>
          <w:tcPr>
            <w:tcW w:w="43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rPr>
              <w:t>2018</w:t>
            </w:r>
          </w:p>
        </w:tc>
        <w:tc>
          <w:tcPr>
            <w:tcW w:w="138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7340600" cy="151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40600" cy="151130"/>
                    </a:xfrm>
                    <a:prstGeom prst="rect">
                      <a:avLst/>
                    </a:prstGeom>
                    <a:noFill/>
                  </pic:spPr>
                </pic:pic>
              </a:graphicData>
            </a:graphic>
          </wp:anchor>
        </w:drawing>
      </w:r>
    </w:p>
    <w:p>
      <w:pPr>
        <w:sectPr>
          <w:pgSz w:w="11900" w:h="16838" w:orient="portrait"/>
          <w:cols w:equalWidth="0" w:num="1">
            <w:col w:w="11560"/>
          </w:cols>
          <w:pgMar w:left="160" w:top="283" w:right="179" w:bottom="1440" w:gutter="0" w:footer="0" w:header="0"/>
        </w:sect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Cash flows from operating activities</w:t>
      </w:r>
      <w:r>
        <w:rPr>
          <w:rFonts w:ascii="Arial" w:cs="Arial" w:eastAsia="Arial" w:hAnsi="Arial"/>
          <w:sz w:val="17"/>
          <w:szCs w:val="17"/>
          <w:color w:val="auto"/>
        </w:rPr>
        <w:t>:</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income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5"/>
          <w:szCs w:val="15"/>
          <w:color w:val="auto"/>
        </w:rPr>
        <w:t>Adjustments to reconcile net income to net 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34060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losses (gains) on investments</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color w:val="auto"/>
        </w:rPr>
        <w:t>Amortization of bond premium, net</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Amortization of discount and issuance costs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color w:val="auto"/>
        </w:rPr>
        <w:t>Stock-based compensation</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Deferred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(Increase) decrease in operating assets:</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Premiums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color w:val="auto"/>
        </w:rPr>
        <w:t>Reinsurance receivables, net</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color w:val="auto"/>
        </w:rPr>
        <w:t>Other assets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Increase (decrease) in operating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color w:val="auto"/>
        </w:rPr>
        <w:t>Loss and loss adjustment expense reserves</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color w:val="auto"/>
        </w:rPr>
        <w:t>Advance premiums</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Reinsurance balances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color w:val="auto"/>
        </w:rPr>
        <w:t>Deferred ceding commission revenue</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Accounts payable, 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51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0600" cy="15113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Net 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340600"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Cash flows from investing activities</w:t>
      </w:r>
      <w:r>
        <w:rPr>
          <w:rFonts w:ascii="Arial" w:cs="Arial" w:eastAsia="Arial" w:hAnsi="Arial"/>
          <w:sz w:val="17"/>
          <w:szCs w:val="17"/>
          <w:color w:val="auto"/>
        </w:rPr>
        <w:t>:</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color w:val="auto"/>
        </w:rPr>
        <w:t>Purchase - fixed-maturity securities available-for-sale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3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Purchase - equity securities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Sale and redemption - fixed-maturity securities 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Sale or maturity - fixed-maturity securities available-for-sale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Sale -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Acquisition of property and equipment</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Net 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340600" cy="151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0600" cy="151130"/>
                    </a:xfrm>
                    <a:prstGeom prst="rect">
                      <a:avLst/>
                    </a:prstGeom>
                    <a:noFill/>
                  </pic:spPr>
                </pic:pic>
              </a:graphicData>
            </a:graphic>
          </wp:anchor>
        </w:drawing>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Cash flows from financing activities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340600"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proceeds from issuance of common stock</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Withholding taxes paid on net exercise of stock options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Withholding taxes paid on vested retricted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34060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0600" cy="134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Purchase of treasury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3,973,093</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8,054,893</w:t>
            </w:r>
          </w:p>
        </w:tc>
      </w:tr>
      <w:tr>
        <w:trPr>
          <w:trHeight w:val="418"/>
        </w:trPr>
        <w:tc>
          <w:tcPr>
            <w:tcW w:w="32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277,835</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(96,915)</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1,273,975</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1,023,390</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284,204</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405,832</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124,241</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481,812</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198,046</w:t>
            </w:r>
          </w:p>
        </w:tc>
      </w:tr>
      <w:tr>
        <w:trPr>
          <w:trHeight w:val="217"/>
        </w:trPr>
        <w:tc>
          <w:tcPr>
            <w:tcW w:w="3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136,032</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322,608</w:t>
            </w:r>
          </w:p>
        </w:tc>
      </w:tr>
      <w:tr>
        <w:trPr>
          <w:trHeight w:val="418"/>
        </w:trPr>
        <w:tc>
          <w:tcPr>
            <w:tcW w:w="320" w:type="dxa"/>
            <w:vAlign w:val="bottom"/>
          </w:tcPr>
          <w:p>
            <w:pPr>
              <w:spacing w:after="0"/>
              <w:rPr>
                <w:sz w:val="24"/>
                <w:szCs w:val="24"/>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(266,849)</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(1,745,402)</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3,500,669</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7,226,493</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(2,276,012)</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(2,142,195)</w:t>
            </w:r>
          </w:p>
        </w:tc>
      </w:tr>
      <w:tr>
        <w:trPr>
          <w:trHeight w:val="217"/>
        </w:trPr>
        <w:tc>
          <w:tcPr>
            <w:tcW w:w="32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(1,824,401)</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(219,189)</w:t>
            </w:r>
          </w:p>
        </w:tc>
      </w:tr>
      <w:tr>
        <w:trPr>
          <w:trHeight w:val="418"/>
        </w:trPr>
        <w:tc>
          <w:tcPr>
            <w:tcW w:w="32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5,143,335</w:t>
            </w:r>
          </w:p>
        </w:tc>
        <w:tc>
          <w:tcPr>
            <w:tcW w:w="280" w:type="dxa"/>
            <w:vAlign w:val="bottom"/>
          </w:tcPr>
          <w:p>
            <w:pPr>
              <w:spacing w:after="0"/>
              <w:rPr>
                <w:sz w:val="24"/>
                <w:szCs w:val="24"/>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554,078</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9,926,741</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8,448,528</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1,411,027</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665,029</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(840,122)</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(333,669)</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(1,748,944)</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(2,898,092)</w:t>
            </w:r>
          </w:p>
        </w:tc>
      </w:tr>
      <w:tr>
        <w:trPr>
          <w:trHeight w:val="227"/>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(1,379,309)</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1,426,188</w:t>
            </w:r>
          </w:p>
        </w:tc>
      </w:tr>
      <w:tr>
        <w:trPr>
          <w:trHeight w:val="218"/>
        </w:trPr>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18,197,327</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20,889,623</w:t>
            </w:r>
          </w:p>
        </w:tc>
      </w:tr>
      <w:tr>
        <w:trPr>
          <w:trHeight w:val="627"/>
        </w:trPr>
        <w:tc>
          <w:tcPr>
            <w:tcW w:w="320" w:type="dxa"/>
            <w:vAlign w:val="bottom"/>
          </w:tcPr>
          <w:p>
            <w:pPr>
              <w:spacing w:after="0"/>
              <w:rPr>
                <w:sz w:val="24"/>
                <w:szCs w:val="24"/>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w w:val="99"/>
              </w:rPr>
              <w:t>(43,957,529)</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w w:val="99"/>
              </w:rPr>
              <w:t>(38,612,403)</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w w:val="99"/>
              </w:rPr>
              <w:t>(10,357,210)</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(5,298,781)</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624,963</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200,000</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17,740,260</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8,385,874</w:t>
            </w:r>
          </w:p>
        </w:tc>
      </w:tr>
      <w:tr>
        <w:trPr>
          <w:trHeight w:val="212"/>
        </w:trPr>
        <w:tc>
          <w:tcPr>
            <w:tcW w:w="3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5,694,121</w:t>
            </w:r>
          </w:p>
        </w:tc>
        <w:tc>
          <w:tcPr>
            <w:tcW w:w="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2,571,122</w:t>
            </w:r>
          </w:p>
        </w:tc>
      </w:tr>
      <w:tr>
        <w:trPr>
          <w:trHeight w:val="227"/>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(2,044,440)</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(1,944,342)</w:t>
            </w:r>
          </w:p>
        </w:tc>
      </w:tr>
      <w:tr>
        <w:trPr>
          <w:trHeight w:val="218"/>
        </w:trPr>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99"/>
              </w:rPr>
              <w:t>(32,299,835)</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(34,698,530)</w:t>
            </w:r>
          </w:p>
        </w:tc>
      </w:tr>
    </w:tbl>
    <w:p>
      <w:pPr>
        <w:spacing w:after="0" w:line="200" w:lineRule="exact"/>
        <w:rPr>
          <w:sz w:val="20"/>
          <w:szCs w:val="20"/>
          <w:color w:val="auto"/>
        </w:rPr>
      </w:pPr>
    </w:p>
    <w:p>
      <w:pPr>
        <w:spacing w:after="0" w:line="215" w:lineRule="exact"/>
        <w:rPr>
          <w:sz w:val="20"/>
          <w:szCs w:val="20"/>
          <w:color w:val="auto"/>
        </w:rPr>
      </w:pPr>
    </w:p>
    <w:p>
      <w:pPr>
        <w:ind w:left="1860" w:hanging="667"/>
        <w:spacing w:after="0"/>
        <w:tabs>
          <w:tab w:leader="none" w:pos="1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30,136,699</w:t>
      </w:r>
    </w:p>
    <w:p>
      <w:pPr>
        <w:spacing w:after="0" w:line="21"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74,139</w:t>
      </w:r>
      <w:r>
        <w:rPr>
          <w:rFonts w:ascii="Arial" w:cs="Arial" w:eastAsia="Arial" w:hAnsi="Arial"/>
          <w:sz w:val="15"/>
          <w:szCs w:val="15"/>
          <w:color w:val="auto"/>
        </w:rPr>
        <w:t>66,517</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6"/>
        </w:trPr>
        <w:tc>
          <w:tcPr>
            <w:tcW w:w="1020" w:type="dxa"/>
            <w:vAlign w:val="bottom"/>
          </w:tcPr>
          <w:p>
            <w:pPr>
              <w:jc w:val="right"/>
              <w:ind w:right="274"/>
              <w:spacing w:after="0"/>
              <w:rPr>
                <w:sz w:val="20"/>
                <w:szCs w:val="20"/>
                <w:color w:val="auto"/>
              </w:rPr>
            </w:pPr>
            <w:r>
              <w:rPr>
                <w:rFonts w:ascii="Arial" w:cs="Arial" w:eastAsia="Arial" w:hAnsi="Arial"/>
                <w:sz w:val="17"/>
                <w:szCs w:val="17"/>
                <w:color w:val="auto"/>
                <w:w w:val="87"/>
              </w:rPr>
              <w:t>(674,651)</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1020" w:type="dxa"/>
            <w:vAlign w:val="bottom"/>
          </w:tcPr>
          <w:p>
            <w:pPr>
              <w:jc w:val="right"/>
              <w:ind w:right="274"/>
              <w:spacing w:after="0"/>
              <w:rPr>
                <w:sz w:val="20"/>
                <w:szCs w:val="20"/>
                <w:color w:val="auto"/>
              </w:rPr>
            </w:pPr>
            <w:r>
              <w:rPr>
                <w:rFonts w:ascii="Arial" w:cs="Arial" w:eastAsia="Arial" w:hAnsi="Arial"/>
                <w:sz w:val="17"/>
                <w:szCs w:val="17"/>
                <w:color w:val="auto"/>
              </w:rPr>
              <w:t>(39,871)</w:t>
            </w:r>
          </w:p>
        </w:tc>
        <w:tc>
          <w:tcPr>
            <w:tcW w:w="1020" w:type="dxa"/>
            <w:vAlign w:val="bottom"/>
          </w:tcPr>
          <w:p>
            <w:pPr>
              <w:jc w:val="right"/>
              <w:spacing w:after="0"/>
              <w:rPr>
                <w:sz w:val="20"/>
                <w:szCs w:val="20"/>
                <w:color w:val="auto"/>
              </w:rPr>
            </w:pPr>
            <w:r>
              <w:rPr>
                <w:rFonts w:ascii="Arial" w:cs="Arial" w:eastAsia="Arial" w:hAnsi="Arial"/>
                <w:sz w:val="17"/>
                <w:szCs w:val="17"/>
                <w:color w:val="auto"/>
              </w:rPr>
              <w:t>(17,693)</w:t>
            </w:r>
          </w:p>
        </w:tc>
      </w:tr>
      <w:tr>
        <w:trPr>
          <w:trHeight w:val="217"/>
        </w:trPr>
        <w:tc>
          <w:tcPr>
            <w:tcW w:w="1020" w:type="dxa"/>
            <w:vAlign w:val="bottom"/>
          </w:tcPr>
          <w:p>
            <w:pPr>
              <w:jc w:val="right"/>
              <w:ind w:right="274"/>
              <w:spacing w:after="0"/>
              <w:rPr>
                <w:sz w:val="20"/>
                <w:szCs w:val="20"/>
                <w:color w:val="auto"/>
              </w:rPr>
            </w:pPr>
            <w:r>
              <w:rPr>
                <w:rFonts w:ascii="Arial" w:cs="Arial" w:eastAsia="Arial" w:hAnsi="Arial"/>
                <w:sz w:val="17"/>
                <w:szCs w:val="17"/>
                <w:color w:val="auto"/>
                <w:w w:val="87"/>
              </w:rPr>
              <w:t>(540,253)</w:t>
            </w:r>
          </w:p>
        </w:tc>
        <w:tc>
          <w:tcPr>
            <w:tcW w:w="1020" w:type="dxa"/>
            <w:vAlign w:val="bottom"/>
          </w:tcPr>
          <w:p>
            <w:pPr>
              <w:jc w:val="right"/>
              <w:spacing w:after="0"/>
              <w:rPr>
                <w:sz w:val="20"/>
                <w:szCs w:val="20"/>
                <w:color w:val="auto"/>
              </w:rPr>
            </w:pPr>
            <w:r>
              <w:rPr>
                <w:rFonts w:ascii="Arial" w:cs="Arial" w:eastAsia="Arial" w:hAnsi="Arial"/>
                <w:sz w:val="17"/>
                <w:szCs w:val="17"/>
                <w:color w:val="auto"/>
              </w:rPr>
              <w:t>(176,837)</w:t>
            </w:r>
          </w:p>
        </w:tc>
      </w:tr>
    </w:tbl>
    <w:p>
      <w:pPr>
        <w:spacing w:after="0" w:line="19" w:lineRule="exact"/>
        <w:rPr>
          <w:sz w:val="20"/>
          <w:szCs w:val="20"/>
          <w:color w:val="auto"/>
        </w:rPr>
      </w:pPr>
    </w:p>
    <w:p>
      <w:pPr>
        <w:sectPr>
          <w:pgSz w:w="11900" w:h="16838" w:orient="portrait"/>
          <w:cols w:equalWidth="0" w:num="2">
            <w:col w:w="8080" w:space="720"/>
            <w:col w:w="2760"/>
          </w:cols>
          <w:pgMar w:left="160" w:top="283" w:right="17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Dividends paid</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(3,204,813)</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(2,363,993)</w:t>
            </w:r>
          </w:p>
        </w:tc>
      </w:tr>
      <w:tr>
        <w:trPr>
          <w:trHeight w:val="218"/>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Net cash flows (used in) provided by financing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(4,385,449)</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27,644,693</w:t>
            </w:r>
          </w:p>
        </w:tc>
      </w:tr>
      <w:tr>
        <w:trPr>
          <w:trHeight w:val="212"/>
        </w:trPr>
        <w:tc>
          <w:tcPr>
            <w:tcW w:w="8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rPr>
              <w:t>(Decrease) increase in cash and cash equivalents</w:t>
            </w:r>
          </w:p>
        </w:tc>
        <w:tc>
          <w:tcPr>
            <w:tcW w:w="3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w w:val="99"/>
              </w:rPr>
              <w:t>(18,487,957)</w:t>
            </w:r>
          </w:p>
        </w:tc>
        <w:tc>
          <w:tcPr>
            <w:tcW w:w="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4"/>
              <w:spacing w:after="0"/>
              <w:rPr>
                <w:sz w:val="20"/>
                <w:szCs w:val="20"/>
                <w:color w:val="auto"/>
              </w:rPr>
            </w:pPr>
            <w:r>
              <w:rPr>
                <w:rFonts w:ascii="Arial" w:cs="Arial" w:eastAsia="Arial" w:hAnsi="Arial"/>
                <w:sz w:val="17"/>
                <w:szCs w:val="17"/>
                <w:color w:val="auto"/>
              </w:rPr>
              <w:t>13,835,786</w:t>
            </w:r>
          </w:p>
        </w:tc>
      </w:tr>
      <w:tr>
        <w:trPr>
          <w:trHeight w:val="21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48,381,633</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12,044,520</w:t>
            </w: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end of period</w:t>
            </w: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29,893,676</w:t>
            </w: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25,880,306</w:t>
            </w:r>
          </w:p>
        </w:tc>
      </w:tr>
      <w:tr>
        <w:trPr>
          <w:trHeight w:val="20"/>
        </w:trPr>
        <w:tc>
          <w:tcPr>
            <w:tcW w:w="8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5"/>
        </w:trPr>
        <w:tc>
          <w:tcPr>
            <w:tcW w:w="8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paid for income taxes</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1,250,000</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3,936,000</w:t>
            </w:r>
          </w:p>
        </w:tc>
      </w:tr>
      <w:tr>
        <w:trPr>
          <w:trHeight w:val="217"/>
        </w:trPr>
        <w:tc>
          <w:tcPr>
            <w:tcW w:w="8800" w:type="dxa"/>
            <w:vAlign w:val="bottom"/>
          </w:tcPr>
          <w:p>
            <w:pPr>
              <w:ind w:left="40"/>
              <w:spacing w:after="0"/>
              <w:rPr>
                <w:sz w:val="20"/>
                <w:szCs w:val="20"/>
                <w:color w:val="auto"/>
              </w:rPr>
            </w:pPr>
            <w:r>
              <w:rPr>
                <w:rFonts w:ascii="Arial" w:cs="Arial" w:eastAsia="Arial" w:hAnsi="Arial"/>
                <w:sz w:val="17"/>
                <w:szCs w:val="17"/>
                <w:color w:val="auto"/>
              </w:rPr>
              <w:t>Cash paid for interest</w:t>
            </w:r>
          </w:p>
        </w:tc>
        <w:tc>
          <w:tcPr>
            <w:tcW w:w="3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875,417</w:t>
            </w:r>
          </w:p>
        </w:tc>
        <w:tc>
          <w:tcPr>
            <w:tcW w:w="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4"/>
              <w:spacing w:after="0"/>
              <w:rPr>
                <w:sz w:val="20"/>
                <w:szCs w:val="20"/>
                <w:color w:val="auto"/>
              </w:rPr>
            </w:pPr>
            <w:r>
              <w:rPr>
                <w:rFonts w:ascii="Arial" w:cs="Arial" w:eastAsia="Arial" w:hAnsi="Arial"/>
                <w:sz w:val="17"/>
                <w:szCs w:val="17"/>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283" w:right="1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Nature of Business and Basis of Presentation</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Rhode Island, Massachusetts, Pennsylvania, Connecticut, Maine, New Hampshire and Texas. KICO is currently offering its property and casualty insurance products in New York, New Jersey, Rhode Island, Massachusetts and Pennsylvania. Although New Jersey, Rhode Island and Massachusetts are now growing expansion markets for the Company, 92.6% and 94.5% of KICO’s direct written premiums for the three months and nine months ended September 30, 2018, respectively, came from the New York policies.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(“GAAP”) for interim financial information and the instructions to Securities and Exchange Commission (“SEC”) Form 10-Q and Article 10 of SEC Regulation S-X. The principles for condensed interim financial information do not require the inclusion of all the information and footnotes required by generally accepted accounting principles for complete financial statements. Therefore, these condensed consolidated financial statements should be read in conjunction with the consolidated financial statements as of and for the year ended December 31, 2017 and notes thereto included in the Company’s Annual Report on Form 10-K filed with the SEC on March 15, 2018.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three months and nine months ended September 30, 2018 may not be indicative of the results that may be expected for the year ending December 31, 2018.</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2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loss adjustment expenses and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69" w:right="17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consolidated financial statements consist of Kingstone and its wholly owned subsidiaries: KICO and its wholly owned subsidiaries, CMIC Properties, Inc. (“Properties”) and 15 Joys Lane, LLC (“15 Joys Lane”), which together own the land and building from which KICO operates. All significant inter-company account balances and transactions have been eliminated in consolidation.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Changes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 Revenue from Contracts with Customers (Topic 606) (“ASU 2014-09”). The core principle of the new guidance is that an entity should recognize revenue to reflect the transfer of goods and services to customers in an amount equal to the consideration the entity receives or expects to receive. ASU 2014-09, as amended by ASU 2015-14, ASU 2016-08, ASU 2016-10 and ASU 2016-20, was effective for the Company for annual reporting periods beginning after December 15, 2017, including interim periods within that reporting period. The Company adopted ASU 2014-09 effective January 1, 2018. The standard excludes from its scope the accounting for insurance contracts, financial instruments, and certain other agreements that are governed under other GAAP guidance. Accordingly, the adoption of ASU 2014-09, as amended, did not have a material impact on the Company’s condensed consolidated financial statements.</w:t>
      </w:r>
    </w:p>
    <w:p>
      <w:pPr>
        <w:spacing w:after="0" w:line="12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January 2016, the FASB issued ASU 2016-01 – Financial Instruments – Overall (Subtopic 825-10): Recognition and Measurement of Financial Assets and Financial Liabilities (“ASU 2016-01”). Effective January 1, 2018, the Company adopted the provisions of ASU 2016-01. The updated guidance requires equity investments, including limited partnership interests, except those accounted for under the equity method of accounting, that have a readily determinable fair value to be measured at fair value with any changes in fair value recognized in net income. Equity securities that do not have readily determinable fair values may be measured at estimated fair value or cost less impairment, if any, adjusted for subsequent observable price changes, with changes in the carrying value recognized in net income. A qualitative assessment for impairment is required for equity investments without readily determinable fair values. The updated guidance also eliminates the requirement to disclose the method and significant assumptions used to estimate the fair value of financial instruments measured at amortized cost on the balance sheet. The adoption of this guidance resulted in the recognition of approximately $414,000 of net after-tax unrealized gains on equity investments as a cumulative effect adjustment that increased retained earnings as of January 1, 2018 and decreased accumulated other comprehensive income (“AOCI”) by the same amount. The Company elected to report changes in the fair value of equity investments in net gains (losses) on investments in the condensed consolidated statements of income and comprehensive income. At December 31, 2017, equity investments were classified as available-for-sale on the Company's consolidated balance sheet. However, upon adoption, the updated guidance eliminated the available-for-sale balance sheet classification for equity investments. Furthermore, for the three months and nine months ended September 30, 2018, net gain (loss) on investments of approximately $352,000 and ($278,000), respectively, in the condensed consolidated statements of income and comprehensive income included gains of approximately $409,000 and $99,000, respectively, from the fair value change of equity securities.</w:t>
      </w:r>
    </w:p>
    <w:p>
      <w:pPr>
        <w:spacing w:after="0" w:line="1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2016, FASB issued ASU 2016-15 – Statement of Cash Flows (Topic 320): Classification of Certain Cash Receipts and Cash Payments (“ASU 2016-15”). The revised ASU provides accounting guidance for eight specific cash flow issues. FASB issued the standard to clarify areas where GAAP has been either unclear or lacking in specific guidance. The effective date of ASU 2016-15 was for interim and annual reporting periods beginning after December 15, 2017. The Company adopted this ASU effective January 1, 2018, and it did not have a material impact on the Company’s condensed consolidated financial statements.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9" w:name="page10"/>
    <w:bookmarkEnd w:id="9"/>
    <w:p>
      <w:pPr>
        <w:jc w:val="both"/>
        <w:spacing w:after="0" w:line="265"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(“ASU 2017-09”). ASU 2017-09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amendment should be applied on a prospective basis. The effective date of ASU 2017-09 was for interim and annual reporting periods, beginning after December 15, 2017. The Company adopted this ASU effective January 1, 2018 and it did not have a material impact on the Company’s condensed consolidated financial statements.</w:t>
      </w:r>
    </w:p>
    <w:p>
      <w:pPr>
        <w:spacing w:after="0" w:line="12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February 2018, the FASB issued ASU 2018-02 - Income Statement – Reporting Comprehensive Income (Topic 220) – Reclassification of Certain Tax Effects from Accumulated Other Comprehensive Income (“ASU 2018-02”). The deferred income tax liability for unrealized gains on available-for-sale securities that were re-measured due to the reduction in corporate income tax rates under the Tax Cuts and Jobs Act of 2017 (the “Tax Act”) resulted in a stranded tax effect within AOCI. This is due to the effect of the tax rate change being recorded through continuing operations as required under Accounting Standards Codification 740 (“ASC 740”). The revised ASU allows for the reclassification of the stranded tax effects as a result of the Act from AOCI to retained earnings and requires certain other disclosures. Effective December 31, 2017, the Company chose to early adopt the provisions of ASU 2018-02 and recorded a one-time reclassification of $182,912 from AOCI to retained earnings for the stranded tax effects resulting from the newly enacted corporate tax rate. The amount of the reclassification was the difference between the historical corporate tax rate and the newly enacted 21% corporate tax rate.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August 2018,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is effective on November 5, 2018. The Company is evaluating the impact of this guidance on its condensed consolidated financial statements. The Company anticipates its first presentation of changes in stockholders’ equity will be included in its Form 10-Q for the quarter ended March 31, 2019.</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Pronouncements</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February 2016, FASB issued ASU 2016-02 – Leases (Topic 842) (“ASU 2016-02”). Under this ASU, lessees will recognize a right-of-use-asset and corresponding liability on the balance sheet for all leases, except for leases covering a period of fewer than 12 months. The liability is to be measured as the present value of the future minimum lease payments taking into account renewal options if applicable plus initial incremental direct costs such as commissions. The minimum payments are discounted using the rate implicit in the lease or, if not known, the lessee’s incremental borrowing rate. The lessee’s income statement treatment for leases will vary depending on the nature of what is being leased. A financing type lease is present when, among other matters, the asset is being leased for a substantial portion of its economic life or has an end-of-term title transfer or a bargain purchase option as in today’s practice. The payment of the liability set up for such leases will be apportioned between interest and principal; the right-of use asset will be generally amortized on a straight-line basis. If the lease does not qualify as a financing type lease, it will be accounted for on the income statement as rent on a straight-line basis. The guidance will be effective for the Company for interim and annual reporting periods beginning after December 15, 2018. The Company does not expect the adoption of ASU 2016-02 to have a significant impact on its consolidated results of operations, financial position or cash flows.</w:t>
      </w:r>
    </w:p>
    <w:p>
      <w:pPr>
        <w:spacing w:after="0" w:line="11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June 2016,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on January 1, 2020. The Company is currently evaluating the effect the updated guidance will have on its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10" w:name="page11"/>
    <w:bookmarkEnd w:id="10"/>
    <w:p>
      <w:pPr>
        <w:spacing w:after="0" w:line="287" w:lineRule="auto"/>
        <w:rPr>
          <w:sz w:val="20"/>
          <w:szCs w:val="20"/>
          <w:color w:val="auto"/>
        </w:rPr>
      </w:pPr>
      <w:r>
        <w:rPr>
          <w:rFonts w:ascii="Arial" w:cs="Arial" w:eastAsia="Arial" w:hAnsi="Arial"/>
          <w:sz w:val="17"/>
          <w:szCs w:val="17"/>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Investments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Fixed-Maturity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The amortized cost, fair value, and unrealized gains and losses of investments in fixed-maturity securities classified as available-for-sale as of September 30, 2018 and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are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5"/>
                <w:szCs w:val="15"/>
                <w:b w:val="1"/>
                <w:bCs w:val="1"/>
                <w:color w:val="auto"/>
              </w:rPr>
              <w:t>September 30, 2018</w:t>
            </w: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6"/>
        </w:trPr>
        <w:tc>
          <w:tcPr>
            <w:tcW w:w="4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00"/>
              <w:spacing w:after="0" w:line="146" w:lineRule="exact"/>
              <w:rPr>
                <w:sz w:val="20"/>
                <w:szCs w:val="20"/>
                <w:color w:val="auto"/>
              </w:rPr>
            </w:pPr>
            <w:r>
              <w:rPr>
                <w:rFonts w:ascii="Arial" w:cs="Arial" w:eastAsia="Arial" w:hAnsi="Arial"/>
                <w:sz w:val="15"/>
                <w:szCs w:val="15"/>
                <w:b w:val="1"/>
                <w:bCs w:val="1"/>
                <w:color w:val="auto"/>
                <w:w w:val="90"/>
              </w:rPr>
              <w:t>Net</w:t>
            </w:r>
          </w:p>
        </w:tc>
      </w:tr>
      <w:tr>
        <w:trPr>
          <w:trHeight w:val="179"/>
        </w:trPr>
        <w:tc>
          <w:tcPr>
            <w:tcW w:w="4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right="121"/>
              <w:spacing w:after="0"/>
              <w:rPr>
                <w:sz w:val="20"/>
                <w:szCs w:val="20"/>
                <w:color w:val="auto"/>
              </w:rPr>
            </w:pPr>
            <w:r>
              <w:rPr>
                <w:rFonts w:ascii="Arial" w:cs="Arial" w:eastAsia="Arial" w:hAnsi="Arial"/>
                <w:sz w:val="15"/>
                <w:szCs w:val="15"/>
                <w:b w:val="1"/>
                <w:bCs w:val="1"/>
                <w:color w:val="auto"/>
                <w:w w:val="83"/>
              </w:rPr>
              <w:t>Cost or</w:t>
            </w:r>
          </w:p>
        </w:tc>
        <w:tc>
          <w:tcPr>
            <w:tcW w:w="240" w:type="dxa"/>
            <w:vAlign w:val="bottom"/>
          </w:tcPr>
          <w:p>
            <w:pPr>
              <w:spacing w:after="0"/>
              <w:rPr>
                <w:sz w:val="15"/>
                <w:szCs w:val="15"/>
                <w:color w:val="auto"/>
              </w:rPr>
            </w:pPr>
          </w:p>
        </w:tc>
        <w:tc>
          <w:tcPr>
            <w:tcW w:w="920" w:type="dxa"/>
            <w:vAlign w:val="bottom"/>
          </w:tcPr>
          <w:p>
            <w:pPr>
              <w:jc w:val="center"/>
              <w:ind w:right="119"/>
              <w:spacing w:after="0"/>
              <w:rPr>
                <w:sz w:val="20"/>
                <w:szCs w:val="20"/>
                <w:color w:val="auto"/>
              </w:rPr>
            </w:pPr>
            <w:r>
              <w:rPr>
                <w:rFonts w:ascii="Arial" w:cs="Arial" w:eastAsia="Arial" w:hAnsi="Arial"/>
                <w:sz w:val="15"/>
                <w:szCs w:val="15"/>
                <w:b w:val="1"/>
                <w:bCs w:val="1"/>
                <w:color w:val="auto"/>
                <w:w w:val="82"/>
              </w:rPr>
              <w:t>Gross</w:t>
            </w: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5"/>
                <w:szCs w:val="15"/>
                <w:b w:val="1"/>
                <w:bCs w:val="1"/>
                <w:color w:val="auto"/>
                <w:w w:val="94"/>
              </w:rPr>
              <w:t>Gross Unrealized Losses</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20"/>
              <w:spacing w:after="0"/>
              <w:rPr>
                <w:sz w:val="20"/>
                <w:szCs w:val="20"/>
                <w:color w:val="auto"/>
              </w:rPr>
            </w:pPr>
            <w:r>
              <w:rPr>
                <w:rFonts w:ascii="Arial" w:cs="Arial" w:eastAsia="Arial" w:hAnsi="Arial"/>
                <w:sz w:val="15"/>
                <w:szCs w:val="15"/>
                <w:b w:val="1"/>
                <w:bCs w:val="1"/>
                <w:color w:val="auto"/>
                <w:w w:val="89"/>
              </w:rPr>
              <w:t>Unrealized</w:t>
            </w:r>
          </w:p>
        </w:tc>
      </w:tr>
      <w:tr>
        <w:trPr>
          <w:trHeight w:val="146"/>
        </w:trPr>
        <w:tc>
          <w:tcPr>
            <w:tcW w:w="4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141"/>
              <w:spacing w:after="0" w:line="146" w:lineRule="exact"/>
              <w:rPr>
                <w:sz w:val="20"/>
                <w:szCs w:val="20"/>
                <w:color w:val="auto"/>
              </w:rPr>
            </w:pPr>
            <w:r>
              <w:rPr>
                <w:rFonts w:ascii="Arial" w:cs="Arial" w:eastAsia="Arial" w:hAnsi="Arial"/>
                <w:sz w:val="15"/>
                <w:szCs w:val="15"/>
                <w:b w:val="1"/>
                <w:bCs w:val="1"/>
                <w:color w:val="auto"/>
                <w:w w:val="89"/>
              </w:rPr>
              <w:t>Amortized</w:t>
            </w:r>
          </w:p>
        </w:tc>
        <w:tc>
          <w:tcPr>
            <w:tcW w:w="240" w:type="dxa"/>
            <w:vAlign w:val="bottom"/>
          </w:tcPr>
          <w:p>
            <w:pPr>
              <w:spacing w:after="0"/>
              <w:rPr>
                <w:sz w:val="12"/>
                <w:szCs w:val="12"/>
                <w:color w:val="auto"/>
              </w:rPr>
            </w:pPr>
          </w:p>
        </w:tc>
        <w:tc>
          <w:tcPr>
            <w:tcW w:w="920" w:type="dxa"/>
            <w:vAlign w:val="bottom"/>
          </w:tcPr>
          <w:p>
            <w:pPr>
              <w:jc w:val="center"/>
              <w:ind w:right="119"/>
              <w:spacing w:after="0" w:line="146" w:lineRule="exact"/>
              <w:rPr>
                <w:sz w:val="20"/>
                <w:szCs w:val="20"/>
                <w:color w:val="auto"/>
              </w:rPr>
            </w:pPr>
            <w:r>
              <w:rPr>
                <w:rFonts w:ascii="Arial" w:cs="Arial" w:eastAsia="Arial" w:hAnsi="Arial"/>
                <w:sz w:val="15"/>
                <w:szCs w:val="15"/>
                <w:b w:val="1"/>
                <w:bCs w:val="1"/>
                <w:color w:val="auto"/>
                <w:w w:val="89"/>
              </w:rPr>
              <w:t>Unrealized</w:t>
            </w:r>
          </w:p>
        </w:tc>
        <w:tc>
          <w:tcPr>
            <w:tcW w:w="200" w:type="dxa"/>
            <w:vAlign w:val="bottom"/>
          </w:tcPr>
          <w:p>
            <w:pPr>
              <w:spacing w:after="0"/>
              <w:rPr>
                <w:sz w:val="12"/>
                <w:szCs w:val="12"/>
                <w:color w:val="auto"/>
              </w:rPr>
            </w:pPr>
          </w:p>
        </w:tc>
        <w:tc>
          <w:tcPr>
            <w:tcW w:w="980" w:type="dxa"/>
            <w:vAlign w:val="bottom"/>
          </w:tcPr>
          <w:p>
            <w:pPr>
              <w:jc w:val="right"/>
              <w:ind w:right="120"/>
              <w:spacing w:after="0" w:line="146" w:lineRule="exact"/>
              <w:rPr>
                <w:sz w:val="20"/>
                <w:szCs w:val="20"/>
                <w:color w:val="auto"/>
              </w:rPr>
            </w:pPr>
            <w:r>
              <w:rPr>
                <w:rFonts w:ascii="Arial" w:cs="Arial" w:eastAsia="Arial" w:hAnsi="Arial"/>
                <w:sz w:val="15"/>
                <w:szCs w:val="15"/>
                <w:b w:val="1"/>
                <w:bCs w:val="1"/>
                <w:color w:val="auto"/>
                <w:w w:val="83"/>
              </w:rPr>
              <w:t>Less than 12</w:t>
            </w:r>
          </w:p>
        </w:tc>
        <w:tc>
          <w:tcPr>
            <w:tcW w:w="1120" w:type="dxa"/>
            <w:vAlign w:val="bottom"/>
            <w:gridSpan w:val="2"/>
          </w:tcPr>
          <w:p>
            <w:pPr>
              <w:jc w:val="right"/>
              <w:ind w:right="56"/>
              <w:spacing w:after="0" w:line="146" w:lineRule="exact"/>
              <w:rPr>
                <w:sz w:val="20"/>
                <w:szCs w:val="20"/>
                <w:color w:val="auto"/>
              </w:rPr>
            </w:pPr>
            <w:r>
              <w:rPr>
                <w:rFonts w:ascii="Arial" w:cs="Arial" w:eastAsia="Arial" w:hAnsi="Arial"/>
                <w:sz w:val="15"/>
                <w:szCs w:val="15"/>
                <w:b w:val="1"/>
                <w:bCs w:val="1"/>
                <w:color w:val="auto"/>
              </w:rPr>
              <w:t>More than 12</w:t>
            </w:r>
          </w:p>
        </w:tc>
        <w:tc>
          <w:tcPr>
            <w:tcW w:w="1160" w:type="dxa"/>
            <w:vAlign w:val="bottom"/>
          </w:tcPr>
          <w:p>
            <w:pPr>
              <w:jc w:val="right"/>
              <w:ind w:right="358"/>
              <w:spacing w:after="0" w:line="146"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2"/>
                <w:szCs w:val="12"/>
                <w:color w:val="auto"/>
              </w:rPr>
            </w:pPr>
          </w:p>
        </w:tc>
        <w:tc>
          <w:tcPr>
            <w:tcW w:w="920" w:type="dxa"/>
            <w:vAlign w:val="bottom"/>
          </w:tcPr>
          <w:p>
            <w:pPr>
              <w:jc w:val="center"/>
              <w:ind w:right="100"/>
              <w:spacing w:after="0" w:line="146" w:lineRule="exact"/>
              <w:rPr>
                <w:sz w:val="20"/>
                <w:szCs w:val="20"/>
                <w:color w:val="auto"/>
              </w:rPr>
            </w:pPr>
            <w:r>
              <w:rPr>
                <w:rFonts w:ascii="Arial" w:cs="Arial" w:eastAsia="Arial" w:hAnsi="Arial"/>
                <w:sz w:val="15"/>
                <w:szCs w:val="15"/>
                <w:b w:val="1"/>
                <w:bCs w:val="1"/>
                <w:color w:val="auto"/>
                <w:w w:val="91"/>
              </w:rPr>
              <w:t>Gains/</w:t>
            </w:r>
          </w:p>
        </w:tc>
      </w:tr>
      <w:tr>
        <w:trPr>
          <w:trHeight w:val="179"/>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1"/>
              <w:spacing w:after="0"/>
              <w:rPr>
                <w:sz w:val="20"/>
                <w:szCs w:val="20"/>
                <w:color w:val="auto"/>
              </w:rPr>
            </w:pPr>
            <w:r>
              <w:rPr>
                <w:rFonts w:ascii="Arial" w:cs="Arial" w:eastAsia="Arial" w:hAnsi="Arial"/>
                <w:sz w:val="15"/>
                <w:szCs w:val="15"/>
                <w:b w:val="1"/>
                <w:bCs w:val="1"/>
                <w:color w:val="auto"/>
                <w:w w:val="83"/>
              </w:rPr>
              <w:t>Cost</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5"/>
                <w:szCs w:val="15"/>
                <w:b w:val="1"/>
                <w:bCs w:val="1"/>
                <w:color w:val="auto"/>
                <w:w w:val="86"/>
              </w:rPr>
              <w:t>Gains</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b w:val="1"/>
                <w:bCs w:val="1"/>
                <w:color w:val="auto"/>
              </w:rPr>
              <w:t>Months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Months</w:t>
            </w:r>
          </w:p>
        </w:tc>
        <w:tc>
          <w:tcPr>
            <w:tcW w:w="116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auto"/>
                <w:w w:val="80"/>
              </w:rPr>
              <w:t>(Losses</w:t>
            </w:r>
            <w:r>
              <w:rPr>
                <w:rFonts w:ascii="Arial" w:cs="Arial" w:eastAsia="Arial" w:hAnsi="Arial"/>
                <w:sz w:val="15"/>
                <w:szCs w:val="15"/>
                <w:color w:val="auto"/>
                <w:w w:val="80"/>
              </w:rPr>
              <w:t>)</w:t>
            </w:r>
          </w:p>
        </w:tc>
      </w:tr>
      <w:tr>
        <w:trPr>
          <w:trHeight w:val="238"/>
        </w:trPr>
        <w:tc>
          <w:tcPr>
            <w:tcW w:w="4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8"/>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7"/>
                <w:szCs w:val="17"/>
                <w:color w:val="auto"/>
              </w:rPr>
              <w:t>U.S. Treasury securities and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obligations of U.S. government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corporations and agencies</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8,214,959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(75,222)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  8,139,737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(75,222)</w:t>
            </w:r>
          </w:p>
        </w:tc>
      </w:tr>
      <w:tr>
        <w:trPr>
          <w:trHeight w:val="212"/>
        </w:trPr>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Political subdivisions of States,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Territories and Possessions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6,545,242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26,468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(63,596)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(50,343)</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6,457,771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(87,471)</w:t>
            </w:r>
          </w:p>
        </w:tc>
      </w:tr>
      <w:tr>
        <w:trPr>
          <w:trHeight w:val="212"/>
        </w:trPr>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 bonds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Industrial and miscellaneous</w:t>
            </w:r>
          </w:p>
        </w:tc>
        <w:tc>
          <w:tcPr>
            <w:tcW w:w="1160" w:type="dxa"/>
            <w:vAlign w:val="bottom"/>
            <w:gridSpan w:val="2"/>
          </w:tcPr>
          <w:p>
            <w:pPr>
              <w:jc w:val="right"/>
              <w:ind w:right="41"/>
              <w:spacing w:after="0"/>
              <w:rPr>
                <w:sz w:val="20"/>
                <w:szCs w:val="20"/>
                <w:color w:val="auto"/>
              </w:rPr>
            </w:pPr>
            <w:r>
              <w:rPr>
                <w:rFonts w:ascii="Arial" w:cs="Arial" w:eastAsia="Arial" w:hAnsi="Arial"/>
                <w:sz w:val="17"/>
                <w:szCs w:val="17"/>
                <w:color w:val="auto"/>
              </w:rPr>
              <w:t>106,538,272</w:t>
            </w:r>
          </w:p>
        </w:tc>
        <w:tc>
          <w:tcPr>
            <w:tcW w:w="2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87,788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(2,461,966)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(399,360)</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103,764,734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6"/>
              </w:rPr>
              <w:t>(2,773,538)</w:t>
            </w:r>
          </w:p>
        </w:tc>
      </w:tr>
      <w:tr>
        <w:trPr>
          <w:trHeight w:val="212"/>
        </w:trPr>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Residential mortgage and other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asset backed securities (1)</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w w:val="91"/>
              </w:rPr>
              <w:t>23,274,361</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288,079</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(99,954)</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(464,193)</w:t>
            </w: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22,998,293</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(276,068)</w:t>
            </w: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Total</w:t>
            </w:r>
          </w:p>
        </w:tc>
        <w:tc>
          <w:tcPr>
            <w:tcW w:w="116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144,572,834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402,335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(2,700,738)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(913,896)</w:t>
            </w: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141,360,535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(3,212,299)</w:t>
            </w:r>
          </w:p>
        </w:tc>
      </w:tr>
      <w:tr>
        <w:trPr>
          <w:trHeight w:val="20"/>
        </w:trPr>
        <w:tc>
          <w:tcPr>
            <w:tcW w:w="4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left="640" w:hanging="316"/>
        <w:spacing w:after="0" w:line="290"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FHBLNY credit line. As of September 30, 2018, the fair value of the eligible investments was approximately $5,790,000. KICO will retain all rights regarding all securities if pledged as collateral. As of September 30, 2018, there was no outstanding balance on the FHLBNY credit line.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9"/>
              </w:rPr>
              <w:t>December 31, 2017</w:t>
            </w: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6"/>
        </w:trPr>
        <w:tc>
          <w:tcPr>
            <w:tcW w:w="4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00"/>
              <w:spacing w:after="0" w:line="146" w:lineRule="exact"/>
              <w:rPr>
                <w:sz w:val="20"/>
                <w:szCs w:val="20"/>
                <w:color w:val="auto"/>
              </w:rPr>
            </w:pPr>
            <w:r>
              <w:rPr>
                <w:rFonts w:ascii="Arial" w:cs="Arial" w:eastAsia="Arial" w:hAnsi="Arial"/>
                <w:sz w:val="15"/>
                <w:szCs w:val="15"/>
                <w:b w:val="1"/>
                <w:bCs w:val="1"/>
                <w:color w:val="auto"/>
                <w:w w:val="90"/>
              </w:rPr>
              <w:t>Net</w:t>
            </w:r>
          </w:p>
        </w:tc>
      </w:tr>
      <w:tr>
        <w:trPr>
          <w:trHeight w:val="179"/>
        </w:trPr>
        <w:tc>
          <w:tcPr>
            <w:tcW w:w="4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right="120"/>
              <w:spacing w:after="0"/>
              <w:rPr>
                <w:sz w:val="20"/>
                <w:szCs w:val="20"/>
                <w:color w:val="auto"/>
              </w:rPr>
            </w:pPr>
            <w:r>
              <w:rPr>
                <w:rFonts w:ascii="Arial" w:cs="Arial" w:eastAsia="Arial" w:hAnsi="Arial"/>
                <w:sz w:val="15"/>
                <w:szCs w:val="15"/>
                <w:b w:val="1"/>
                <w:bCs w:val="1"/>
                <w:color w:val="auto"/>
                <w:w w:val="83"/>
              </w:rPr>
              <w:t>Cost or</w:t>
            </w:r>
          </w:p>
        </w:tc>
        <w:tc>
          <w:tcPr>
            <w:tcW w:w="240" w:type="dxa"/>
            <w:vAlign w:val="bottom"/>
          </w:tcPr>
          <w:p>
            <w:pPr>
              <w:spacing w:after="0"/>
              <w:rPr>
                <w:sz w:val="15"/>
                <w:szCs w:val="15"/>
                <w:color w:val="auto"/>
              </w:rPr>
            </w:pPr>
          </w:p>
        </w:tc>
        <w:tc>
          <w:tcPr>
            <w:tcW w:w="920" w:type="dxa"/>
            <w:vAlign w:val="bottom"/>
          </w:tcPr>
          <w:p>
            <w:pPr>
              <w:jc w:val="center"/>
              <w:ind w:right="119"/>
              <w:spacing w:after="0"/>
              <w:rPr>
                <w:sz w:val="20"/>
                <w:szCs w:val="20"/>
                <w:color w:val="auto"/>
              </w:rPr>
            </w:pPr>
            <w:r>
              <w:rPr>
                <w:rFonts w:ascii="Arial" w:cs="Arial" w:eastAsia="Arial" w:hAnsi="Arial"/>
                <w:sz w:val="15"/>
                <w:szCs w:val="15"/>
                <w:b w:val="1"/>
                <w:bCs w:val="1"/>
                <w:color w:val="auto"/>
                <w:w w:val="82"/>
              </w:rPr>
              <w:t>Gross</w:t>
            </w: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5"/>
                <w:szCs w:val="15"/>
                <w:b w:val="1"/>
                <w:bCs w:val="1"/>
                <w:color w:val="auto"/>
                <w:w w:val="94"/>
              </w:rPr>
              <w:t>Gross Unrealized Losses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20"/>
              <w:spacing w:after="0"/>
              <w:rPr>
                <w:sz w:val="20"/>
                <w:szCs w:val="20"/>
                <w:color w:val="auto"/>
              </w:rPr>
            </w:pPr>
            <w:r>
              <w:rPr>
                <w:rFonts w:ascii="Arial" w:cs="Arial" w:eastAsia="Arial" w:hAnsi="Arial"/>
                <w:sz w:val="15"/>
                <w:szCs w:val="15"/>
                <w:b w:val="1"/>
                <w:bCs w:val="1"/>
                <w:color w:val="auto"/>
                <w:w w:val="89"/>
              </w:rPr>
              <w:t>Unrealized</w:t>
            </w:r>
          </w:p>
        </w:tc>
      </w:tr>
      <w:tr>
        <w:trPr>
          <w:trHeight w:val="146"/>
        </w:trPr>
        <w:tc>
          <w:tcPr>
            <w:tcW w:w="4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140"/>
              <w:spacing w:after="0" w:line="146" w:lineRule="exact"/>
              <w:rPr>
                <w:sz w:val="20"/>
                <w:szCs w:val="20"/>
                <w:color w:val="auto"/>
              </w:rPr>
            </w:pPr>
            <w:r>
              <w:rPr>
                <w:rFonts w:ascii="Arial" w:cs="Arial" w:eastAsia="Arial" w:hAnsi="Arial"/>
                <w:sz w:val="15"/>
                <w:szCs w:val="15"/>
                <w:b w:val="1"/>
                <w:bCs w:val="1"/>
                <w:color w:val="auto"/>
                <w:w w:val="89"/>
              </w:rPr>
              <w:t>Amortized</w:t>
            </w:r>
          </w:p>
        </w:tc>
        <w:tc>
          <w:tcPr>
            <w:tcW w:w="240" w:type="dxa"/>
            <w:vAlign w:val="bottom"/>
          </w:tcPr>
          <w:p>
            <w:pPr>
              <w:spacing w:after="0"/>
              <w:rPr>
                <w:sz w:val="12"/>
                <w:szCs w:val="12"/>
                <w:color w:val="auto"/>
              </w:rPr>
            </w:pPr>
          </w:p>
        </w:tc>
        <w:tc>
          <w:tcPr>
            <w:tcW w:w="920" w:type="dxa"/>
            <w:vAlign w:val="bottom"/>
          </w:tcPr>
          <w:p>
            <w:pPr>
              <w:jc w:val="center"/>
              <w:ind w:right="119"/>
              <w:spacing w:after="0" w:line="146" w:lineRule="exact"/>
              <w:rPr>
                <w:sz w:val="20"/>
                <w:szCs w:val="20"/>
                <w:color w:val="auto"/>
              </w:rPr>
            </w:pPr>
            <w:r>
              <w:rPr>
                <w:rFonts w:ascii="Arial" w:cs="Arial" w:eastAsia="Arial" w:hAnsi="Arial"/>
                <w:sz w:val="15"/>
                <w:szCs w:val="15"/>
                <w:b w:val="1"/>
                <w:bCs w:val="1"/>
                <w:color w:val="auto"/>
                <w:w w:val="89"/>
              </w:rPr>
              <w:t>Unrealized</w:t>
            </w:r>
          </w:p>
        </w:tc>
        <w:tc>
          <w:tcPr>
            <w:tcW w:w="200" w:type="dxa"/>
            <w:vAlign w:val="bottom"/>
          </w:tcPr>
          <w:p>
            <w:pPr>
              <w:spacing w:after="0"/>
              <w:rPr>
                <w:sz w:val="12"/>
                <w:szCs w:val="12"/>
                <w:color w:val="auto"/>
              </w:rPr>
            </w:pPr>
          </w:p>
        </w:tc>
        <w:tc>
          <w:tcPr>
            <w:tcW w:w="980" w:type="dxa"/>
            <w:vAlign w:val="bottom"/>
          </w:tcPr>
          <w:p>
            <w:pPr>
              <w:jc w:val="right"/>
              <w:ind w:right="119"/>
              <w:spacing w:after="0" w:line="146" w:lineRule="exact"/>
              <w:rPr>
                <w:sz w:val="20"/>
                <w:szCs w:val="20"/>
                <w:color w:val="auto"/>
              </w:rPr>
            </w:pPr>
            <w:r>
              <w:rPr>
                <w:rFonts w:ascii="Arial" w:cs="Arial" w:eastAsia="Arial" w:hAnsi="Arial"/>
                <w:sz w:val="15"/>
                <w:szCs w:val="15"/>
                <w:b w:val="1"/>
                <w:bCs w:val="1"/>
                <w:color w:val="auto"/>
                <w:w w:val="83"/>
              </w:rPr>
              <w:t>Less than 12</w:t>
            </w:r>
          </w:p>
        </w:tc>
        <w:tc>
          <w:tcPr>
            <w:tcW w:w="1120" w:type="dxa"/>
            <w:vAlign w:val="bottom"/>
            <w:gridSpan w:val="2"/>
          </w:tcPr>
          <w:p>
            <w:pPr>
              <w:jc w:val="right"/>
              <w:ind w:right="56"/>
              <w:spacing w:after="0" w:line="146" w:lineRule="exact"/>
              <w:rPr>
                <w:sz w:val="20"/>
                <w:szCs w:val="20"/>
                <w:color w:val="auto"/>
              </w:rPr>
            </w:pPr>
            <w:r>
              <w:rPr>
                <w:rFonts w:ascii="Arial" w:cs="Arial" w:eastAsia="Arial" w:hAnsi="Arial"/>
                <w:sz w:val="15"/>
                <w:szCs w:val="15"/>
                <w:b w:val="1"/>
                <w:bCs w:val="1"/>
                <w:color w:val="auto"/>
              </w:rPr>
              <w:t>More than 12</w:t>
            </w:r>
          </w:p>
        </w:tc>
        <w:tc>
          <w:tcPr>
            <w:tcW w:w="240" w:type="dxa"/>
            <w:vAlign w:val="bottom"/>
          </w:tcPr>
          <w:p>
            <w:pPr>
              <w:spacing w:after="0"/>
              <w:rPr>
                <w:sz w:val="12"/>
                <w:szCs w:val="12"/>
                <w:color w:val="auto"/>
              </w:rPr>
            </w:pPr>
          </w:p>
        </w:tc>
        <w:tc>
          <w:tcPr>
            <w:tcW w:w="920" w:type="dxa"/>
            <w:vAlign w:val="bottom"/>
          </w:tcPr>
          <w:p>
            <w:pPr>
              <w:jc w:val="right"/>
              <w:ind w:right="358"/>
              <w:spacing w:after="0" w:line="146"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2"/>
                <w:szCs w:val="12"/>
                <w:color w:val="auto"/>
              </w:rPr>
            </w:pPr>
          </w:p>
        </w:tc>
        <w:tc>
          <w:tcPr>
            <w:tcW w:w="920" w:type="dxa"/>
            <w:vAlign w:val="bottom"/>
          </w:tcPr>
          <w:p>
            <w:pPr>
              <w:jc w:val="center"/>
              <w:ind w:right="100"/>
              <w:spacing w:after="0" w:line="146" w:lineRule="exact"/>
              <w:rPr>
                <w:sz w:val="20"/>
                <w:szCs w:val="20"/>
                <w:color w:val="auto"/>
              </w:rPr>
            </w:pPr>
            <w:r>
              <w:rPr>
                <w:rFonts w:ascii="Arial" w:cs="Arial" w:eastAsia="Arial" w:hAnsi="Arial"/>
                <w:sz w:val="15"/>
                <w:szCs w:val="15"/>
                <w:b w:val="1"/>
                <w:bCs w:val="1"/>
                <w:color w:val="auto"/>
                <w:w w:val="91"/>
              </w:rPr>
              <w:t>Gains/</w:t>
            </w:r>
          </w:p>
        </w:tc>
      </w:tr>
      <w:tr>
        <w:trPr>
          <w:trHeight w:val="179"/>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0"/>
              <w:spacing w:after="0"/>
              <w:rPr>
                <w:sz w:val="20"/>
                <w:szCs w:val="20"/>
                <w:color w:val="auto"/>
              </w:rPr>
            </w:pPr>
            <w:r>
              <w:rPr>
                <w:rFonts w:ascii="Arial" w:cs="Arial" w:eastAsia="Arial" w:hAnsi="Arial"/>
                <w:sz w:val="15"/>
                <w:szCs w:val="15"/>
                <w:b w:val="1"/>
                <w:bCs w:val="1"/>
                <w:color w:val="auto"/>
                <w:w w:val="83"/>
              </w:rPr>
              <w:t>Cost</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5"/>
                <w:szCs w:val="15"/>
                <w:b w:val="1"/>
                <w:bCs w:val="1"/>
                <w:color w:val="auto"/>
                <w:w w:val="86"/>
              </w:rPr>
              <w:t>Gains</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5"/>
                <w:szCs w:val="15"/>
                <w:b w:val="1"/>
                <w:bCs w:val="1"/>
                <w:color w:val="auto"/>
              </w:rPr>
              <w:t>Months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w w:val="97"/>
              </w:rPr>
              <w:t>Months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auto"/>
                <w:w w:val="80"/>
              </w:rPr>
              <w:t>(Losses</w:t>
            </w:r>
            <w:r>
              <w:rPr>
                <w:rFonts w:ascii="Arial" w:cs="Arial" w:eastAsia="Arial" w:hAnsi="Arial"/>
                <w:sz w:val="15"/>
                <w:szCs w:val="15"/>
                <w:color w:val="auto"/>
                <w:w w:val="80"/>
              </w:rPr>
              <w:t>)</w:t>
            </w:r>
          </w:p>
        </w:tc>
      </w:tr>
      <w:tr>
        <w:trPr>
          <w:trHeight w:val="238"/>
        </w:trPr>
        <w:tc>
          <w:tcPr>
            <w:tcW w:w="4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8"/>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7"/>
                <w:szCs w:val="17"/>
                <w:color w:val="auto"/>
              </w:rPr>
              <w:t>U.S. Treasury securities and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obligations of U.S. government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corporations and agencies</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w:t>
            </w:r>
          </w:p>
        </w:tc>
      </w:tr>
      <w:tr>
        <w:trPr>
          <w:trHeight w:val="212"/>
        </w:trPr>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Political subdivisions of States,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Territories and Possessions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w w:val="91"/>
              </w:rPr>
              <w:t>11,096,122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250,135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(30,814)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91"/>
              </w:rPr>
              <w:t>11,315,443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219,321</w:t>
            </w:r>
          </w:p>
        </w:tc>
      </w:tr>
      <w:tr>
        <w:trPr>
          <w:trHeight w:val="212"/>
        </w:trPr>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 bonds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Industrial and miscellaneous</w:t>
            </w:r>
          </w:p>
        </w:tc>
        <w:tc>
          <w:tcPr>
            <w:tcW w:w="24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w w:val="91"/>
              </w:rPr>
              <w:t>87,562,631</w:t>
            </w:r>
          </w:p>
        </w:tc>
        <w:tc>
          <w:tcPr>
            <w:tcW w:w="2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1,189,207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(269,857)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(340,516)</w:t>
            </w:r>
          </w:p>
        </w:tc>
        <w:tc>
          <w:tcPr>
            <w:tcW w:w="24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w w:val="91"/>
              </w:rPr>
              <w:t>88,141,465</w:t>
            </w:r>
          </w:p>
        </w:tc>
        <w:tc>
          <w:tcPr>
            <w:tcW w:w="2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578,834</w:t>
            </w:r>
          </w:p>
        </w:tc>
      </w:tr>
      <w:tr>
        <w:trPr>
          <w:trHeight w:val="212"/>
        </w:trPr>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Residential mortgage and other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asset backed securities (1)</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w w:val="91"/>
              </w:rPr>
              <w:t>20,463,353</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305,499</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(48,482)</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(189,022)</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91"/>
              </w:rPr>
              <w:t>20,531,348</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67,995</w:t>
            </w: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Total</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98"/>
              </w:rPr>
              <w:t>$119,122,106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1,744,841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(349,153)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(529,538)</w:t>
            </w:r>
          </w:p>
        </w:tc>
        <w:tc>
          <w:tcPr>
            <w:tcW w:w="116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7"/>
                <w:szCs w:val="17"/>
                <w:color w:val="auto"/>
                <w:w w:val="98"/>
              </w:rPr>
              <w:t>$119,988,256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866,150</w:t>
            </w:r>
          </w:p>
        </w:tc>
      </w:tr>
      <w:tr>
        <w:trPr>
          <w:trHeight w:val="20"/>
        </w:trPr>
        <w:tc>
          <w:tcPr>
            <w:tcW w:w="4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left="640" w:hanging="316"/>
        <w:spacing w:after="0" w:line="269"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2017, KICO placed certain residential mortgage backed securities as eligible collateral in a designated custodian account related to its membership in the FHLBNY (see Note 7). The eligible collateral would be pledged to FHLBNY if KICO draws an advance from the FHBLNY credit line. As of December 31, 2017, the fair value of the eligible investments was approximately $6,703,000. KICO will retain all rights regarding all securities if pledged as collateral. As of December 31, 2017, there was no outstanding balance on the FHLBNY credit line.</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A summary of the amortized cost and fair value of the Company’s investments in available-for-sale fixed-maturity securities by contractual maturity as of September 30, 2018 and December 31, 2017 is shown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5"/>
                <w:szCs w:val="15"/>
                <w:b w:val="1"/>
                <w:bCs w:val="1"/>
                <w:color w:val="auto"/>
              </w:rPr>
              <w:t>September 30, 2018</w:t>
            </w:r>
          </w:p>
        </w:tc>
        <w:tc>
          <w:tcPr>
            <w:tcW w:w="3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5"/>
                <w:szCs w:val="15"/>
                <w:b w:val="1"/>
                <w:bCs w:val="1"/>
                <w:color w:val="auto"/>
              </w:rPr>
              <w:t>December 31, 2017</w:t>
            </w:r>
          </w:p>
        </w:tc>
      </w:tr>
      <w:tr>
        <w:trPr>
          <w:trHeight w:val="254"/>
        </w:trPr>
        <w:tc>
          <w:tcPr>
            <w:tcW w:w="6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278"/>
              <w:spacing w:after="0"/>
              <w:rPr>
                <w:sz w:val="20"/>
                <w:szCs w:val="20"/>
                <w:color w:val="auto"/>
              </w:rPr>
            </w:pPr>
            <w:r>
              <w:rPr>
                <w:rFonts w:ascii="Arial" w:cs="Arial" w:eastAsia="Arial" w:hAnsi="Arial"/>
                <w:sz w:val="15"/>
                <w:szCs w:val="15"/>
                <w:b w:val="1"/>
                <w:bCs w:val="1"/>
                <w:color w:val="auto"/>
                <w:w w:val="95"/>
              </w:rPr>
              <w:t>Amortized</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278"/>
              <w:spacing w:after="0"/>
              <w:rPr>
                <w:sz w:val="20"/>
                <w:szCs w:val="20"/>
                <w:color w:val="auto"/>
              </w:rPr>
            </w:pPr>
            <w:r>
              <w:rPr>
                <w:rFonts w:ascii="Arial" w:cs="Arial" w:eastAsia="Arial" w:hAnsi="Arial"/>
                <w:sz w:val="15"/>
                <w:szCs w:val="15"/>
                <w:b w:val="1"/>
                <w:bCs w:val="1"/>
                <w:color w:val="auto"/>
                <w:w w:val="95"/>
              </w:rPr>
              <w:t>Amortized</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Remaining Time to Maturit</w:t>
            </w:r>
            <w:r>
              <w:rPr>
                <w:rFonts w:ascii="Arial" w:cs="Arial" w:eastAsia="Arial" w:hAnsi="Arial"/>
                <w:sz w:val="15"/>
                <w:szCs w:val="15"/>
                <w:color w:val="auto"/>
              </w:rPr>
              <w:t>y</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Cost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Fair Value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Cost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w w:val="97"/>
              </w:rPr>
              <w:t>Fair Value</w:t>
            </w:r>
          </w:p>
        </w:tc>
      </w:tr>
      <w:tr>
        <w:trPr>
          <w:trHeight w:val="238"/>
        </w:trPr>
        <w:tc>
          <w:tcPr>
            <w:tcW w:w="6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1,689,356</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1,683,350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2,585,479</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2,595,938</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One to five years</w:t>
            </w:r>
          </w:p>
        </w:tc>
        <w:tc>
          <w:tcPr>
            <w:tcW w:w="30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39,607,252</w:t>
            </w:r>
          </w:p>
        </w:tc>
        <w:tc>
          <w:tcPr>
            <w:tcW w:w="30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7"/>
                <w:szCs w:val="17"/>
                <w:color w:val="auto"/>
              </w:rPr>
              <w:t>39,173,793</w:t>
            </w:r>
          </w:p>
        </w:tc>
        <w:tc>
          <w:tcPr>
            <w:tcW w:w="30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31,716,345</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32,065,197</w:t>
            </w: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77,027,918</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74,706,819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62,702,945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63,129,543</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More than 10 years</w:t>
            </w:r>
          </w:p>
        </w:tc>
        <w:tc>
          <w:tcPr>
            <w:tcW w:w="30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2,973,947</w:t>
            </w:r>
          </w:p>
        </w:tc>
        <w:tc>
          <w:tcPr>
            <w:tcW w:w="30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7"/>
                <w:szCs w:val="17"/>
                <w:color w:val="auto"/>
              </w:rPr>
              <w:t>2,798,280</w:t>
            </w:r>
          </w:p>
        </w:tc>
        <w:tc>
          <w:tcPr>
            <w:tcW w:w="30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1,653,984</w:t>
            </w: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1,666,230</w:t>
            </w:r>
          </w:p>
        </w:tc>
      </w:tr>
      <w:tr>
        <w:trPr>
          <w:trHeight w:val="218"/>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mortgage and other asset backed securities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23,274,361</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22,998,293</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20,463,353</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20,531,348</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w w:val="97"/>
              </w:rPr>
              <w:t>144,572,834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9"/>
              </w:rPr>
              <w:t>141,360,535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w w:val="97"/>
              </w:rPr>
              <w:t>119,122,106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7"/>
              </w:rPr>
              <w:t>119,988,256</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0" w:right="17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Equity Securities</w:t>
      </w: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January 1, 2018, the Company adopted ASU 2016-01, which resulted in changes in the fair value of equity securities held at September 30, 2018 being reported in net income instead of being reported in comprehensive income. See Note 2, Accounting Policies, for additional discussion. The cost, fair value, and gross gains and losses of investments in equity securities as of September 30, 2018 and December 31, 2017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5"/>
                <w:szCs w:val="15"/>
                <w:b w:val="1"/>
                <w:bCs w:val="1"/>
                <w:color w:val="auto"/>
              </w:rPr>
              <w:t>September 30, 2018</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46"/>
        </w:trPr>
        <w:tc>
          <w:tcPr>
            <w:tcW w:w="6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ind w:right="421"/>
              <w:spacing w:after="0" w:line="146" w:lineRule="exact"/>
              <w:rPr>
                <w:sz w:val="20"/>
                <w:szCs w:val="20"/>
                <w:color w:val="auto"/>
              </w:rPr>
            </w:pPr>
            <w:r>
              <w:rPr>
                <w:rFonts w:ascii="Arial" w:cs="Arial" w:eastAsia="Arial" w:hAnsi="Arial"/>
                <w:sz w:val="15"/>
                <w:szCs w:val="15"/>
                <w:b w:val="1"/>
                <w:bCs w:val="1"/>
                <w:color w:val="auto"/>
              </w:rPr>
              <w:t>Gross</w:t>
            </w:r>
          </w:p>
        </w:tc>
        <w:tc>
          <w:tcPr>
            <w:tcW w:w="360" w:type="dxa"/>
            <w:vAlign w:val="bottom"/>
          </w:tcPr>
          <w:p>
            <w:pPr>
              <w:spacing w:after="0"/>
              <w:rPr>
                <w:sz w:val="12"/>
                <w:szCs w:val="12"/>
                <w:color w:val="auto"/>
              </w:rPr>
            </w:pPr>
          </w:p>
        </w:tc>
        <w:tc>
          <w:tcPr>
            <w:tcW w:w="1060" w:type="dxa"/>
            <w:vAlign w:val="bottom"/>
          </w:tcPr>
          <w:p>
            <w:pPr>
              <w:jc w:val="center"/>
              <w:ind w:right="259"/>
              <w:spacing w:after="0" w:line="146" w:lineRule="exact"/>
              <w:rPr>
                <w:sz w:val="20"/>
                <w:szCs w:val="20"/>
                <w:color w:val="auto"/>
              </w:rPr>
            </w:pPr>
            <w:r>
              <w:rPr>
                <w:rFonts w:ascii="Arial" w:cs="Arial" w:eastAsia="Arial" w:hAnsi="Arial"/>
                <w:sz w:val="15"/>
                <w:szCs w:val="15"/>
                <w:b w:val="1"/>
                <w:bCs w:val="1"/>
                <w:color w:val="auto"/>
                <w:w w:val="82"/>
              </w:rPr>
              <w:t>Gross</w:t>
            </w:r>
          </w:p>
        </w:tc>
        <w:tc>
          <w:tcPr>
            <w:tcW w:w="320" w:type="dxa"/>
            <w:vAlign w:val="bottom"/>
          </w:tcPr>
          <w:p>
            <w:pPr>
              <w:spacing w:after="0"/>
              <w:rPr>
                <w:sz w:val="12"/>
                <w:szCs w:val="12"/>
                <w:color w:val="auto"/>
              </w:rPr>
            </w:pPr>
          </w:p>
        </w:tc>
        <w:tc>
          <w:tcPr>
            <w:tcW w:w="1020" w:type="dxa"/>
            <w:vAlign w:val="bottom"/>
          </w:tcPr>
          <w:p>
            <w:pPr>
              <w:jc w:val="center"/>
              <w:ind w:right="239"/>
              <w:spacing w:after="0" w:line="146" w:lineRule="exact"/>
              <w:rPr>
                <w:sz w:val="20"/>
                <w:szCs w:val="20"/>
                <w:color w:val="auto"/>
              </w:rPr>
            </w:pPr>
            <w:r>
              <w:rPr>
                <w:rFonts w:ascii="Arial" w:cs="Arial" w:eastAsia="Arial" w:hAnsi="Arial"/>
                <w:sz w:val="15"/>
                <w:szCs w:val="15"/>
                <w:b w:val="1"/>
                <w:bCs w:val="1"/>
                <w:color w:val="auto"/>
                <w:w w:val="94"/>
              </w:rPr>
              <w:t>Fair</w:t>
            </w:r>
          </w:p>
        </w:tc>
      </w:tr>
      <w:tr>
        <w:trPr>
          <w:trHeight w:val="179"/>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Cost</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5"/>
                <w:szCs w:val="15"/>
                <w:b w:val="1"/>
                <w:bCs w:val="1"/>
                <w:color w:val="auto"/>
              </w:rPr>
              <w:t>Gains</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79"/>
              <w:spacing w:after="0"/>
              <w:rPr>
                <w:sz w:val="20"/>
                <w:szCs w:val="20"/>
                <w:color w:val="auto"/>
              </w:rPr>
            </w:pPr>
            <w:r>
              <w:rPr>
                <w:rFonts w:ascii="Arial" w:cs="Arial" w:eastAsia="Arial" w:hAnsi="Arial"/>
                <w:sz w:val="15"/>
                <w:szCs w:val="15"/>
                <w:b w:val="1"/>
                <w:bCs w:val="1"/>
                <w:color w:val="auto"/>
                <w:w w:val="81"/>
              </w:rPr>
              <w:t>Losses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39"/>
              <w:spacing w:after="0"/>
              <w:rPr>
                <w:sz w:val="20"/>
                <w:szCs w:val="20"/>
                <w:color w:val="auto"/>
              </w:rPr>
            </w:pPr>
            <w:r>
              <w:rPr>
                <w:rFonts w:ascii="Arial" w:cs="Arial" w:eastAsia="Arial" w:hAnsi="Arial"/>
                <w:sz w:val="15"/>
                <w:szCs w:val="15"/>
                <w:b w:val="1"/>
                <w:bCs w:val="1"/>
                <w:color w:val="auto"/>
                <w:w w:val="84"/>
              </w:rPr>
              <w:t>Value</w:t>
            </w:r>
          </w:p>
        </w:tc>
      </w:tr>
      <w:tr>
        <w:trPr>
          <w:trHeight w:val="475"/>
        </w:trPr>
        <w:tc>
          <w:tcPr>
            <w:tcW w:w="602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3"/>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6,865,381</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20,121</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(188,302)</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6,697,200</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Common stocks and exchange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traded mutual funds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11,628,928</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1,131,212</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(580,650)</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12,179,490</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18,494,309</w:t>
            </w:r>
          </w:p>
        </w:tc>
        <w:tc>
          <w:tcPr>
            <w:tcW w:w="3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1,151,333</w:t>
            </w:r>
          </w:p>
        </w:tc>
        <w:tc>
          <w:tcPr>
            <w:tcW w:w="3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(768,952)</w:t>
            </w: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18,876,690</w:t>
            </w:r>
          </w:p>
        </w:tc>
      </w:tr>
      <w:tr>
        <w:trPr>
          <w:trHeight w:val="20"/>
        </w:trPr>
        <w:tc>
          <w:tcPr>
            <w:tcW w:w="6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70"/>
        </w:trPr>
        <w:tc>
          <w:tcPr>
            <w:tcW w:w="6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5"/>
                <w:szCs w:val="15"/>
                <w:b w:val="1"/>
                <w:bCs w:val="1"/>
                <w:color w:val="auto"/>
              </w:rPr>
              <w:t>December 31, 2017</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6"/>
        </w:trPr>
        <w:tc>
          <w:tcPr>
            <w:tcW w:w="6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ind w:right="421"/>
              <w:spacing w:after="0" w:line="146" w:lineRule="exact"/>
              <w:rPr>
                <w:sz w:val="20"/>
                <w:szCs w:val="20"/>
                <w:color w:val="auto"/>
              </w:rPr>
            </w:pPr>
            <w:r>
              <w:rPr>
                <w:rFonts w:ascii="Arial" w:cs="Arial" w:eastAsia="Arial" w:hAnsi="Arial"/>
                <w:sz w:val="15"/>
                <w:szCs w:val="15"/>
                <w:b w:val="1"/>
                <w:bCs w:val="1"/>
                <w:color w:val="auto"/>
              </w:rPr>
              <w:t>Gross</w:t>
            </w:r>
          </w:p>
        </w:tc>
        <w:tc>
          <w:tcPr>
            <w:tcW w:w="360" w:type="dxa"/>
            <w:vAlign w:val="bottom"/>
          </w:tcPr>
          <w:p>
            <w:pPr>
              <w:spacing w:after="0"/>
              <w:rPr>
                <w:sz w:val="12"/>
                <w:szCs w:val="12"/>
                <w:color w:val="auto"/>
              </w:rPr>
            </w:pPr>
          </w:p>
        </w:tc>
        <w:tc>
          <w:tcPr>
            <w:tcW w:w="1060" w:type="dxa"/>
            <w:vAlign w:val="bottom"/>
          </w:tcPr>
          <w:p>
            <w:pPr>
              <w:jc w:val="center"/>
              <w:ind w:right="259"/>
              <w:spacing w:after="0" w:line="146" w:lineRule="exact"/>
              <w:rPr>
                <w:sz w:val="20"/>
                <w:szCs w:val="20"/>
                <w:color w:val="auto"/>
              </w:rPr>
            </w:pPr>
            <w:r>
              <w:rPr>
                <w:rFonts w:ascii="Arial" w:cs="Arial" w:eastAsia="Arial" w:hAnsi="Arial"/>
                <w:sz w:val="15"/>
                <w:szCs w:val="15"/>
                <w:b w:val="1"/>
                <w:bCs w:val="1"/>
                <w:color w:val="auto"/>
                <w:w w:val="82"/>
              </w:rPr>
              <w:t>Gross</w:t>
            </w:r>
          </w:p>
        </w:tc>
        <w:tc>
          <w:tcPr>
            <w:tcW w:w="320" w:type="dxa"/>
            <w:vAlign w:val="bottom"/>
          </w:tcPr>
          <w:p>
            <w:pPr>
              <w:spacing w:after="0"/>
              <w:rPr>
                <w:sz w:val="12"/>
                <w:szCs w:val="12"/>
                <w:color w:val="auto"/>
              </w:rPr>
            </w:pPr>
          </w:p>
        </w:tc>
        <w:tc>
          <w:tcPr>
            <w:tcW w:w="1020" w:type="dxa"/>
            <w:vAlign w:val="bottom"/>
          </w:tcPr>
          <w:p>
            <w:pPr>
              <w:jc w:val="center"/>
              <w:ind w:right="239"/>
              <w:spacing w:after="0" w:line="146" w:lineRule="exact"/>
              <w:rPr>
                <w:sz w:val="20"/>
                <w:szCs w:val="20"/>
                <w:color w:val="auto"/>
              </w:rPr>
            </w:pPr>
            <w:r>
              <w:rPr>
                <w:rFonts w:ascii="Arial" w:cs="Arial" w:eastAsia="Arial" w:hAnsi="Arial"/>
                <w:sz w:val="15"/>
                <w:szCs w:val="15"/>
                <w:b w:val="1"/>
                <w:bCs w:val="1"/>
                <w:color w:val="auto"/>
                <w:w w:val="94"/>
              </w:rPr>
              <w:t>Fair</w:t>
            </w:r>
          </w:p>
        </w:tc>
      </w:tr>
      <w:tr>
        <w:trPr>
          <w:trHeight w:val="179"/>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Cost</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5"/>
                <w:szCs w:val="15"/>
                <w:b w:val="1"/>
                <w:bCs w:val="1"/>
                <w:color w:val="auto"/>
              </w:rPr>
              <w:t>Gains</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79"/>
              <w:spacing w:after="0"/>
              <w:rPr>
                <w:sz w:val="20"/>
                <w:szCs w:val="20"/>
                <w:color w:val="auto"/>
              </w:rPr>
            </w:pPr>
            <w:r>
              <w:rPr>
                <w:rFonts w:ascii="Arial" w:cs="Arial" w:eastAsia="Arial" w:hAnsi="Arial"/>
                <w:sz w:val="15"/>
                <w:szCs w:val="15"/>
                <w:b w:val="1"/>
                <w:bCs w:val="1"/>
                <w:color w:val="auto"/>
                <w:w w:val="81"/>
              </w:rPr>
              <w:t>Losses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39"/>
              <w:spacing w:after="0"/>
              <w:rPr>
                <w:sz w:val="20"/>
                <w:szCs w:val="20"/>
                <w:color w:val="auto"/>
              </w:rPr>
            </w:pPr>
            <w:r>
              <w:rPr>
                <w:rFonts w:ascii="Arial" w:cs="Arial" w:eastAsia="Arial" w:hAnsi="Arial"/>
                <w:sz w:val="15"/>
                <w:szCs w:val="15"/>
                <w:b w:val="1"/>
                <w:bCs w:val="1"/>
                <w:color w:val="auto"/>
                <w:w w:val="84"/>
              </w:rPr>
              <w:t>Value</w:t>
            </w:r>
          </w:p>
        </w:tc>
      </w:tr>
      <w:tr>
        <w:trPr>
          <w:trHeight w:val="475"/>
        </w:trPr>
        <w:tc>
          <w:tcPr>
            <w:tcW w:w="602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3"/>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7,081,099</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60,867</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(141,025)</w:t>
            </w:r>
          </w:p>
        </w:tc>
        <w:tc>
          <w:tcPr>
            <w:tcW w:w="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7,000,941</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Common stocks and exchange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traded mutual funds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6,680,742</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841,250</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(236,735)</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7,285,257</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13,761,841</w:t>
            </w:r>
          </w:p>
        </w:tc>
        <w:tc>
          <w:tcPr>
            <w:tcW w:w="3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902,117</w:t>
            </w:r>
          </w:p>
        </w:tc>
        <w:tc>
          <w:tcPr>
            <w:tcW w:w="3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(377,760)</w:t>
            </w: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14,286,198</w:t>
            </w:r>
          </w:p>
        </w:tc>
      </w:tr>
      <w:tr>
        <w:trPr>
          <w:trHeight w:val="20"/>
        </w:trPr>
        <w:tc>
          <w:tcPr>
            <w:tcW w:w="6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Investments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cost, fair value, and gross gains of the Company’s other investments as of September 30, 2018 and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5"/>
                <w:szCs w:val="15"/>
                <w:b w:val="1"/>
                <w:bCs w:val="1"/>
                <w:color w:val="auto"/>
              </w:rPr>
              <w:t>September 30, 2018</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ind w:left="660"/>
              <w:spacing w:after="0"/>
              <w:rPr>
                <w:sz w:val="20"/>
                <w:szCs w:val="20"/>
                <w:color w:val="auto"/>
              </w:rPr>
            </w:pPr>
            <w:r>
              <w:rPr>
                <w:rFonts w:ascii="Arial" w:cs="Arial" w:eastAsia="Arial" w:hAnsi="Arial"/>
                <w:sz w:val="15"/>
                <w:szCs w:val="15"/>
                <w:b w:val="1"/>
                <w:bCs w:val="1"/>
                <w:color w:val="auto"/>
                <w:w w:val="96"/>
              </w:rPr>
              <w:t>December 31, 2017</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46"/>
        </w:trPr>
        <w:tc>
          <w:tcPr>
            <w:tcW w:w="4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301"/>
              <w:spacing w:after="0" w:line="146" w:lineRule="exact"/>
              <w:rPr>
                <w:sz w:val="20"/>
                <w:szCs w:val="20"/>
                <w:color w:val="auto"/>
              </w:rPr>
            </w:pPr>
            <w:r>
              <w:rPr>
                <w:rFonts w:ascii="Arial" w:cs="Arial" w:eastAsia="Arial" w:hAnsi="Arial"/>
                <w:sz w:val="15"/>
                <w:szCs w:val="15"/>
                <w:b w:val="1"/>
                <w:bCs w:val="1"/>
                <w:color w:val="auto"/>
              </w:rPr>
              <w:t>Gross</w:t>
            </w:r>
          </w:p>
        </w:tc>
        <w:tc>
          <w:tcPr>
            <w:tcW w:w="280" w:type="dxa"/>
            <w:vAlign w:val="bottom"/>
          </w:tcPr>
          <w:p>
            <w:pPr>
              <w:spacing w:after="0"/>
              <w:rPr>
                <w:sz w:val="12"/>
                <w:szCs w:val="12"/>
                <w:color w:val="auto"/>
              </w:rPr>
            </w:pPr>
          </w:p>
        </w:tc>
        <w:tc>
          <w:tcPr>
            <w:tcW w:w="860" w:type="dxa"/>
            <w:vAlign w:val="bottom"/>
          </w:tcPr>
          <w:p>
            <w:pPr>
              <w:jc w:val="right"/>
              <w:ind w:right="341"/>
              <w:spacing w:after="0" w:line="146" w:lineRule="exact"/>
              <w:rPr>
                <w:sz w:val="20"/>
                <w:szCs w:val="20"/>
                <w:color w:val="auto"/>
              </w:rPr>
            </w:pPr>
            <w:r>
              <w:rPr>
                <w:rFonts w:ascii="Arial" w:cs="Arial" w:eastAsia="Arial" w:hAnsi="Arial"/>
                <w:sz w:val="15"/>
                <w:szCs w:val="15"/>
                <w:b w:val="1"/>
                <w:bCs w:val="1"/>
                <w:color w:val="auto"/>
              </w:rPr>
              <w:t>Fair</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301"/>
              <w:spacing w:after="0" w:line="146" w:lineRule="exact"/>
              <w:rPr>
                <w:sz w:val="20"/>
                <w:szCs w:val="20"/>
                <w:color w:val="auto"/>
              </w:rPr>
            </w:pPr>
            <w:r>
              <w:rPr>
                <w:rFonts w:ascii="Arial" w:cs="Arial" w:eastAsia="Arial" w:hAnsi="Arial"/>
                <w:sz w:val="15"/>
                <w:szCs w:val="15"/>
                <w:b w:val="1"/>
                <w:bCs w:val="1"/>
                <w:color w:val="auto"/>
              </w:rPr>
              <w:t>Gross</w:t>
            </w:r>
          </w:p>
        </w:tc>
        <w:tc>
          <w:tcPr>
            <w:tcW w:w="300" w:type="dxa"/>
            <w:vAlign w:val="bottom"/>
          </w:tcPr>
          <w:p>
            <w:pPr>
              <w:spacing w:after="0"/>
              <w:rPr>
                <w:sz w:val="12"/>
                <w:szCs w:val="12"/>
                <w:color w:val="auto"/>
              </w:rPr>
            </w:pPr>
          </w:p>
        </w:tc>
        <w:tc>
          <w:tcPr>
            <w:tcW w:w="840" w:type="dxa"/>
            <w:vAlign w:val="bottom"/>
          </w:tcPr>
          <w:p>
            <w:pPr>
              <w:jc w:val="right"/>
              <w:ind w:right="341"/>
              <w:spacing w:after="0" w:line="146" w:lineRule="exact"/>
              <w:rPr>
                <w:sz w:val="20"/>
                <w:szCs w:val="20"/>
                <w:color w:val="auto"/>
              </w:rPr>
            </w:pPr>
            <w:r>
              <w:rPr>
                <w:rFonts w:ascii="Arial" w:cs="Arial" w:eastAsia="Arial" w:hAnsi="Arial"/>
                <w:sz w:val="15"/>
                <w:szCs w:val="15"/>
                <w:b w:val="1"/>
                <w:bCs w:val="1"/>
                <w:color w:val="auto"/>
              </w:rPr>
              <w:t>Fair</w:t>
            </w:r>
          </w:p>
        </w:tc>
      </w:tr>
      <w:tr>
        <w:trPr>
          <w:trHeight w:val="179"/>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5"/>
                <w:szCs w:val="15"/>
                <w:b w:val="1"/>
                <w:bCs w:val="1"/>
                <w:color w:val="auto"/>
              </w:rPr>
              <w:t>Cost</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rPr>
              <w:t>Gains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rPr>
              <w:t>Value</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Cost</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rPr>
              <w:t>Gains</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rPr>
              <w:t>Value</w:t>
            </w:r>
          </w:p>
        </w:tc>
      </w:tr>
      <w:tr>
        <w:trPr>
          <w:trHeight w:val="238"/>
        </w:trPr>
        <w:tc>
          <w:tcPr>
            <w:tcW w:w="4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8"/>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Other Investments:</w:t>
            </w: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8"/>
        </w:trPr>
        <w:tc>
          <w:tcPr>
            <w:tcW w:w="4640" w:type="dxa"/>
            <w:vAlign w:val="bottom"/>
          </w:tcPr>
          <w:p>
            <w:pPr>
              <w:ind w:left="40"/>
              <w:spacing w:after="0"/>
              <w:rPr>
                <w:sz w:val="20"/>
                <w:szCs w:val="20"/>
                <w:color w:val="auto"/>
              </w:rPr>
            </w:pPr>
            <w:r>
              <w:rPr>
                <w:rFonts w:ascii="Arial" w:cs="Arial" w:eastAsia="Arial" w:hAnsi="Arial"/>
                <w:sz w:val="17"/>
                <w:szCs w:val="17"/>
                <w:color w:val="auto"/>
              </w:rPr>
              <w:t>Hedge fund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2,000,000</w:t>
            </w: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241,444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w w:val="97"/>
              </w:rPr>
              <w:t>2,241,444</w:t>
            </w: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w:t>
            </w:r>
          </w:p>
        </w:tc>
      </w:tr>
      <w:tr>
        <w:trPr>
          <w:trHeight w:val="252"/>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2,000,000</w:t>
            </w: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241,444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w w:val="97"/>
              </w:rPr>
              <w:t>2,241,444</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r>
      <w:tr>
        <w:trPr>
          <w:trHeight w:val="839"/>
        </w:trPr>
        <w:tc>
          <w:tcPr>
            <w:tcW w:w="4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73"/>
              </w:rPr>
              <w:t>11</w:t>
            </w: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560"/>
          </w:cols>
          <w:pgMar w:left="160" w:top="475" w:right="17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auto"/>
        </w:rPr>
        <w:t>Held-to-Maturity Securities</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amortized cost, fair value, and unrealized gains and losses of investments in held-to-maturity fixed-maturity securities as of September 30, 2018 and December 31, 2017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5"/>
                <w:szCs w:val="15"/>
                <w:b w:val="1"/>
                <w:bCs w:val="1"/>
                <w:color w:val="auto"/>
              </w:rPr>
              <w:t>September 30, 2018</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restart"/>
          </w:tcPr>
          <w:p>
            <w:pPr>
              <w:jc w:val="center"/>
              <w:ind w:right="120"/>
              <w:spacing w:after="0"/>
              <w:rPr>
                <w:sz w:val="20"/>
                <w:szCs w:val="20"/>
                <w:color w:val="auto"/>
              </w:rPr>
            </w:pPr>
            <w:r>
              <w:rPr>
                <w:rFonts w:ascii="Arial" w:cs="Arial" w:eastAsia="Arial" w:hAnsi="Arial"/>
                <w:sz w:val="15"/>
                <w:szCs w:val="15"/>
                <w:b w:val="1"/>
                <w:bCs w:val="1"/>
                <w:color w:val="auto"/>
                <w:w w:val="87"/>
              </w:rPr>
              <w:t>Cost or</w:t>
            </w:r>
          </w:p>
        </w:tc>
        <w:tc>
          <w:tcPr>
            <w:tcW w:w="220" w:type="dxa"/>
            <w:vAlign w:val="bottom"/>
          </w:tcPr>
          <w:p>
            <w:pPr>
              <w:spacing w:after="0"/>
              <w:rPr>
                <w:sz w:val="24"/>
                <w:szCs w:val="24"/>
                <w:color w:val="auto"/>
              </w:rPr>
            </w:pPr>
          </w:p>
        </w:tc>
        <w:tc>
          <w:tcPr>
            <w:tcW w:w="940" w:type="dxa"/>
            <w:vAlign w:val="bottom"/>
            <w:vMerge w:val="restart"/>
          </w:tcPr>
          <w:p>
            <w:pPr>
              <w:jc w:val="center"/>
              <w:ind w:right="140"/>
              <w:spacing w:after="0"/>
              <w:rPr>
                <w:sz w:val="20"/>
                <w:szCs w:val="20"/>
                <w:color w:val="auto"/>
              </w:rPr>
            </w:pPr>
            <w:r>
              <w:rPr>
                <w:rFonts w:ascii="Arial" w:cs="Arial" w:eastAsia="Arial" w:hAnsi="Arial"/>
                <w:sz w:val="15"/>
                <w:szCs w:val="15"/>
                <w:b w:val="1"/>
                <w:bCs w:val="1"/>
                <w:color w:val="auto"/>
                <w:w w:val="82"/>
              </w:rPr>
              <w:t>Gross</w:t>
            </w: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5"/>
                <w:szCs w:val="15"/>
                <w:b w:val="1"/>
                <w:bCs w:val="1"/>
                <w:color w:val="auto"/>
                <w:w w:val="90"/>
              </w:rPr>
              <w:t>Gross Unrealized Losses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vMerge w:val="restart"/>
          </w:tcPr>
          <w:p>
            <w:pPr>
              <w:jc w:val="center"/>
              <w:ind w:right="138"/>
              <w:spacing w:after="0"/>
              <w:rPr>
                <w:sz w:val="20"/>
                <w:szCs w:val="20"/>
                <w:color w:val="auto"/>
              </w:rPr>
            </w:pPr>
            <w:r>
              <w:rPr>
                <w:rFonts w:ascii="Arial" w:cs="Arial" w:eastAsia="Arial" w:hAnsi="Arial"/>
                <w:sz w:val="15"/>
                <w:szCs w:val="15"/>
                <w:b w:val="1"/>
                <w:bCs w:val="1"/>
                <w:color w:val="auto"/>
                <w:w w:val="90"/>
              </w:rPr>
              <w:t>Net</w:t>
            </w: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center"/>
              <w:ind w:right="201"/>
              <w:spacing w:after="0" w:line="146" w:lineRule="exact"/>
              <w:rPr>
                <w:sz w:val="20"/>
                <w:szCs w:val="20"/>
                <w:color w:val="auto"/>
              </w:rPr>
            </w:pPr>
            <w:r>
              <w:rPr>
                <w:rFonts w:ascii="Arial" w:cs="Arial" w:eastAsia="Arial" w:hAnsi="Arial"/>
                <w:sz w:val="15"/>
                <w:szCs w:val="15"/>
                <w:b w:val="1"/>
                <w:bCs w:val="1"/>
                <w:color w:val="auto"/>
                <w:w w:val="75"/>
              </w:rPr>
              <w:t>Less</w:t>
            </w:r>
          </w:p>
        </w:tc>
        <w:tc>
          <w:tcPr>
            <w:tcW w:w="240" w:type="dxa"/>
            <w:vAlign w:val="bottom"/>
          </w:tcPr>
          <w:p>
            <w:pPr>
              <w:spacing w:after="0"/>
              <w:rPr>
                <w:sz w:val="12"/>
                <w:szCs w:val="12"/>
                <w:color w:val="auto"/>
              </w:rPr>
            </w:pPr>
          </w:p>
        </w:tc>
        <w:tc>
          <w:tcPr>
            <w:tcW w:w="880" w:type="dxa"/>
            <w:vAlign w:val="bottom"/>
          </w:tcPr>
          <w:p>
            <w:pPr>
              <w:jc w:val="center"/>
              <w:ind w:right="140"/>
              <w:spacing w:after="0" w:line="146" w:lineRule="exact"/>
              <w:rPr>
                <w:sz w:val="20"/>
                <w:szCs w:val="20"/>
                <w:color w:val="auto"/>
              </w:rPr>
            </w:pPr>
            <w:r>
              <w:rPr>
                <w:rFonts w:ascii="Arial" w:cs="Arial" w:eastAsia="Arial" w:hAnsi="Arial"/>
                <w:sz w:val="15"/>
                <w:szCs w:val="15"/>
                <w:b w:val="1"/>
                <w:bCs w:val="1"/>
                <w:color w:val="auto"/>
                <w:w w:val="94"/>
              </w:rPr>
              <w:t>More</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120"/>
              <w:spacing w:after="0" w:line="159" w:lineRule="exact"/>
              <w:rPr>
                <w:sz w:val="20"/>
                <w:szCs w:val="20"/>
                <w:color w:val="auto"/>
              </w:rPr>
            </w:pPr>
            <w:r>
              <w:rPr>
                <w:rFonts w:ascii="Arial" w:cs="Arial" w:eastAsia="Arial" w:hAnsi="Arial"/>
                <w:sz w:val="15"/>
                <w:szCs w:val="15"/>
                <w:b w:val="1"/>
                <w:bCs w:val="1"/>
                <w:color w:val="auto"/>
                <w:w w:val="89"/>
              </w:rPr>
              <w:t>Amortized</w:t>
            </w:r>
          </w:p>
        </w:tc>
        <w:tc>
          <w:tcPr>
            <w:tcW w:w="220" w:type="dxa"/>
            <w:vAlign w:val="bottom"/>
          </w:tcPr>
          <w:p>
            <w:pPr>
              <w:spacing w:after="0"/>
              <w:rPr>
                <w:sz w:val="13"/>
                <w:szCs w:val="13"/>
                <w:color w:val="auto"/>
              </w:rPr>
            </w:pPr>
          </w:p>
        </w:tc>
        <w:tc>
          <w:tcPr>
            <w:tcW w:w="940" w:type="dxa"/>
            <w:vAlign w:val="bottom"/>
          </w:tcPr>
          <w:p>
            <w:pPr>
              <w:jc w:val="center"/>
              <w:ind w:right="140"/>
              <w:spacing w:after="0" w:line="159" w:lineRule="exact"/>
              <w:rPr>
                <w:sz w:val="20"/>
                <w:szCs w:val="20"/>
                <w:color w:val="auto"/>
              </w:rPr>
            </w:pPr>
            <w:r>
              <w:rPr>
                <w:rFonts w:ascii="Arial" w:cs="Arial" w:eastAsia="Arial" w:hAnsi="Arial"/>
                <w:sz w:val="15"/>
                <w:szCs w:val="15"/>
                <w:b w:val="1"/>
                <w:bCs w:val="1"/>
                <w:color w:val="auto"/>
                <w:w w:val="89"/>
              </w:rPr>
              <w:t>Unrealized</w:t>
            </w:r>
          </w:p>
        </w:tc>
        <w:tc>
          <w:tcPr>
            <w:tcW w:w="280" w:type="dxa"/>
            <w:vAlign w:val="bottom"/>
          </w:tcPr>
          <w:p>
            <w:pPr>
              <w:spacing w:after="0"/>
              <w:rPr>
                <w:sz w:val="13"/>
                <w:szCs w:val="13"/>
                <w:color w:val="auto"/>
              </w:rPr>
            </w:pPr>
          </w:p>
        </w:tc>
        <w:tc>
          <w:tcPr>
            <w:tcW w:w="900" w:type="dxa"/>
            <w:vAlign w:val="bottom"/>
          </w:tcPr>
          <w:p>
            <w:pPr>
              <w:jc w:val="center"/>
              <w:ind w:right="241"/>
              <w:spacing w:after="0" w:line="159" w:lineRule="exact"/>
              <w:rPr>
                <w:sz w:val="20"/>
                <w:szCs w:val="20"/>
                <w:color w:val="auto"/>
              </w:rPr>
            </w:pPr>
            <w:r>
              <w:rPr>
                <w:rFonts w:ascii="Arial" w:cs="Arial" w:eastAsia="Arial" w:hAnsi="Arial"/>
                <w:sz w:val="15"/>
                <w:szCs w:val="15"/>
                <w:b w:val="1"/>
                <w:bCs w:val="1"/>
                <w:color w:val="auto"/>
                <w:w w:val="87"/>
              </w:rPr>
              <w:t>than 12</w:t>
            </w:r>
          </w:p>
        </w:tc>
        <w:tc>
          <w:tcPr>
            <w:tcW w:w="240" w:type="dxa"/>
            <w:vAlign w:val="bottom"/>
          </w:tcPr>
          <w:p>
            <w:pPr>
              <w:spacing w:after="0"/>
              <w:rPr>
                <w:sz w:val="13"/>
                <w:szCs w:val="13"/>
                <w:color w:val="auto"/>
              </w:rPr>
            </w:pPr>
          </w:p>
        </w:tc>
        <w:tc>
          <w:tcPr>
            <w:tcW w:w="880" w:type="dxa"/>
            <w:vAlign w:val="bottom"/>
          </w:tcPr>
          <w:p>
            <w:pPr>
              <w:jc w:val="center"/>
              <w:ind w:right="180"/>
              <w:spacing w:after="0" w:line="159" w:lineRule="exact"/>
              <w:rPr>
                <w:sz w:val="20"/>
                <w:szCs w:val="20"/>
                <w:color w:val="auto"/>
              </w:rPr>
            </w:pPr>
            <w:r>
              <w:rPr>
                <w:rFonts w:ascii="Arial" w:cs="Arial" w:eastAsia="Arial" w:hAnsi="Arial"/>
                <w:sz w:val="15"/>
                <w:szCs w:val="15"/>
                <w:b w:val="1"/>
                <w:bCs w:val="1"/>
                <w:color w:val="auto"/>
                <w:w w:val="87"/>
              </w:rPr>
              <w:t>than 12</w:t>
            </w:r>
          </w:p>
        </w:tc>
        <w:tc>
          <w:tcPr>
            <w:tcW w:w="280" w:type="dxa"/>
            <w:vAlign w:val="bottom"/>
          </w:tcPr>
          <w:p>
            <w:pPr>
              <w:spacing w:after="0"/>
              <w:rPr>
                <w:sz w:val="13"/>
                <w:szCs w:val="13"/>
                <w:color w:val="auto"/>
              </w:rPr>
            </w:pPr>
          </w:p>
        </w:tc>
        <w:tc>
          <w:tcPr>
            <w:tcW w:w="880" w:type="dxa"/>
            <w:vAlign w:val="bottom"/>
          </w:tcPr>
          <w:p>
            <w:pPr>
              <w:jc w:val="center"/>
              <w:ind w:right="178"/>
              <w:spacing w:after="0" w:line="159" w:lineRule="exact"/>
              <w:rPr>
                <w:sz w:val="20"/>
                <w:szCs w:val="20"/>
                <w:color w:val="auto"/>
              </w:rPr>
            </w:pPr>
            <w:r>
              <w:rPr>
                <w:rFonts w:ascii="Arial" w:cs="Arial" w:eastAsia="Arial" w:hAnsi="Arial"/>
                <w:sz w:val="15"/>
                <w:szCs w:val="15"/>
                <w:b w:val="1"/>
                <w:bCs w:val="1"/>
                <w:color w:val="auto"/>
                <w:w w:val="94"/>
              </w:rPr>
              <w:t>Fair</w:t>
            </w:r>
          </w:p>
        </w:tc>
        <w:tc>
          <w:tcPr>
            <w:tcW w:w="220" w:type="dxa"/>
            <w:vAlign w:val="bottom"/>
          </w:tcPr>
          <w:p>
            <w:pPr>
              <w:spacing w:after="0"/>
              <w:rPr>
                <w:sz w:val="13"/>
                <w:szCs w:val="13"/>
                <w:color w:val="auto"/>
              </w:rPr>
            </w:pPr>
          </w:p>
        </w:tc>
        <w:tc>
          <w:tcPr>
            <w:tcW w:w="920" w:type="dxa"/>
            <w:vAlign w:val="bottom"/>
          </w:tcPr>
          <w:p>
            <w:pPr>
              <w:jc w:val="center"/>
              <w:ind w:right="138"/>
              <w:spacing w:after="0" w:line="159" w:lineRule="exact"/>
              <w:rPr>
                <w:sz w:val="20"/>
                <w:szCs w:val="20"/>
                <w:color w:val="auto"/>
              </w:rPr>
            </w:pPr>
            <w:r>
              <w:rPr>
                <w:rFonts w:ascii="Arial" w:cs="Arial" w:eastAsia="Arial" w:hAnsi="Arial"/>
                <w:sz w:val="15"/>
                <w:szCs w:val="15"/>
                <w:b w:val="1"/>
                <w:bCs w:val="1"/>
                <w:color w:val="auto"/>
                <w:w w:val="86"/>
              </w:rPr>
              <w:t>Unrealized</w:t>
            </w:r>
          </w:p>
        </w:tc>
        <w:tc>
          <w:tcPr>
            <w:tcW w:w="0" w:type="dxa"/>
            <w:vAlign w:val="bottom"/>
          </w:tcPr>
          <w:p>
            <w:pPr>
              <w:spacing w:after="0"/>
              <w:rPr>
                <w:sz w:val="1"/>
                <w:szCs w:val="1"/>
                <w:color w:val="auto"/>
              </w:rPr>
            </w:pPr>
          </w:p>
        </w:tc>
      </w:tr>
      <w:tr>
        <w:trPr>
          <w:trHeight w:val="179"/>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auto"/>
                <w:w w:val="83"/>
              </w:rPr>
              <w:t>Cost</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auto"/>
                <w:w w:val="86"/>
              </w:rPr>
              <w:t>Gains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81"/>
              <w:spacing w:after="0"/>
              <w:rPr>
                <w:sz w:val="20"/>
                <w:szCs w:val="20"/>
                <w:color w:val="auto"/>
              </w:rPr>
            </w:pPr>
            <w:r>
              <w:rPr>
                <w:rFonts w:ascii="Arial" w:cs="Arial" w:eastAsia="Arial" w:hAnsi="Arial"/>
                <w:sz w:val="15"/>
                <w:szCs w:val="15"/>
                <w:b w:val="1"/>
                <w:bCs w:val="1"/>
                <w:color w:val="auto"/>
                <w:w w:val="89"/>
              </w:rPr>
              <w:t>Months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0"/>
              <w:spacing w:after="0"/>
              <w:rPr>
                <w:sz w:val="20"/>
                <w:szCs w:val="20"/>
                <w:color w:val="auto"/>
              </w:rPr>
            </w:pPr>
            <w:r>
              <w:rPr>
                <w:rFonts w:ascii="Arial" w:cs="Arial" w:eastAsia="Arial" w:hAnsi="Arial"/>
                <w:sz w:val="15"/>
                <w:szCs w:val="15"/>
                <w:b w:val="1"/>
                <w:bCs w:val="1"/>
                <w:color w:val="auto"/>
                <w:w w:val="89"/>
              </w:rPr>
              <w:t>Months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5"/>
                <w:szCs w:val="15"/>
                <w:b w:val="1"/>
                <w:bCs w:val="1"/>
                <w:color w:val="auto"/>
                <w:w w:val="89"/>
              </w:rPr>
              <w:t>Value</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6"/>
              </w:rPr>
              <w:t>Gains/(Losses)</w:t>
            </w: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Held-to-Maturity Securities: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0"/>
              <w:spacing w:after="0"/>
              <w:rPr>
                <w:sz w:val="20"/>
                <w:szCs w:val="20"/>
                <w:color w:val="auto"/>
              </w:rPr>
            </w:pPr>
            <w:r>
              <w:rPr>
                <w:rFonts w:ascii="Arial" w:cs="Arial" w:eastAsia="Arial" w:hAnsi="Arial"/>
                <w:sz w:val="17"/>
                <w:szCs w:val="17"/>
                <w:color w:val="auto"/>
              </w:rPr>
              <w:t>729,496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0"/>
              <w:spacing w:after="0"/>
              <w:rPr>
                <w:sz w:val="20"/>
                <w:szCs w:val="20"/>
                <w:color w:val="auto"/>
              </w:rPr>
            </w:pPr>
            <w:r>
              <w:rPr>
                <w:rFonts w:ascii="Arial" w:cs="Arial" w:eastAsia="Arial" w:hAnsi="Arial"/>
                <w:sz w:val="17"/>
                <w:szCs w:val="17"/>
                <w:color w:val="auto"/>
              </w:rPr>
              <w:t>147,543</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
              <w:spacing w:after="0"/>
              <w:rPr>
                <w:sz w:val="20"/>
                <w:szCs w:val="20"/>
                <w:color w:val="auto"/>
              </w:rPr>
            </w:pPr>
            <w:r>
              <w:rPr>
                <w:rFonts w:ascii="Arial" w:cs="Arial" w:eastAsia="Arial" w:hAnsi="Arial"/>
                <w:sz w:val="17"/>
                <w:szCs w:val="17"/>
                <w:color w:val="auto"/>
              </w:rPr>
              <w:t>(7,649)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869,390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139,894</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Political subdivisions of States,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Territories and Possessions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998,852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24,393</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97"/>
              </w:rPr>
              <w:t>1,023,245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24,393</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 bonds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40"/>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2,494,004</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36,835</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(5,100)</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(7,610)</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w w:val="97"/>
              </w:rPr>
              <w:t>2,518,129</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24,125</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4,222,352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208,771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(12,749)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w w:val="97"/>
              </w:rPr>
              <w:t>4,410,764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188,412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5"/>
                <w:szCs w:val="15"/>
                <w:b w:val="1"/>
                <w:bCs w:val="1"/>
                <w:color w:val="auto"/>
              </w:rPr>
              <w:t>December 31, 2017</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restart"/>
          </w:tcPr>
          <w:p>
            <w:pPr>
              <w:jc w:val="right"/>
              <w:ind w:right="240"/>
              <w:spacing w:after="0"/>
              <w:rPr>
                <w:sz w:val="20"/>
                <w:szCs w:val="20"/>
                <w:color w:val="auto"/>
              </w:rPr>
            </w:pPr>
            <w:r>
              <w:rPr>
                <w:rFonts w:ascii="Arial" w:cs="Arial" w:eastAsia="Arial" w:hAnsi="Arial"/>
                <w:sz w:val="15"/>
                <w:szCs w:val="15"/>
                <w:b w:val="1"/>
                <w:bCs w:val="1"/>
                <w:color w:val="auto"/>
              </w:rPr>
              <w:t>Cost or</w:t>
            </w:r>
          </w:p>
        </w:tc>
        <w:tc>
          <w:tcPr>
            <w:tcW w:w="220" w:type="dxa"/>
            <w:vAlign w:val="bottom"/>
          </w:tcPr>
          <w:p>
            <w:pPr>
              <w:spacing w:after="0"/>
              <w:rPr>
                <w:sz w:val="24"/>
                <w:szCs w:val="24"/>
                <w:color w:val="auto"/>
              </w:rPr>
            </w:pPr>
          </w:p>
        </w:tc>
        <w:tc>
          <w:tcPr>
            <w:tcW w:w="940" w:type="dxa"/>
            <w:vAlign w:val="bottom"/>
            <w:vMerge w:val="restart"/>
          </w:tcPr>
          <w:p>
            <w:pPr>
              <w:jc w:val="center"/>
              <w:ind w:right="140"/>
              <w:spacing w:after="0"/>
              <w:rPr>
                <w:sz w:val="20"/>
                <w:szCs w:val="20"/>
                <w:color w:val="auto"/>
              </w:rPr>
            </w:pPr>
            <w:r>
              <w:rPr>
                <w:rFonts w:ascii="Arial" w:cs="Arial" w:eastAsia="Arial" w:hAnsi="Arial"/>
                <w:sz w:val="15"/>
                <w:szCs w:val="15"/>
                <w:b w:val="1"/>
                <w:bCs w:val="1"/>
                <w:color w:val="auto"/>
                <w:w w:val="82"/>
              </w:rPr>
              <w:t>Gross</w:t>
            </w: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5"/>
                <w:szCs w:val="15"/>
                <w:b w:val="1"/>
                <w:bCs w:val="1"/>
                <w:color w:val="auto"/>
                <w:w w:val="90"/>
              </w:rPr>
              <w:t>Gross Unrealized Losses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vMerge w:val="restart"/>
          </w:tcPr>
          <w:p>
            <w:pPr>
              <w:jc w:val="center"/>
              <w:ind w:right="138"/>
              <w:spacing w:after="0"/>
              <w:rPr>
                <w:sz w:val="20"/>
                <w:szCs w:val="20"/>
                <w:color w:val="auto"/>
              </w:rPr>
            </w:pPr>
            <w:r>
              <w:rPr>
                <w:rFonts w:ascii="Arial" w:cs="Arial" w:eastAsia="Arial" w:hAnsi="Arial"/>
                <w:sz w:val="15"/>
                <w:szCs w:val="15"/>
                <w:b w:val="1"/>
                <w:bCs w:val="1"/>
                <w:color w:val="auto"/>
                <w:w w:val="90"/>
              </w:rPr>
              <w:t>Net</w:t>
            </w: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center"/>
              <w:ind w:right="201"/>
              <w:spacing w:after="0" w:line="146" w:lineRule="exact"/>
              <w:rPr>
                <w:sz w:val="20"/>
                <w:szCs w:val="20"/>
                <w:color w:val="auto"/>
              </w:rPr>
            </w:pPr>
            <w:r>
              <w:rPr>
                <w:rFonts w:ascii="Arial" w:cs="Arial" w:eastAsia="Arial" w:hAnsi="Arial"/>
                <w:sz w:val="15"/>
                <w:szCs w:val="15"/>
                <w:b w:val="1"/>
                <w:bCs w:val="1"/>
                <w:color w:val="auto"/>
                <w:w w:val="75"/>
              </w:rPr>
              <w:t>Less</w:t>
            </w:r>
          </w:p>
        </w:tc>
        <w:tc>
          <w:tcPr>
            <w:tcW w:w="240" w:type="dxa"/>
            <w:vAlign w:val="bottom"/>
          </w:tcPr>
          <w:p>
            <w:pPr>
              <w:spacing w:after="0"/>
              <w:rPr>
                <w:sz w:val="12"/>
                <w:szCs w:val="12"/>
                <w:color w:val="auto"/>
              </w:rPr>
            </w:pPr>
          </w:p>
        </w:tc>
        <w:tc>
          <w:tcPr>
            <w:tcW w:w="880" w:type="dxa"/>
            <w:vAlign w:val="bottom"/>
          </w:tcPr>
          <w:p>
            <w:pPr>
              <w:jc w:val="center"/>
              <w:ind w:right="140"/>
              <w:spacing w:after="0" w:line="146" w:lineRule="exact"/>
              <w:rPr>
                <w:sz w:val="20"/>
                <w:szCs w:val="20"/>
                <w:color w:val="auto"/>
              </w:rPr>
            </w:pPr>
            <w:r>
              <w:rPr>
                <w:rFonts w:ascii="Arial" w:cs="Arial" w:eastAsia="Arial" w:hAnsi="Arial"/>
                <w:sz w:val="15"/>
                <w:szCs w:val="15"/>
                <w:b w:val="1"/>
                <w:bCs w:val="1"/>
                <w:color w:val="auto"/>
                <w:w w:val="94"/>
              </w:rPr>
              <w:t>More</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120"/>
              <w:spacing w:after="0" w:line="159" w:lineRule="exact"/>
              <w:rPr>
                <w:sz w:val="20"/>
                <w:szCs w:val="20"/>
                <w:color w:val="auto"/>
              </w:rPr>
            </w:pPr>
            <w:r>
              <w:rPr>
                <w:rFonts w:ascii="Arial" w:cs="Arial" w:eastAsia="Arial" w:hAnsi="Arial"/>
                <w:sz w:val="15"/>
                <w:szCs w:val="15"/>
                <w:b w:val="1"/>
                <w:bCs w:val="1"/>
                <w:color w:val="auto"/>
                <w:w w:val="89"/>
              </w:rPr>
              <w:t>Amortized</w:t>
            </w:r>
          </w:p>
        </w:tc>
        <w:tc>
          <w:tcPr>
            <w:tcW w:w="220" w:type="dxa"/>
            <w:vAlign w:val="bottom"/>
          </w:tcPr>
          <w:p>
            <w:pPr>
              <w:spacing w:after="0"/>
              <w:rPr>
                <w:sz w:val="13"/>
                <w:szCs w:val="13"/>
                <w:color w:val="auto"/>
              </w:rPr>
            </w:pPr>
          </w:p>
        </w:tc>
        <w:tc>
          <w:tcPr>
            <w:tcW w:w="940" w:type="dxa"/>
            <w:vAlign w:val="bottom"/>
          </w:tcPr>
          <w:p>
            <w:pPr>
              <w:jc w:val="center"/>
              <w:ind w:right="140"/>
              <w:spacing w:after="0" w:line="159" w:lineRule="exact"/>
              <w:rPr>
                <w:sz w:val="20"/>
                <w:szCs w:val="20"/>
                <w:color w:val="auto"/>
              </w:rPr>
            </w:pPr>
            <w:r>
              <w:rPr>
                <w:rFonts w:ascii="Arial" w:cs="Arial" w:eastAsia="Arial" w:hAnsi="Arial"/>
                <w:sz w:val="15"/>
                <w:szCs w:val="15"/>
                <w:b w:val="1"/>
                <w:bCs w:val="1"/>
                <w:color w:val="auto"/>
                <w:w w:val="89"/>
              </w:rPr>
              <w:t>Unrealized</w:t>
            </w:r>
          </w:p>
        </w:tc>
        <w:tc>
          <w:tcPr>
            <w:tcW w:w="280" w:type="dxa"/>
            <w:vAlign w:val="bottom"/>
          </w:tcPr>
          <w:p>
            <w:pPr>
              <w:spacing w:after="0"/>
              <w:rPr>
                <w:sz w:val="13"/>
                <w:szCs w:val="13"/>
                <w:color w:val="auto"/>
              </w:rPr>
            </w:pPr>
          </w:p>
        </w:tc>
        <w:tc>
          <w:tcPr>
            <w:tcW w:w="900" w:type="dxa"/>
            <w:vAlign w:val="bottom"/>
          </w:tcPr>
          <w:p>
            <w:pPr>
              <w:jc w:val="center"/>
              <w:ind w:right="241"/>
              <w:spacing w:after="0" w:line="159" w:lineRule="exact"/>
              <w:rPr>
                <w:sz w:val="20"/>
                <w:szCs w:val="20"/>
                <w:color w:val="auto"/>
              </w:rPr>
            </w:pPr>
            <w:r>
              <w:rPr>
                <w:rFonts w:ascii="Arial" w:cs="Arial" w:eastAsia="Arial" w:hAnsi="Arial"/>
                <w:sz w:val="15"/>
                <w:szCs w:val="15"/>
                <w:b w:val="1"/>
                <w:bCs w:val="1"/>
                <w:color w:val="auto"/>
                <w:w w:val="87"/>
              </w:rPr>
              <w:t>than 12</w:t>
            </w:r>
          </w:p>
        </w:tc>
        <w:tc>
          <w:tcPr>
            <w:tcW w:w="240" w:type="dxa"/>
            <w:vAlign w:val="bottom"/>
          </w:tcPr>
          <w:p>
            <w:pPr>
              <w:spacing w:after="0"/>
              <w:rPr>
                <w:sz w:val="13"/>
                <w:szCs w:val="13"/>
                <w:color w:val="auto"/>
              </w:rPr>
            </w:pPr>
          </w:p>
        </w:tc>
        <w:tc>
          <w:tcPr>
            <w:tcW w:w="880" w:type="dxa"/>
            <w:vAlign w:val="bottom"/>
          </w:tcPr>
          <w:p>
            <w:pPr>
              <w:jc w:val="center"/>
              <w:ind w:right="180"/>
              <w:spacing w:after="0" w:line="159" w:lineRule="exact"/>
              <w:rPr>
                <w:sz w:val="20"/>
                <w:szCs w:val="20"/>
                <w:color w:val="auto"/>
              </w:rPr>
            </w:pPr>
            <w:r>
              <w:rPr>
                <w:rFonts w:ascii="Arial" w:cs="Arial" w:eastAsia="Arial" w:hAnsi="Arial"/>
                <w:sz w:val="15"/>
                <w:szCs w:val="15"/>
                <w:b w:val="1"/>
                <w:bCs w:val="1"/>
                <w:color w:val="auto"/>
                <w:w w:val="87"/>
              </w:rPr>
              <w:t>than 12</w:t>
            </w:r>
          </w:p>
        </w:tc>
        <w:tc>
          <w:tcPr>
            <w:tcW w:w="280" w:type="dxa"/>
            <w:vAlign w:val="bottom"/>
          </w:tcPr>
          <w:p>
            <w:pPr>
              <w:spacing w:after="0"/>
              <w:rPr>
                <w:sz w:val="13"/>
                <w:szCs w:val="13"/>
                <w:color w:val="auto"/>
              </w:rPr>
            </w:pPr>
          </w:p>
        </w:tc>
        <w:tc>
          <w:tcPr>
            <w:tcW w:w="880" w:type="dxa"/>
            <w:vAlign w:val="bottom"/>
          </w:tcPr>
          <w:p>
            <w:pPr>
              <w:jc w:val="center"/>
              <w:ind w:right="178"/>
              <w:spacing w:after="0" w:line="159" w:lineRule="exact"/>
              <w:rPr>
                <w:sz w:val="20"/>
                <w:szCs w:val="20"/>
                <w:color w:val="auto"/>
              </w:rPr>
            </w:pPr>
            <w:r>
              <w:rPr>
                <w:rFonts w:ascii="Arial" w:cs="Arial" w:eastAsia="Arial" w:hAnsi="Arial"/>
                <w:sz w:val="15"/>
                <w:szCs w:val="15"/>
                <w:b w:val="1"/>
                <w:bCs w:val="1"/>
                <w:color w:val="auto"/>
                <w:w w:val="94"/>
              </w:rPr>
              <w:t>Fair</w:t>
            </w:r>
          </w:p>
        </w:tc>
        <w:tc>
          <w:tcPr>
            <w:tcW w:w="220" w:type="dxa"/>
            <w:vAlign w:val="bottom"/>
          </w:tcPr>
          <w:p>
            <w:pPr>
              <w:spacing w:after="0"/>
              <w:rPr>
                <w:sz w:val="13"/>
                <w:szCs w:val="13"/>
                <w:color w:val="auto"/>
              </w:rPr>
            </w:pPr>
          </w:p>
        </w:tc>
        <w:tc>
          <w:tcPr>
            <w:tcW w:w="920" w:type="dxa"/>
            <w:vAlign w:val="bottom"/>
          </w:tcPr>
          <w:p>
            <w:pPr>
              <w:jc w:val="center"/>
              <w:ind w:right="138"/>
              <w:spacing w:after="0" w:line="159" w:lineRule="exact"/>
              <w:rPr>
                <w:sz w:val="20"/>
                <w:szCs w:val="20"/>
                <w:color w:val="auto"/>
              </w:rPr>
            </w:pPr>
            <w:r>
              <w:rPr>
                <w:rFonts w:ascii="Arial" w:cs="Arial" w:eastAsia="Arial" w:hAnsi="Arial"/>
                <w:sz w:val="15"/>
                <w:szCs w:val="15"/>
                <w:b w:val="1"/>
                <w:bCs w:val="1"/>
                <w:color w:val="auto"/>
                <w:w w:val="86"/>
              </w:rPr>
              <w:t>Unrealized</w:t>
            </w:r>
          </w:p>
        </w:tc>
        <w:tc>
          <w:tcPr>
            <w:tcW w:w="0" w:type="dxa"/>
            <w:vAlign w:val="bottom"/>
          </w:tcPr>
          <w:p>
            <w:pPr>
              <w:spacing w:after="0"/>
              <w:rPr>
                <w:sz w:val="1"/>
                <w:szCs w:val="1"/>
                <w:color w:val="auto"/>
              </w:rPr>
            </w:pPr>
          </w:p>
        </w:tc>
      </w:tr>
      <w:tr>
        <w:trPr>
          <w:trHeight w:val="179"/>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auto"/>
                <w:w w:val="83"/>
              </w:rPr>
              <w:t>Cost</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auto"/>
                <w:w w:val="86"/>
              </w:rPr>
              <w:t>Gains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81"/>
              <w:spacing w:after="0"/>
              <w:rPr>
                <w:sz w:val="20"/>
                <w:szCs w:val="20"/>
                <w:color w:val="auto"/>
              </w:rPr>
            </w:pPr>
            <w:r>
              <w:rPr>
                <w:rFonts w:ascii="Arial" w:cs="Arial" w:eastAsia="Arial" w:hAnsi="Arial"/>
                <w:sz w:val="15"/>
                <w:szCs w:val="15"/>
                <w:b w:val="1"/>
                <w:bCs w:val="1"/>
                <w:color w:val="auto"/>
                <w:w w:val="89"/>
              </w:rPr>
              <w:t>Months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0"/>
              <w:spacing w:after="0"/>
              <w:rPr>
                <w:sz w:val="20"/>
                <w:szCs w:val="20"/>
                <w:color w:val="auto"/>
              </w:rPr>
            </w:pPr>
            <w:r>
              <w:rPr>
                <w:rFonts w:ascii="Arial" w:cs="Arial" w:eastAsia="Arial" w:hAnsi="Arial"/>
                <w:sz w:val="15"/>
                <w:szCs w:val="15"/>
                <w:b w:val="1"/>
                <w:bCs w:val="1"/>
                <w:color w:val="auto"/>
                <w:w w:val="89"/>
              </w:rPr>
              <w:t>Months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5"/>
                <w:szCs w:val="15"/>
                <w:b w:val="1"/>
                <w:bCs w:val="1"/>
                <w:color w:val="auto"/>
                <w:w w:val="89"/>
              </w:rPr>
              <w:t>Value</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6"/>
              </w:rPr>
              <w:t>Gains/(Losses)</w:t>
            </w: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Held-to-Maturity Securities: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0"/>
              <w:spacing w:after="0"/>
              <w:rPr>
                <w:sz w:val="20"/>
                <w:szCs w:val="20"/>
                <w:color w:val="auto"/>
              </w:rPr>
            </w:pPr>
            <w:r>
              <w:rPr>
                <w:rFonts w:ascii="Arial" w:cs="Arial" w:eastAsia="Arial" w:hAnsi="Arial"/>
                <w:sz w:val="17"/>
                <w:szCs w:val="17"/>
                <w:color w:val="auto"/>
              </w:rPr>
              <w:t>729,466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0"/>
              <w:spacing w:after="0"/>
              <w:rPr>
                <w:sz w:val="20"/>
                <w:szCs w:val="20"/>
                <w:color w:val="auto"/>
              </w:rPr>
            </w:pPr>
            <w:r>
              <w:rPr>
                <w:rFonts w:ascii="Arial" w:cs="Arial" w:eastAsia="Arial" w:hAnsi="Arial"/>
                <w:sz w:val="17"/>
                <w:szCs w:val="17"/>
                <w:color w:val="auto"/>
              </w:rPr>
              <w:t>147,573</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
              <w:spacing w:after="0"/>
              <w:rPr>
                <w:sz w:val="20"/>
                <w:szCs w:val="20"/>
                <w:color w:val="auto"/>
              </w:rPr>
            </w:pPr>
            <w:r>
              <w:rPr>
                <w:rFonts w:ascii="Arial" w:cs="Arial" w:eastAsia="Arial" w:hAnsi="Arial"/>
                <w:sz w:val="17"/>
                <w:szCs w:val="17"/>
                <w:color w:val="auto"/>
              </w:rPr>
              <w:t>(1,729)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8"/>
              <w:spacing w:after="0"/>
              <w:rPr>
                <w:sz w:val="20"/>
                <w:szCs w:val="20"/>
                <w:color w:val="auto"/>
              </w:rPr>
            </w:pPr>
            <w:r>
              <w:rPr>
                <w:rFonts w:ascii="Arial" w:cs="Arial" w:eastAsia="Arial" w:hAnsi="Arial"/>
                <w:sz w:val="17"/>
                <w:szCs w:val="17"/>
                <w:color w:val="auto"/>
              </w:rPr>
              <w:t>875,310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145,844</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Political subdivisions of States,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Territories and Possessions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998,984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50,366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97"/>
              </w:rPr>
              <w:t>1,049,350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50,366</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 bonds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40"/>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3,141,358</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90,358</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(6,300)</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w w:val="97"/>
              </w:rPr>
              <w:t>3,225,416</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84,058</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4,869,808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288,297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(1,729)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w w:val="97"/>
              </w:rPr>
              <w:t>5,150,076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280,268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A summary of the amortized cost and fair value of the Company’s investments in held-to-maturity securities by contractual maturity as of September 30, 2018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is shown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20" w:type="dxa"/>
            <w:vAlign w:val="bottom"/>
          </w:tcPr>
          <w:p>
            <w:pPr>
              <w:spacing w:after="0"/>
              <w:rPr>
                <w:sz w:val="15"/>
                <w:szCs w:val="15"/>
                <w:color w:val="auto"/>
              </w:rPr>
            </w:pPr>
          </w:p>
        </w:tc>
        <w:tc>
          <w:tcPr>
            <w:tcW w:w="2780" w:type="dxa"/>
            <w:vAlign w:val="bottom"/>
            <w:tcBorders>
              <w:bottom w:val="single" w:sz="8" w:color="auto"/>
            </w:tcBorders>
            <w:gridSpan w:val="2"/>
          </w:tcPr>
          <w:p>
            <w:pPr>
              <w:ind w:left="780"/>
              <w:spacing w:after="0"/>
              <w:rPr>
                <w:sz w:val="20"/>
                <w:szCs w:val="20"/>
                <w:color w:val="auto"/>
              </w:rPr>
            </w:pPr>
            <w:r>
              <w:rPr>
                <w:rFonts w:ascii="Arial" w:cs="Arial" w:eastAsia="Arial" w:hAnsi="Arial"/>
                <w:sz w:val="15"/>
                <w:szCs w:val="15"/>
                <w:b w:val="1"/>
                <w:bCs w:val="1"/>
                <w:color w:val="auto"/>
              </w:rPr>
              <w:t>September 30, 2018</w:t>
            </w:r>
          </w:p>
        </w:tc>
        <w:tc>
          <w:tcPr>
            <w:tcW w:w="2760" w:type="dxa"/>
            <w:vAlign w:val="bottom"/>
            <w:tcBorders>
              <w:bottom w:val="single" w:sz="8" w:color="auto"/>
            </w:tcBorders>
            <w:gridSpan w:val="2"/>
          </w:tcPr>
          <w:p>
            <w:pPr>
              <w:ind w:left="800"/>
              <w:spacing w:after="0"/>
              <w:rPr>
                <w:sz w:val="20"/>
                <w:szCs w:val="20"/>
                <w:color w:val="auto"/>
              </w:rPr>
            </w:pPr>
            <w:r>
              <w:rPr>
                <w:rFonts w:ascii="Arial" w:cs="Arial" w:eastAsia="Arial" w:hAnsi="Arial"/>
                <w:sz w:val="15"/>
                <w:szCs w:val="15"/>
                <w:b w:val="1"/>
                <w:bCs w:val="1"/>
                <w:color w:val="auto"/>
              </w:rPr>
              <w:t>December 31, 2017</w:t>
            </w:r>
          </w:p>
        </w:tc>
      </w:tr>
      <w:tr>
        <w:trPr>
          <w:trHeight w:val="146"/>
        </w:trPr>
        <w:tc>
          <w:tcPr>
            <w:tcW w:w="6020" w:type="dxa"/>
            <w:vAlign w:val="bottom"/>
          </w:tcPr>
          <w:p>
            <w:pPr>
              <w:spacing w:after="0"/>
              <w:rPr>
                <w:sz w:val="12"/>
                <w:szCs w:val="12"/>
                <w:color w:val="auto"/>
              </w:rPr>
            </w:pPr>
          </w:p>
        </w:tc>
        <w:tc>
          <w:tcPr>
            <w:tcW w:w="140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Amortized</w:t>
            </w:r>
          </w:p>
        </w:tc>
        <w:tc>
          <w:tcPr>
            <w:tcW w:w="138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Amortized</w:t>
            </w:r>
          </w:p>
        </w:tc>
        <w:tc>
          <w:tcPr>
            <w:tcW w:w="1380" w:type="dxa"/>
            <w:vAlign w:val="bottom"/>
          </w:tcPr>
          <w:p>
            <w:pPr>
              <w:spacing w:after="0"/>
              <w:rPr>
                <w:sz w:val="12"/>
                <w:szCs w:val="12"/>
                <w:color w:val="auto"/>
              </w:rPr>
            </w:pPr>
          </w:p>
        </w:tc>
      </w:tr>
      <w:tr>
        <w:trPr>
          <w:trHeight w:val="179"/>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Remaining Time to Maturit</w:t>
            </w:r>
            <w:r>
              <w:rPr>
                <w:rFonts w:ascii="Arial" w:cs="Arial" w:eastAsia="Arial" w:hAnsi="Arial"/>
                <w:sz w:val="15"/>
                <w:szCs w:val="15"/>
                <w:color w:val="auto"/>
              </w:rPr>
              <w:t>y</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Cost</w:t>
            </w: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Fair Value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Cost</w:t>
            </w: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Fair Value</w:t>
            </w:r>
          </w:p>
        </w:tc>
      </w:tr>
    </w:tbl>
    <w:p>
      <w:pPr>
        <w:spacing w:after="0" w:line="200" w:lineRule="exact"/>
        <w:rPr>
          <w:sz w:val="20"/>
          <w:szCs w:val="20"/>
          <w:color w:val="auto"/>
        </w:rPr>
      </w:pPr>
    </w:p>
    <w:p>
      <w:pPr>
        <w:sectPr>
          <w:pgSz w:w="11900" w:h="16838" w:orient="portrait"/>
          <w:cols w:equalWidth="0" w:num="1">
            <w:col w:w="11560"/>
          </w:cols>
          <w:pgMar w:left="160" w:top="475" w:right="179" w:bottom="1440" w:gutter="0" w:footer="0" w:header="0"/>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Less than one year</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color w:val="auto"/>
        </w:rPr>
        <w:t>One to five years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Five to ten years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5"/>
          <w:szCs w:val="15"/>
          <w:color w:val="auto"/>
        </w:rPr>
        <w:t>More than 10 years</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4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w:t>
            </w:r>
          </w:p>
        </w:tc>
      </w:tr>
      <w:tr>
        <w:trPr>
          <w:trHeight w:val="212"/>
        </w:trPr>
        <w:tc>
          <w:tcPr>
            <w:tcW w:w="4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2,996,308</w:t>
            </w:r>
          </w:p>
        </w:tc>
        <w:tc>
          <w:tcPr>
            <w:tcW w:w="40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7"/>
                <w:szCs w:val="17"/>
                <w:color w:val="auto"/>
              </w:rPr>
              <w:t>3,030,709</w:t>
            </w:r>
          </w:p>
        </w:tc>
        <w:tc>
          <w:tcPr>
            <w:tcW w:w="4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2,546,459</w:t>
            </w:r>
          </w:p>
        </w:tc>
        <w:tc>
          <w:tcPr>
            <w:tcW w:w="4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2,601,898</w:t>
            </w:r>
          </w:p>
        </w:tc>
      </w:tr>
      <w:tr>
        <w:trPr>
          <w:trHeight w:val="212"/>
        </w:trPr>
        <w:tc>
          <w:tcPr>
            <w:tcW w:w="4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619,548</w:t>
            </w:r>
          </w:p>
        </w:tc>
        <w:tc>
          <w:tcPr>
            <w:tcW w:w="40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7"/>
                <w:szCs w:val="17"/>
                <w:color w:val="auto"/>
              </w:rPr>
              <w:t>626,016</w:t>
            </w:r>
          </w:p>
        </w:tc>
        <w:tc>
          <w:tcPr>
            <w:tcW w:w="4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1,716,884</w:t>
            </w:r>
          </w:p>
        </w:tc>
        <w:tc>
          <w:tcPr>
            <w:tcW w:w="4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1,794,139</w:t>
            </w:r>
          </w:p>
        </w:tc>
      </w:tr>
      <w:tr>
        <w:trPr>
          <w:trHeight w:val="227"/>
        </w:trPr>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606,496</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754,039</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606,465</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754,039</w:t>
            </w:r>
          </w:p>
        </w:tc>
      </w:tr>
      <w:tr>
        <w:trPr>
          <w:trHeight w:val="212"/>
        </w:trPr>
        <w:tc>
          <w:tcPr>
            <w:tcW w:w="4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4,222,352</w:t>
            </w:r>
          </w:p>
        </w:tc>
        <w:tc>
          <w:tcPr>
            <w:tcW w:w="4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4,410,764</w:t>
            </w:r>
          </w:p>
        </w:tc>
        <w:tc>
          <w:tcPr>
            <w:tcW w:w="4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4,869,808</w:t>
            </w:r>
          </w:p>
        </w:tc>
        <w:tc>
          <w:tcPr>
            <w:tcW w:w="4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5,150,076</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-722630</wp:posOffset>
            </wp:positionV>
            <wp:extent cx="7340600" cy="134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40600" cy="134620"/>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-453390</wp:posOffset>
            </wp:positionV>
            <wp:extent cx="7340600" cy="134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40600" cy="134620"/>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-167640</wp:posOffset>
            </wp:positionV>
            <wp:extent cx="7340600" cy="168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4060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540"/>
          </w:cols>
          <w:pgMar w:left="160" w:top="475" w:right="17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 Income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Major categories of the Company’s net investment income are summarized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3"/>
          </w:tcPr>
          <w:p>
            <w:pPr>
              <w:jc w:val="right"/>
              <w:ind w:right="656"/>
              <w:spacing w:after="0"/>
              <w:rPr>
                <w:sz w:val="20"/>
                <w:szCs w:val="20"/>
                <w:color w:val="auto"/>
              </w:rPr>
            </w:pPr>
            <w:r>
              <w:rPr>
                <w:rFonts w:ascii="Arial" w:cs="Arial" w:eastAsia="Arial" w:hAnsi="Arial"/>
                <w:sz w:val="15"/>
                <w:szCs w:val="15"/>
                <w:b w:val="1"/>
                <w:bCs w:val="1"/>
                <w:color w:val="auto"/>
              </w:rPr>
              <w:t>Three months ended</w:t>
            </w:r>
          </w:p>
        </w:tc>
        <w:tc>
          <w:tcPr>
            <w:tcW w:w="400" w:type="dxa"/>
            <w:vAlign w:val="bottom"/>
          </w:tcPr>
          <w:p>
            <w:pPr>
              <w:spacing w:after="0"/>
              <w:rPr>
                <w:sz w:val="14"/>
                <w:szCs w:val="14"/>
                <w:color w:val="auto"/>
              </w:rPr>
            </w:pPr>
          </w:p>
        </w:tc>
        <w:tc>
          <w:tcPr>
            <w:tcW w:w="2360" w:type="dxa"/>
            <w:vAlign w:val="bottom"/>
            <w:gridSpan w:val="3"/>
          </w:tcPr>
          <w:p>
            <w:pPr>
              <w:jc w:val="right"/>
              <w:ind w:right="676"/>
              <w:spacing w:after="0"/>
              <w:rPr>
                <w:sz w:val="20"/>
                <w:szCs w:val="20"/>
                <w:color w:val="auto"/>
              </w:rPr>
            </w:pPr>
            <w:r>
              <w:rPr>
                <w:rFonts w:ascii="Arial" w:cs="Arial" w:eastAsia="Arial" w:hAnsi="Arial"/>
                <w:sz w:val="15"/>
                <w:szCs w:val="15"/>
                <w:b w:val="1"/>
                <w:bCs w:val="1"/>
                <w:color w:val="auto"/>
              </w:rPr>
              <w:t>Nine months ended</w:t>
            </w:r>
          </w:p>
        </w:tc>
      </w:tr>
      <w:tr>
        <w:trPr>
          <w:trHeight w:val="179"/>
        </w:trPr>
        <w:tc>
          <w:tcPr>
            <w:tcW w:w="60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860" w:type="dxa"/>
            <w:vAlign w:val="bottom"/>
            <w:tcBorders>
              <w:bottom w:val="single" w:sz="8" w:color="auto"/>
            </w:tcBorders>
          </w:tcPr>
          <w:p>
            <w:pPr>
              <w:spacing w:after="0"/>
              <w:rPr>
                <w:sz w:val="15"/>
                <w:szCs w:val="15"/>
                <w:color w:val="auto"/>
              </w:rPr>
            </w:pPr>
          </w:p>
        </w:tc>
      </w:tr>
      <w:tr>
        <w:trPr>
          <w:trHeight w:val="165"/>
        </w:trPr>
        <w:tc>
          <w:tcPr>
            <w:tcW w:w="60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8"/>
              <w:spacing w:after="0" w:line="159" w:lineRule="exact"/>
              <w:rPr>
                <w:sz w:val="20"/>
                <w:szCs w:val="20"/>
                <w:color w:val="auto"/>
              </w:rPr>
            </w:pPr>
            <w:r>
              <w:rPr>
                <w:rFonts w:ascii="Arial" w:cs="Arial" w:eastAsia="Arial" w:hAnsi="Arial"/>
                <w:sz w:val="15"/>
                <w:szCs w:val="15"/>
                <w:b w:val="1"/>
                <w:bCs w:val="1"/>
                <w:color w:val="auto"/>
              </w:rPr>
              <w:t>2018</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6"/>
              <w:spacing w:after="0" w:line="159" w:lineRule="exact"/>
              <w:rPr>
                <w:sz w:val="20"/>
                <w:szCs w:val="20"/>
                <w:color w:val="auto"/>
              </w:rPr>
            </w:pPr>
            <w:r>
              <w:rPr>
                <w:rFonts w:ascii="Arial" w:cs="Arial" w:eastAsia="Arial" w:hAnsi="Arial"/>
                <w:sz w:val="15"/>
                <w:szCs w:val="15"/>
                <w:b w:val="1"/>
                <w:bCs w:val="1"/>
                <w:color w:val="auto"/>
                <w:w w:val="95"/>
              </w:rPr>
              <w:t>2017</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8"/>
              <w:spacing w:after="0" w:line="159" w:lineRule="exact"/>
              <w:rPr>
                <w:sz w:val="20"/>
                <w:szCs w:val="20"/>
                <w:color w:val="auto"/>
              </w:rPr>
            </w:pPr>
            <w:r>
              <w:rPr>
                <w:rFonts w:ascii="Arial" w:cs="Arial" w:eastAsia="Arial" w:hAnsi="Arial"/>
                <w:sz w:val="15"/>
                <w:szCs w:val="15"/>
                <w:b w:val="1"/>
                <w:bCs w:val="1"/>
                <w:color w:val="auto"/>
              </w:rPr>
              <w:t>2018</w:t>
            </w: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6"/>
              <w:spacing w:after="0" w:line="159" w:lineRule="exact"/>
              <w:rPr>
                <w:sz w:val="20"/>
                <w:szCs w:val="20"/>
                <w:color w:val="auto"/>
              </w:rPr>
            </w:pPr>
            <w:r>
              <w:rPr>
                <w:rFonts w:ascii="Arial" w:cs="Arial" w:eastAsia="Arial" w:hAnsi="Arial"/>
                <w:sz w:val="15"/>
                <w:szCs w:val="15"/>
                <w:b w:val="1"/>
                <w:bCs w:val="1"/>
                <w:color w:val="auto"/>
                <w:w w:val="95"/>
              </w:rPr>
              <w:t>2017</w:t>
            </w:r>
          </w:p>
        </w:tc>
      </w:tr>
      <w:tr>
        <w:trPr>
          <w:trHeight w:val="475"/>
        </w:trPr>
        <w:tc>
          <w:tcPr>
            <w:tcW w:w="6020" w:type="dxa"/>
            <w:vAlign w:val="bottom"/>
          </w:tcPr>
          <w:p>
            <w:pPr>
              <w:ind w:left="40"/>
              <w:spacing w:after="0"/>
              <w:rPr>
                <w:sz w:val="20"/>
                <w:szCs w:val="20"/>
                <w:color w:val="auto"/>
              </w:rPr>
            </w:pPr>
            <w:r>
              <w:rPr>
                <w:rFonts w:ascii="Arial" w:cs="Arial" w:eastAsia="Arial" w:hAnsi="Arial"/>
                <w:sz w:val="17"/>
                <w:szCs w:val="17"/>
                <w:b w:val="1"/>
                <w:bCs w:val="1"/>
                <w:color w:val="auto"/>
              </w:rPr>
              <w:t>Income:</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Fixed-maturity securities</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1,386,931</w:t>
            </w:r>
          </w:p>
        </w:tc>
        <w:tc>
          <w:tcPr>
            <w:tcW w:w="5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926,170</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3,898,730</w:t>
            </w:r>
          </w:p>
        </w:tc>
        <w:tc>
          <w:tcPr>
            <w:tcW w:w="5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2"/>
              </w:rPr>
              <w:t>2,607,166</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Equity securities</w:t>
            </w:r>
          </w:p>
        </w:tc>
        <w:tc>
          <w:tcPr>
            <w:tcW w:w="400" w:type="dxa"/>
            <w:vAlign w:val="bottom"/>
          </w:tcPr>
          <w:p>
            <w:pPr>
              <w:spacing w:after="0"/>
              <w:rPr>
                <w:sz w:val="18"/>
                <w:szCs w:val="18"/>
                <w:color w:val="auto"/>
              </w:rPr>
            </w:pPr>
          </w:p>
        </w:tc>
        <w:tc>
          <w:tcPr>
            <w:tcW w:w="980" w:type="dxa"/>
            <w:vAlign w:val="bottom"/>
          </w:tcPr>
          <w:p>
            <w:pPr>
              <w:jc w:val="right"/>
              <w:ind w:right="58"/>
              <w:spacing w:after="0"/>
              <w:rPr>
                <w:sz w:val="20"/>
                <w:szCs w:val="20"/>
                <w:color w:val="auto"/>
              </w:rPr>
            </w:pPr>
            <w:r>
              <w:rPr>
                <w:rFonts w:ascii="Arial" w:cs="Arial" w:eastAsia="Arial" w:hAnsi="Arial"/>
                <w:sz w:val="17"/>
                <w:szCs w:val="17"/>
                <w:color w:val="auto"/>
              </w:rPr>
              <w:t>214,498</w:t>
            </w:r>
          </w:p>
        </w:tc>
        <w:tc>
          <w:tcPr>
            <w:tcW w:w="520" w:type="dxa"/>
            <w:vAlign w:val="bottom"/>
          </w:tcPr>
          <w:p>
            <w:pPr>
              <w:spacing w:after="0"/>
              <w:rPr>
                <w:sz w:val="18"/>
                <w:szCs w:val="18"/>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143,826</w:t>
            </w:r>
          </w:p>
        </w:tc>
        <w:tc>
          <w:tcPr>
            <w:tcW w:w="400" w:type="dxa"/>
            <w:vAlign w:val="bottom"/>
          </w:tcPr>
          <w:p>
            <w:pPr>
              <w:spacing w:after="0"/>
              <w:rPr>
                <w:sz w:val="18"/>
                <w:szCs w:val="18"/>
                <w:color w:val="auto"/>
              </w:rPr>
            </w:pPr>
          </w:p>
        </w:tc>
        <w:tc>
          <w:tcPr>
            <w:tcW w:w="980" w:type="dxa"/>
            <w:vAlign w:val="bottom"/>
          </w:tcPr>
          <w:p>
            <w:pPr>
              <w:jc w:val="right"/>
              <w:ind w:right="58"/>
              <w:spacing w:after="0"/>
              <w:rPr>
                <w:sz w:val="20"/>
                <w:szCs w:val="20"/>
                <w:color w:val="auto"/>
              </w:rPr>
            </w:pPr>
            <w:r>
              <w:rPr>
                <w:rFonts w:ascii="Arial" w:cs="Arial" w:eastAsia="Arial" w:hAnsi="Arial"/>
                <w:sz w:val="17"/>
                <w:szCs w:val="17"/>
                <w:color w:val="auto"/>
              </w:rPr>
              <w:t>609,086</w:t>
            </w:r>
          </w:p>
        </w:tc>
        <w:tc>
          <w:tcPr>
            <w:tcW w:w="52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408,812</w:t>
            </w:r>
          </w:p>
        </w:tc>
      </w:tr>
      <w:tr>
        <w:trPr>
          <w:trHeight w:val="218"/>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44,024</w:t>
            </w:r>
          </w:p>
        </w:tc>
        <w:tc>
          <w:tcPr>
            <w:tcW w:w="5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5,772</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159,865</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14,446</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Total</w:t>
            </w:r>
          </w:p>
        </w:tc>
        <w:tc>
          <w:tcPr>
            <w:tcW w:w="400" w:type="dxa"/>
            <w:vAlign w:val="bottom"/>
          </w:tcPr>
          <w:p>
            <w:pPr>
              <w:spacing w:after="0"/>
              <w:rPr>
                <w:sz w:val="18"/>
                <w:szCs w:val="18"/>
                <w:color w:val="auto"/>
              </w:rPr>
            </w:pPr>
          </w:p>
        </w:tc>
        <w:tc>
          <w:tcPr>
            <w:tcW w:w="980" w:type="dxa"/>
            <w:vAlign w:val="bottom"/>
          </w:tcPr>
          <w:p>
            <w:pPr>
              <w:jc w:val="right"/>
              <w:ind w:right="58"/>
              <w:spacing w:after="0"/>
              <w:rPr>
                <w:sz w:val="20"/>
                <w:szCs w:val="20"/>
                <w:color w:val="auto"/>
              </w:rPr>
            </w:pPr>
            <w:r>
              <w:rPr>
                <w:rFonts w:ascii="Arial" w:cs="Arial" w:eastAsia="Arial" w:hAnsi="Arial"/>
                <w:sz w:val="17"/>
                <w:szCs w:val="17"/>
                <w:color w:val="auto"/>
              </w:rPr>
              <w:t>1,645,453</w:t>
            </w:r>
          </w:p>
        </w:tc>
        <w:tc>
          <w:tcPr>
            <w:tcW w:w="520" w:type="dxa"/>
            <w:vAlign w:val="bottom"/>
          </w:tcPr>
          <w:p>
            <w:pPr>
              <w:spacing w:after="0"/>
              <w:rPr>
                <w:sz w:val="18"/>
                <w:szCs w:val="18"/>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w w:val="95"/>
              </w:rPr>
              <w:t>1,075,768</w:t>
            </w:r>
          </w:p>
        </w:tc>
        <w:tc>
          <w:tcPr>
            <w:tcW w:w="400" w:type="dxa"/>
            <w:vAlign w:val="bottom"/>
          </w:tcPr>
          <w:p>
            <w:pPr>
              <w:spacing w:after="0"/>
              <w:rPr>
                <w:sz w:val="18"/>
                <w:szCs w:val="18"/>
                <w:color w:val="auto"/>
              </w:rPr>
            </w:pPr>
          </w:p>
        </w:tc>
        <w:tc>
          <w:tcPr>
            <w:tcW w:w="980" w:type="dxa"/>
            <w:vAlign w:val="bottom"/>
          </w:tcPr>
          <w:p>
            <w:pPr>
              <w:jc w:val="right"/>
              <w:ind w:right="58"/>
              <w:spacing w:after="0"/>
              <w:rPr>
                <w:sz w:val="20"/>
                <w:szCs w:val="20"/>
                <w:color w:val="auto"/>
              </w:rPr>
            </w:pPr>
            <w:r>
              <w:rPr>
                <w:rFonts w:ascii="Arial" w:cs="Arial" w:eastAsia="Arial" w:hAnsi="Arial"/>
                <w:sz w:val="17"/>
                <w:szCs w:val="17"/>
                <w:color w:val="auto"/>
              </w:rPr>
              <w:t>4,667,681</w:t>
            </w:r>
          </w:p>
        </w:tc>
        <w:tc>
          <w:tcPr>
            <w:tcW w:w="52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w w:val="92"/>
              </w:rPr>
              <w:t>3,030,424</w:t>
            </w: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Expenses: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8"/>
        </w:trPr>
        <w:tc>
          <w:tcPr>
            <w:tcW w:w="6020" w:type="dxa"/>
            <w:vAlign w:val="bottom"/>
          </w:tcPr>
          <w:p>
            <w:pPr>
              <w:ind w:left="40"/>
              <w:spacing w:after="0"/>
              <w:rPr>
                <w:sz w:val="20"/>
                <w:szCs w:val="20"/>
                <w:color w:val="auto"/>
              </w:rPr>
            </w:pPr>
            <w:r>
              <w:rPr>
                <w:rFonts w:ascii="Arial" w:cs="Arial" w:eastAsia="Arial" w:hAnsi="Arial"/>
                <w:sz w:val="17"/>
                <w:szCs w:val="17"/>
                <w:color w:val="auto"/>
              </w:rPr>
              <w:t>Investment expenses</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43,082</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42,461</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124,455</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113,313</w:t>
            </w:r>
          </w:p>
        </w:tc>
      </w:tr>
      <w:tr>
        <w:trPr>
          <w:trHeight w:val="252"/>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investment income</w:t>
            </w:r>
          </w:p>
        </w:tc>
        <w:tc>
          <w:tcPr>
            <w:tcW w:w="4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1,602,371</w:t>
            </w:r>
          </w:p>
        </w:tc>
        <w:tc>
          <w:tcPr>
            <w:tcW w:w="5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5"/>
              </w:rPr>
              <w:t>1,033,307</w:t>
            </w:r>
          </w:p>
        </w:tc>
        <w:tc>
          <w:tcPr>
            <w:tcW w:w="4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4,543,226</w:t>
            </w:r>
          </w:p>
        </w:tc>
        <w:tc>
          <w:tcPr>
            <w:tcW w:w="5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2"/>
              </w:rPr>
              <w:t>2,917,111</w:t>
            </w:r>
          </w:p>
        </w:tc>
      </w:tr>
    </w:tbl>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Proceeds from the sale and redemption of fixed-maturity securities held-to-maturity were $624,963 and $200,000 for the nine months ended September 30, 2018 and 2017, respectively.</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Proceeds from the sale or maturity of fixed-maturity securities available-for-sale were $17,740,260 and $8,385,874 for the nine months ended September 30, 2018 and 2017,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of equity securities were $5,694,121 and $2,571,122 for the nine months ended September 30, 2018 and 2017, respectively.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color w:val="auto"/>
        </w:rPr>
        <w:t>The Company’s net gains (losses) on investments are summarized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3"/>
          </w:tcPr>
          <w:p>
            <w:pPr>
              <w:jc w:val="right"/>
              <w:ind w:right="675"/>
              <w:spacing w:after="0"/>
              <w:rPr>
                <w:sz w:val="20"/>
                <w:szCs w:val="20"/>
                <w:color w:val="auto"/>
              </w:rPr>
            </w:pPr>
            <w:r>
              <w:rPr>
                <w:rFonts w:ascii="Arial" w:cs="Arial" w:eastAsia="Arial" w:hAnsi="Arial"/>
                <w:sz w:val="15"/>
                <w:szCs w:val="15"/>
                <w:b w:val="1"/>
                <w:bCs w:val="1"/>
                <w:color w:val="auto"/>
              </w:rPr>
              <w:t>Three months ended</w:t>
            </w:r>
          </w:p>
        </w:tc>
        <w:tc>
          <w:tcPr>
            <w:tcW w:w="380" w:type="dxa"/>
            <w:vAlign w:val="bottom"/>
          </w:tcPr>
          <w:p>
            <w:pPr>
              <w:spacing w:after="0"/>
              <w:rPr>
                <w:sz w:val="14"/>
                <w:szCs w:val="14"/>
                <w:color w:val="auto"/>
              </w:rPr>
            </w:pPr>
          </w:p>
        </w:tc>
        <w:tc>
          <w:tcPr>
            <w:tcW w:w="2360" w:type="dxa"/>
            <w:vAlign w:val="bottom"/>
            <w:gridSpan w:val="3"/>
          </w:tcPr>
          <w:p>
            <w:pPr>
              <w:jc w:val="right"/>
              <w:ind w:right="675"/>
              <w:spacing w:after="0"/>
              <w:rPr>
                <w:sz w:val="20"/>
                <w:szCs w:val="20"/>
                <w:color w:val="auto"/>
              </w:rPr>
            </w:pPr>
            <w:r>
              <w:rPr>
                <w:rFonts w:ascii="Arial" w:cs="Arial" w:eastAsia="Arial" w:hAnsi="Arial"/>
                <w:sz w:val="15"/>
                <w:szCs w:val="15"/>
                <w:b w:val="1"/>
                <w:bCs w:val="1"/>
                <w:color w:val="auto"/>
              </w:rPr>
              <w:t>Nine months ended</w:t>
            </w:r>
          </w:p>
        </w:tc>
      </w:tr>
      <w:tr>
        <w:trPr>
          <w:trHeight w:val="179"/>
        </w:trPr>
        <w:tc>
          <w:tcPr>
            <w:tcW w:w="60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860" w:type="dxa"/>
            <w:vAlign w:val="bottom"/>
            <w:tcBorders>
              <w:bottom w:val="single" w:sz="8" w:color="auto"/>
            </w:tcBorders>
          </w:tcPr>
          <w:p>
            <w:pPr>
              <w:spacing w:after="0"/>
              <w:rPr>
                <w:sz w:val="15"/>
                <w:szCs w:val="15"/>
                <w:color w:val="auto"/>
              </w:rPr>
            </w:pPr>
          </w:p>
        </w:tc>
      </w:tr>
      <w:tr>
        <w:trPr>
          <w:trHeight w:val="165"/>
        </w:trPr>
        <w:tc>
          <w:tcPr>
            <w:tcW w:w="60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line="159" w:lineRule="exact"/>
              <w:rPr>
                <w:sz w:val="20"/>
                <w:szCs w:val="20"/>
                <w:color w:val="auto"/>
              </w:rPr>
            </w:pPr>
            <w:r>
              <w:rPr>
                <w:rFonts w:ascii="Arial" w:cs="Arial" w:eastAsia="Arial" w:hAnsi="Arial"/>
                <w:sz w:val="15"/>
                <w:szCs w:val="15"/>
                <w:b w:val="1"/>
                <w:bCs w:val="1"/>
                <w:color w:val="auto"/>
              </w:rPr>
              <w:t>2018</w:t>
            </w: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5"/>
              <w:spacing w:after="0" w:line="159" w:lineRule="exact"/>
              <w:rPr>
                <w:sz w:val="20"/>
                <w:szCs w:val="20"/>
                <w:color w:val="auto"/>
              </w:rPr>
            </w:pPr>
            <w:r>
              <w:rPr>
                <w:rFonts w:ascii="Arial" w:cs="Arial" w:eastAsia="Arial" w:hAnsi="Arial"/>
                <w:sz w:val="15"/>
                <w:szCs w:val="15"/>
                <w:b w:val="1"/>
                <w:bCs w:val="1"/>
                <w:color w:val="auto"/>
                <w:w w:val="95"/>
              </w:rPr>
              <w:t>2017</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line="159" w:lineRule="exact"/>
              <w:rPr>
                <w:sz w:val="20"/>
                <w:szCs w:val="20"/>
                <w:color w:val="auto"/>
              </w:rPr>
            </w:pPr>
            <w:r>
              <w:rPr>
                <w:rFonts w:ascii="Arial" w:cs="Arial" w:eastAsia="Arial" w:hAnsi="Arial"/>
                <w:sz w:val="15"/>
                <w:szCs w:val="15"/>
                <w:b w:val="1"/>
                <w:bCs w:val="1"/>
                <w:color w:val="auto"/>
              </w:rPr>
              <w:t>2018</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5"/>
              <w:spacing w:after="0" w:line="159" w:lineRule="exact"/>
              <w:rPr>
                <w:sz w:val="20"/>
                <w:szCs w:val="20"/>
                <w:color w:val="auto"/>
              </w:rPr>
            </w:pPr>
            <w:r>
              <w:rPr>
                <w:rFonts w:ascii="Arial" w:cs="Arial" w:eastAsia="Arial" w:hAnsi="Arial"/>
                <w:sz w:val="15"/>
                <w:szCs w:val="15"/>
                <w:b w:val="1"/>
                <w:bCs w:val="1"/>
                <w:color w:val="auto"/>
                <w:w w:val="95"/>
              </w:rPr>
              <w:t>2017</w:t>
            </w:r>
          </w:p>
        </w:tc>
      </w:tr>
      <w:tr>
        <w:trPr>
          <w:trHeight w:val="238"/>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Realized (Losses) Gains</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8"/>
        </w:trPr>
        <w:tc>
          <w:tcPr>
            <w:tcW w:w="6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8"/>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Gross realized gains</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96"/>
              <w:spacing w:after="0"/>
              <w:rPr>
                <w:sz w:val="20"/>
                <w:szCs w:val="20"/>
                <w:color w:val="auto"/>
              </w:rPr>
            </w:pPr>
            <w:r>
              <w:rPr>
                <w:rFonts w:ascii="Arial" w:cs="Arial" w:eastAsia="Arial" w:hAnsi="Arial"/>
                <w:sz w:val="17"/>
                <w:szCs w:val="17"/>
                <w:color w:val="auto"/>
              </w:rPr>
              <w:t>4,750</w:t>
            </w:r>
          </w:p>
        </w:tc>
        <w:tc>
          <w:tcPr>
            <w:tcW w:w="48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5,542</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96"/>
              <w:spacing w:after="0"/>
              <w:rPr>
                <w:sz w:val="20"/>
                <w:szCs w:val="20"/>
                <w:color w:val="auto"/>
              </w:rPr>
            </w:pPr>
            <w:r>
              <w:rPr>
                <w:rFonts w:ascii="Arial" w:cs="Arial" w:eastAsia="Arial" w:hAnsi="Arial"/>
                <w:sz w:val="17"/>
                <w:szCs w:val="17"/>
                <w:color w:val="auto"/>
              </w:rPr>
              <w:t>116,961</w:t>
            </w:r>
          </w:p>
        </w:tc>
        <w:tc>
          <w:tcPr>
            <w:tcW w:w="48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5"/>
              <w:spacing w:after="0"/>
              <w:rPr>
                <w:sz w:val="20"/>
                <w:szCs w:val="20"/>
                <w:color w:val="auto"/>
              </w:rPr>
            </w:pPr>
            <w:r>
              <w:rPr>
                <w:rFonts w:ascii="Arial" w:cs="Arial" w:eastAsia="Arial" w:hAnsi="Arial"/>
                <w:sz w:val="17"/>
                <w:szCs w:val="17"/>
                <w:color w:val="auto"/>
              </w:rPr>
              <w:t>67,260</w:t>
            </w:r>
          </w:p>
        </w:tc>
      </w:tr>
      <w:tr>
        <w:trPr>
          <w:trHeight w:val="218"/>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realized losses (1)</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(77,192)</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(56,783)</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(560,418)</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(167,340)</w:t>
            </w:r>
          </w:p>
        </w:tc>
      </w:tr>
      <w:tr>
        <w:trPr>
          <w:trHeight w:val="218"/>
        </w:trPr>
        <w:tc>
          <w:tcPr>
            <w:tcW w:w="60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(72,442)</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(51,241)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(443,457)</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(100,080)</w:t>
            </w:r>
          </w:p>
        </w:tc>
      </w:tr>
      <w:tr>
        <w:trPr>
          <w:trHeight w:val="212"/>
        </w:trPr>
        <w:tc>
          <w:tcPr>
            <w:tcW w:w="6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Gross realized gains</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121,609</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229,792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436,859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386,057</w:t>
            </w:r>
          </w:p>
        </w:tc>
      </w:tr>
      <w:tr>
        <w:trPr>
          <w:trHeight w:val="218"/>
        </w:trPr>
        <w:tc>
          <w:tcPr>
            <w:tcW w:w="6020" w:type="dxa"/>
            <w:vAlign w:val="bottom"/>
          </w:tcPr>
          <w:p>
            <w:pPr>
              <w:ind w:left="40"/>
              <w:spacing w:after="0"/>
              <w:rPr>
                <w:sz w:val="20"/>
                <w:szCs w:val="20"/>
                <w:color w:val="auto"/>
              </w:rPr>
            </w:pPr>
            <w:r>
              <w:rPr>
                <w:rFonts w:ascii="Arial" w:cs="Arial" w:eastAsia="Arial" w:hAnsi="Arial"/>
                <w:sz w:val="17"/>
                <w:szCs w:val="17"/>
                <w:color w:val="auto"/>
              </w:rPr>
              <w:t>Gross realized losses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(106,321)</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(107,553)</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(370,705)</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(139,062)</w:t>
            </w:r>
          </w:p>
        </w:tc>
      </w:tr>
      <w:tr>
        <w:trPr>
          <w:trHeight w:val="218"/>
        </w:trPr>
        <w:tc>
          <w:tcPr>
            <w:tcW w:w="60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15,288</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122,239</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66,154</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246,995</w:t>
            </w:r>
          </w:p>
        </w:tc>
      </w:tr>
      <w:tr>
        <w:trPr>
          <w:trHeight w:val="212"/>
        </w:trPr>
        <w:tc>
          <w:tcPr>
            <w:tcW w:w="6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realized (losses) gains</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(57,154)</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70,998</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(377,303)</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146,915</w:t>
            </w:r>
          </w:p>
        </w:tc>
      </w:tr>
      <w:tr>
        <w:trPr>
          <w:trHeight w:val="212"/>
        </w:trPr>
        <w:tc>
          <w:tcPr>
            <w:tcW w:w="6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Other-than-temporary impairment losses:</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8"/>
        </w:trPr>
        <w:tc>
          <w:tcPr>
            <w:tcW w:w="6020" w:type="dxa"/>
            <w:vAlign w:val="bottom"/>
          </w:tcPr>
          <w:p>
            <w:pPr>
              <w:ind w:left="40"/>
              <w:spacing w:after="0"/>
              <w:rPr>
                <w:sz w:val="20"/>
                <w:szCs w:val="20"/>
                <w:color w:val="auto"/>
              </w:rPr>
            </w:pPr>
            <w:r>
              <w:rPr>
                <w:rFonts w:ascii="Arial" w:cs="Arial" w:eastAsia="Arial" w:hAnsi="Arial"/>
                <w:sz w:val="17"/>
                <w:szCs w:val="17"/>
                <w:color w:val="auto"/>
              </w:rPr>
              <w:t>Fixed-maturity securities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(50,000)</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(50,000)</w:t>
            </w:r>
          </w:p>
        </w:tc>
      </w:tr>
      <w:tr>
        <w:trPr>
          <w:trHeight w:val="212"/>
        </w:trPr>
        <w:tc>
          <w:tcPr>
            <w:tcW w:w="6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b w:val="1"/>
                <w:bCs w:val="1"/>
                <w:color w:val="auto"/>
              </w:rPr>
              <w:t>Unrealized Gains (Losses)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2"/>
        </w:trPr>
        <w:tc>
          <w:tcPr>
            <w:tcW w:w="6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Gross gains</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288,435</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18"/>
        </w:trPr>
        <w:tc>
          <w:tcPr>
            <w:tcW w:w="6020" w:type="dxa"/>
            <w:vAlign w:val="bottom"/>
          </w:tcPr>
          <w:p>
            <w:pPr>
              <w:ind w:left="40"/>
              <w:spacing w:after="0"/>
              <w:rPr>
                <w:sz w:val="20"/>
                <w:szCs w:val="20"/>
                <w:color w:val="auto"/>
              </w:rPr>
            </w:pPr>
            <w:r>
              <w:rPr>
                <w:rFonts w:ascii="Arial" w:cs="Arial" w:eastAsia="Arial" w:hAnsi="Arial"/>
                <w:sz w:val="17"/>
                <w:szCs w:val="17"/>
                <w:color w:val="auto"/>
              </w:rPr>
              <w:t>Gross losses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(141,976)</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r>
      <w:tr>
        <w:trPr>
          <w:trHeight w:val="218"/>
        </w:trPr>
        <w:tc>
          <w:tcPr>
            <w:tcW w:w="60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288,435</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(141,976)</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12"/>
        </w:trPr>
        <w:tc>
          <w:tcPr>
            <w:tcW w:w="6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Other investments:</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Gross gains</w:t>
            </w:r>
          </w:p>
        </w:tc>
        <w:tc>
          <w:tcPr>
            <w:tcW w:w="400" w:type="dxa"/>
            <w:vAlign w:val="bottom"/>
          </w:tcPr>
          <w:p>
            <w:pPr>
              <w:spacing w:after="0"/>
              <w:rPr>
                <w:sz w:val="18"/>
                <w:szCs w:val="18"/>
                <w:color w:val="auto"/>
              </w:rPr>
            </w:pPr>
          </w:p>
        </w:tc>
        <w:tc>
          <w:tcPr>
            <w:tcW w:w="1020" w:type="dxa"/>
            <w:vAlign w:val="bottom"/>
          </w:tcPr>
          <w:p>
            <w:pPr>
              <w:jc w:val="right"/>
              <w:ind w:right="96"/>
              <w:spacing w:after="0"/>
              <w:rPr>
                <w:sz w:val="20"/>
                <w:szCs w:val="20"/>
                <w:color w:val="auto"/>
              </w:rPr>
            </w:pPr>
            <w:r>
              <w:rPr>
                <w:rFonts w:ascii="Arial" w:cs="Arial" w:eastAsia="Arial" w:hAnsi="Arial"/>
                <w:sz w:val="17"/>
                <w:szCs w:val="17"/>
                <w:color w:val="auto"/>
              </w:rPr>
              <w:t>120,744</w:t>
            </w:r>
          </w:p>
        </w:tc>
        <w:tc>
          <w:tcPr>
            <w:tcW w:w="480" w:type="dxa"/>
            <w:vAlign w:val="bottom"/>
          </w:tcPr>
          <w:p>
            <w:pPr>
              <w:spacing w:after="0"/>
              <w:rPr>
                <w:sz w:val="18"/>
                <w:szCs w:val="18"/>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020" w:type="dxa"/>
            <w:vAlign w:val="bottom"/>
          </w:tcPr>
          <w:p>
            <w:pPr>
              <w:jc w:val="right"/>
              <w:ind w:right="96"/>
              <w:spacing w:after="0"/>
              <w:rPr>
                <w:sz w:val="20"/>
                <w:szCs w:val="20"/>
                <w:color w:val="auto"/>
              </w:rPr>
            </w:pPr>
            <w:r>
              <w:rPr>
                <w:rFonts w:ascii="Arial" w:cs="Arial" w:eastAsia="Arial" w:hAnsi="Arial"/>
                <w:sz w:val="17"/>
                <w:szCs w:val="17"/>
                <w:color w:val="auto"/>
              </w:rPr>
              <w:t>241,444</w:t>
            </w:r>
          </w:p>
        </w:tc>
        <w:tc>
          <w:tcPr>
            <w:tcW w:w="480" w:type="dxa"/>
            <w:vAlign w:val="bottom"/>
          </w:tcPr>
          <w:p>
            <w:pPr>
              <w:spacing w:after="0"/>
              <w:rPr>
                <w:sz w:val="18"/>
                <w:szCs w:val="18"/>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color w:val="auto"/>
              </w:rPr>
              <w:t>-</w:t>
            </w:r>
          </w:p>
        </w:tc>
      </w:tr>
      <w:tr>
        <w:trPr>
          <w:trHeight w:val="218"/>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losses</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18"/>
        </w:trPr>
        <w:tc>
          <w:tcPr>
            <w:tcW w:w="60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120,744</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241,444</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r>
      <w:tr>
        <w:trPr>
          <w:trHeight w:val="212"/>
        </w:trPr>
        <w:tc>
          <w:tcPr>
            <w:tcW w:w="6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8"/>
        </w:trPr>
        <w:tc>
          <w:tcPr>
            <w:tcW w:w="6020" w:type="dxa"/>
            <w:vAlign w:val="bottom"/>
          </w:tcPr>
          <w:p>
            <w:pPr>
              <w:ind w:left="200"/>
              <w:spacing w:after="0"/>
              <w:rPr>
                <w:sz w:val="20"/>
                <w:szCs w:val="20"/>
                <w:color w:val="auto"/>
              </w:rPr>
            </w:pPr>
            <w:r>
              <w:rPr>
                <w:rFonts w:ascii="Arial" w:cs="Arial" w:eastAsia="Arial" w:hAnsi="Arial"/>
                <w:sz w:val="17"/>
                <w:szCs w:val="17"/>
                <w:color w:val="auto"/>
              </w:rPr>
              <w:t>Net unrealized gains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409,179</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99,468</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r>
      <w:tr>
        <w:trPr>
          <w:trHeight w:val="212"/>
        </w:trPr>
        <w:tc>
          <w:tcPr>
            <w:tcW w:w="6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Net gains (losses) on investments</w:t>
            </w:r>
          </w:p>
        </w:tc>
        <w:tc>
          <w:tcPr>
            <w:tcW w:w="4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352,025</w:t>
            </w:r>
          </w:p>
        </w:tc>
        <w:tc>
          <w:tcPr>
            <w:tcW w:w="4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20,998</w:t>
            </w:r>
          </w:p>
        </w:tc>
        <w:tc>
          <w:tcPr>
            <w:tcW w:w="3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(277,835)</w:t>
            </w:r>
          </w:p>
        </w:tc>
        <w:tc>
          <w:tcPr>
            <w:tcW w:w="4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96,915</w:t>
            </w:r>
          </w:p>
        </w:tc>
      </w:tr>
      <w:tr>
        <w:trPr>
          <w:trHeight w:val="20"/>
        </w:trPr>
        <w:tc>
          <w:tcPr>
            <w:tcW w:w="6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640" w:hanging="316"/>
        <w:spacing w:after="0" w:line="287"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Gross realized losses for the nine months ended September 30, 2018 and 2017 include a $23,912 and a $747 loss, respectively, from the redemption of fixed-maturity securities held-to-maturity.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Review</w:t>
      </w:r>
    </w:p>
    <w:p>
      <w:pPr>
        <w:spacing w:after="0" w:line="22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(and reviewed its equity securities portfolios prior to January 1, 2018) to evaluate the necessity of recording impairment losses for other-than-temporary declines in the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(loss)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comprehensive (loss) income for the noncredit portion of a previous OTTI is amortized prospectively over the remaining life of the security on the basis of timing of future estimated cash flows of the security.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16" w:name="page17"/>
    <w:bookmarkEnd w:id="16"/>
    <w:p>
      <w:pPr>
        <w:jc w:val="both"/>
        <w:spacing w:after="0" w:line="300" w:lineRule="auto"/>
        <w:rPr>
          <w:sz w:val="20"/>
          <w:szCs w:val="20"/>
          <w:color w:val="auto"/>
        </w:rPr>
      </w:pPr>
      <w:r>
        <w:rPr>
          <w:rFonts w:ascii="Arial" w:cs="Arial" w:eastAsia="Arial" w:hAnsi="Arial"/>
          <w:sz w:val="15"/>
          <w:szCs w:val="15"/>
          <w:color w:val="auto"/>
        </w:rPr>
        <w:t>OTTI losses are recorded in the condensed consolidated statements of income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September 30, 2018 and December 31, 2017, there were 166 and 62 fixed-maturity securities, respectively, and 13 equity securities at December 31, 2017 that accounted for the gross unrealized loss, respectively. In December 2017, the Company disposed of one of its held-to-maturity debt securities that was previously recorded in OTTI, a bond issued by the Commonwealth of Puerto Rico. In July 2016, Puerto Rico defaulted on its interest payment to bondholders. Due to the credit deterioration of Puerto Rico, the Company recorded its first credit loss component of OTTI on this investment as of June 30, 2016. As of December 31, 2016, the full amount of the write-down was recognized as a credit component of OTTI in the amount of $69,911. In September 2017, Hurricane Maria significantly affected Puerto Rico. The impact of this event further contributed to the credit deterioration of Puerto Rico and, as a result, the Company recorded an additional credit loss component of OTTI on this investment for the amount of $50,000 during the quarter ended September 30, 2017. The total of the two OTTI write-downs of this investment through December 31, 2017 was $119,911. The Company determined that none of the other unrealized losses were deemed to be OTTI for its portfolio of investments for the nine months ended September 30, 2018 and 2017.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September 30, 2018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607"/>
              <w:spacing w:after="0"/>
              <w:rPr>
                <w:sz w:val="20"/>
                <w:szCs w:val="20"/>
                <w:color w:val="auto"/>
              </w:rPr>
            </w:pPr>
            <w:r>
              <w:rPr>
                <w:rFonts w:ascii="Arial" w:cs="Arial" w:eastAsia="Arial" w:hAnsi="Arial"/>
                <w:sz w:val="15"/>
                <w:szCs w:val="15"/>
                <w:b w:val="1"/>
                <w:bCs w:val="1"/>
                <w:color w:val="auto"/>
              </w:rPr>
              <w:t>September 30, 2018</w:t>
            </w: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5"/>
        </w:trPr>
        <w:tc>
          <w:tcPr>
            <w:tcW w:w="2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587"/>
              <w:spacing w:after="0" w:line="159" w:lineRule="exact"/>
              <w:rPr>
                <w:sz w:val="20"/>
                <w:szCs w:val="20"/>
                <w:color w:val="auto"/>
              </w:rPr>
            </w:pPr>
            <w:r>
              <w:rPr>
                <w:rFonts w:ascii="Arial" w:cs="Arial" w:eastAsia="Arial" w:hAnsi="Arial"/>
                <w:sz w:val="15"/>
                <w:szCs w:val="15"/>
                <w:b w:val="1"/>
                <w:bCs w:val="1"/>
                <w:color w:val="auto"/>
              </w:rPr>
              <w:t>Less than 12 months</w:t>
            </w: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627"/>
              <w:spacing w:after="0" w:line="159" w:lineRule="exact"/>
              <w:rPr>
                <w:sz w:val="20"/>
                <w:szCs w:val="20"/>
                <w:color w:val="auto"/>
              </w:rPr>
            </w:pPr>
            <w:r>
              <w:rPr>
                <w:rFonts w:ascii="Arial" w:cs="Arial" w:eastAsia="Arial" w:hAnsi="Arial"/>
                <w:sz w:val="15"/>
                <w:szCs w:val="15"/>
                <w:b w:val="1"/>
                <w:bCs w:val="1"/>
                <w:color w:val="auto"/>
              </w:rPr>
              <w:t>12 months or more</w:t>
            </w: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r>
      <w:tr>
        <w:trPr>
          <w:trHeight w:val="146"/>
        </w:trPr>
        <w:tc>
          <w:tcPr>
            <w:tcW w:w="2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No. of</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No. of</w:t>
            </w:r>
          </w:p>
        </w:tc>
        <w:tc>
          <w:tcPr>
            <w:tcW w:w="320" w:type="dxa"/>
            <w:vAlign w:val="bottom"/>
          </w:tcPr>
          <w:p>
            <w:pPr>
              <w:spacing w:after="0"/>
              <w:rPr>
                <w:sz w:val="12"/>
                <w:szCs w:val="12"/>
                <w:color w:val="auto"/>
              </w:rPr>
            </w:pPr>
          </w:p>
        </w:tc>
        <w:tc>
          <w:tcPr>
            <w:tcW w:w="920" w:type="dxa"/>
            <w:vAlign w:val="bottom"/>
          </w:tcPr>
          <w:p>
            <w:pPr>
              <w:jc w:val="center"/>
              <w:ind w:right="127"/>
              <w:spacing w:after="0" w:line="146" w:lineRule="exact"/>
              <w:rPr>
                <w:sz w:val="20"/>
                <w:szCs w:val="20"/>
                <w:color w:val="auto"/>
              </w:rPr>
            </w:pPr>
            <w:r>
              <w:rPr>
                <w:rFonts w:ascii="Arial" w:cs="Arial" w:eastAsia="Arial" w:hAnsi="Arial"/>
                <w:sz w:val="15"/>
                <w:szCs w:val="15"/>
                <w:b w:val="1"/>
                <w:bCs w:val="1"/>
                <w:color w:val="auto"/>
                <w:w w:val="86"/>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9"/>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47"/>
              <w:spacing w:after="0" w:line="159" w:lineRule="exact"/>
              <w:rPr>
                <w:sz w:val="20"/>
                <w:szCs w:val="20"/>
                <w:color w:val="auto"/>
              </w:rPr>
            </w:pPr>
            <w:r>
              <w:rPr>
                <w:rFonts w:ascii="Arial" w:cs="Arial" w:eastAsia="Arial" w:hAnsi="Arial"/>
                <w:sz w:val="15"/>
                <w:szCs w:val="15"/>
                <w:b w:val="1"/>
                <w:bCs w:val="1"/>
                <w:color w:val="auto"/>
              </w:rPr>
              <w:t>Fair</w:t>
            </w:r>
          </w:p>
        </w:tc>
        <w:tc>
          <w:tcPr>
            <w:tcW w:w="240" w:type="dxa"/>
            <w:vAlign w:val="bottom"/>
          </w:tcPr>
          <w:p>
            <w:pPr>
              <w:spacing w:after="0"/>
              <w:rPr>
                <w:sz w:val="13"/>
                <w:szCs w:val="13"/>
                <w:color w:val="auto"/>
              </w:rPr>
            </w:pPr>
          </w:p>
        </w:tc>
        <w:tc>
          <w:tcPr>
            <w:tcW w:w="1060" w:type="dxa"/>
            <w:vAlign w:val="bottom"/>
          </w:tcPr>
          <w:p>
            <w:pPr>
              <w:jc w:val="right"/>
              <w:ind w:right="287"/>
              <w:spacing w:after="0" w:line="159" w:lineRule="exact"/>
              <w:rPr>
                <w:sz w:val="20"/>
                <w:szCs w:val="20"/>
                <w:color w:val="auto"/>
              </w:rPr>
            </w:pPr>
            <w:r>
              <w:rPr>
                <w:rFonts w:ascii="Arial" w:cs="Arial" w:eastAsia="Arial" w:hAnsi="Arial"/>
                <w:sz w:val="15"/>
                <w:szCs w:val="15"/>
                <w:b w:val="1"/>
                <w:bCs w:val="1"/>
                <w:color w:val="auto"/>
                <w:w w:val="89"/>
              </w:rPr>
              <w:t>Unrealized</w:t>
            </w:r>
          </w:p>
        </w:tc>
        <w:tc>
          <w:tcPr>
            <w:tcW w:w="94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82"/>
              </w:rPr>
              <w:t>Positions</w:t>
            </w:r>
          </w:p>
        </w:tc>
        <w:tc>
          <w:tcPr>
            <w:tcW w:w="380" w:type="dxa"/>
            <w:vAlign w:val="bottom"/>
          </w:tcPr>
          <w:p>
            <w:pPr>
              <w:spacing w:after="0"/>
              <w:rPr>
                <w:sz w:val="13"/>
                <w:szCs w:val="13"/>
                <w:color w:val="auto"/>
              </w:rPr>
            </w:pPr>
          </w:p>
        </w:tc>
        <w:tc>
          <w:tcPr>
            <w:tcW w:w="860" w:type="dxa"/>
            <w:vAlign w:val="bottom"/>
          </w:tcPr>
          <w:p>
            <w:pPr>
              <w:jc w:val="right"/>
              <w:ind w:right="347"/>
              <w:spacing w:after="0" w:line="159"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3"/>
                <w:szCs w:val="13"/>
                <w:color w:val="auto"/>
              </w:rPr>
            </w:pPr>
          </w:p>
        </w:tc>
        <w:tc>
          <w:tcPr>
            <w:tcW w:w="1060" w:type="dxa"/>
            <w:vAlign w:val="bottom"/>
          </w:tcPr>
          <w:p>
            <w:pPr>
              <w:jc w:val="right"/>
              <w:ind w:right="267"/>
              <w:spacing w:after="0" w:line="159" w:lineRule="exact"/>
              <w:rPr>
                <w:sz w:val="20"/>
                <w:szCs w:val="20"/>
                <w:color w:val="auto"/>
              </w:rPr>
            </w:pPr>
            <w:r>
              <w:rPr>
                <w:rFonts w:ascii="Arial" w:cs="Arial" w:eastAsia="Arial" w:hAnsi="Arial"/>
                <w:sz w:val="15"/>
                <w:szCs w:val="15"/>
                <w:b w:val="1"/>
                <w:bCs w:val="1"/>
                <w:color w:val="auto"/>
                <w:w w:val="92"/>
              </w:rPr>
              <w:t>Unrealized</w:t>
            </w:r>
          </w:p>
        </w:tc>
        <w:tc>
          <w:tcPr>
            <w:tcW w:w="94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82"/>
              </w:rPr>
              <w:t>Positions</w:t>
            </w:r>
          </w:p>
        </w:tc>
        <w:tc>
          <w:tcPr>
            <w:tcW w:w="320" w:type="dxa"/>
            <w:vAlign w:val="bottom"/>
          </w:tcPr>
          <w:p>
            <w:pPr>
              <w:spacing w:after="0"/>
              <w:rPr>
                <w:sz w:val="13"/>
                <w:szCs w:val="13"/>
                <w:color w:val="auto"/>
              </w:rPr>
            </w:pPr>
          </w:p>
        </w:tc>
        <w:tc>
          <w:tcPr>
            <w:tcW w:w="920" w:type="dxa"/>
            <w:vAlign w:val="bottom"/>
          </w:tcPr>
          <w:p>
            <w:pPr>
              <w:jc w:val="center"/>
              <w:ind w:right="147"/>
              <w:spacing w:after="0" w:line="159" w:lineRule="exact"/>
              <w:rPr>
                <w:sz w:val="20"/>
                <w:szCs w:val="20"/>
                <w:color w:val="auto"/>
              </w:rPr>
            </w:pPr>
            <w:r>
              <w:rPr>
                <w:rFonts w:ascii="Arial" w:cs="Arial" w:eastAsia="Arial" w:hAnsi="Arial"/>
                <w:sz w:val="15"/>
                <w:szCs w:val="15"/>
                <w:b w:val="1"/>
                <w:bCs w:val="1"/>
                <w:color w:val="auto"/>
                <w:w w:val="94"/>
              </w:rPr>
              <w:t>Fair</w:t>
            </w:r>
          </w:p>
        </w:tc>
        <w:tc>
          <w:tcPr>
            <w:tcW w:w="220" w:type="dxa"/>
            <w:vAlign w:val="bottom"/>
          </w:tcPr>
          <w:p>
            <w:pPr>
              <w:spacing w:after="0"/>
              <w:rPr>
                <w:sz w:val="13"/>
                <w:szCs w:val="13"/>
                <w:color w:val="auto"/>
              </w:rPr>
            </w:pPr>
          </w:p>
        </w:tc>
        <w:tc>
          <w:tcPr>
            <w:tcW w:w="920" w:type="dxa"/>
            <w:vAlign w:val="bottom"/>
          </w:tcPr>
          <w:p>
            <w:pPr>
              <w:jc w:val="right"/>
              <w:ind w:right="147"/>
              <w:spacing w:after="0" w:line="159" w:lineRule="exact"/>
              <w:rPr>
                <w:sz w:val="20"/>
                <w:szCs w:val="20"/>
                <w:color w:val="auto"/>
              </w:rPr>
            </w:pPr>
            <w:r>
              <w:rPr>
                <w:rFonts w:ascii="Arial" w:cs="Arial" w:eastAsia="Arial" w:hAnsi="Arial"/>
                <w:sz w:val="15"/>
                <w:szCs w:val="15"/>
                <w:b w:val="1"/>
                <w:bCs w:val="1"/>
                <w:color w:val="auto"/>
                <w:w w:val="89"/>
              </w:rPr>
              <w:t>Unrealized</w:t>
            </w:r>
          </w:p>
        </w:tc>
      </w:tr>
      <w:tr>
        <w:trPr>
          <w:trHeight w:val="179"/>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Value</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b w:val="1"/>
                <w:bCs w:val="1"/>
                <w:color w:val="auto"/>
              </w:rPr>
              <w:t>Losses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Value</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b w:val="1"/>
                <w:bCs w:val="1"/>
                <w:color w:val="auto"/>
              </w:rPr>
              <w:t>Losses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Losses</w:t>
            </w:r>
          </w:p>
        </w:tc>
      </w:tr>
      <w:tr>
        <w:trPr>
          <w:trHeight w:val="159"/>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b w:val="1"/>
                <w:bCs w:val="1"/>
                <w:color w:val="auto"/>
              </w:rPr>
              <w:t>Fixed-Maturity Securities: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U.S. Treasury securities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and obligations of U.S.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government corporations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and agencies</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8,139,737</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27"/>
              <w:spacing w:after="0" w:line="159" w:lineRule="exact"/>
              <w:rPr>
                <w:sz w:val="20"/>
                <w:szCs w:val="20"/>
                <w:color w:val="auto"/>
              </w:rPr>
            </w:pPr>
            <w:r>
              <w:rPr>
                <w:rFonts w:ascii="Arial" w:cs="Arial" w:eastAsia="Arial" w:hAnsi="Arial"/>
                <w:sz w:val="15"/>
                <w:szCs w:val="15"/>
                <w:color w:val="auto"/>
              </w:rPr>
              <w:t>(75,222)</w:t>
            </w:r>
          </w:p>
        </w:tc>
        <w:tc>
          <w:tcPr>
            <w:tcW w:w="94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71"/>
              </w:rPr>
              <w:t>7</w:t>
            </w:r>
          </w:p>
        </w:tc>
        <w:tc>
          <w:tcPr>
            <w:tcW w:w="380" w:type="dxa"/>
            <w:vAlign w:val="bottom"/>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79"/>
              </w:rPr>
              <w:t>-</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8,139,737</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(75,222)</w:t>
            </w:r>
          </w:p>
        </w:tc>
      </w:tr>
      <w:tr>
        <w:trPr>
          <w:trHeight w:val="159"/>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Political subdivisions of</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States, Territories and</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Possessions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3,396,474</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27"/>
              <w:spacing w:after="0" w:line="159" w:lineRule="exact"/>
              <w:rPr>
                <w:sz w:val="20"/>
                <w:szCs w:val="20"/>
                <w:color w:val="auto"/>
              </w:rPr>
            </w:pPr>
            <w:r>
              <w:rPr>
                <w:rFonts w:ascii="Arial" w:cs="Arial" w:eastAsia="Arial" w:hAnsi="Arial"/>
                <w:sz w:val="15"/>
                <w:szCs w:val="15"/>
                <w:color w:val="auto"/>
              </w:rPr>
              <w:t>(63,596)</w:t>
            </w:r>
          </w:p>
        </w:tc>
        <w:tc>
          <w:tcPr>
            <w:tcW w:w="94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71"/>
              </w:rPr>
              <w:t>7</w:t>
            </w: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1,122,656</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27"/>
              <w:spacing w:after="0" w:line="159" w:lineRule="exact"/>
              <w:rPr>
                <w:sz w:val="20"/>
                <w:szCs w:val="20"/>
                <w:color w:val="auto"/>
              </w:rPr>
            </w:pPr>
            <w:r>
              <w:rPr>
                <w:rFonts w:ascii="Arial" w:cs="Arial" w:eastAsia="Arial" w:hAnsi="Arial"/>
                <w:sz w:val="15"/>
                <w:szCs w:val="15"/>
                <w:color w:val="auto"/>
              </w:rPr>
              <w:t>(50,343)</w:t>
            </w:r>
          </w:p>
        </w:tc>
        <w:tc>
          <w:tcPr>
            <w:tcW w:w="94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95"/>
              </w:rPr>
              <w:t>2</w:t>
            </w: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4,519,130</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(113,939)</w:t>
            </w:r>
          </w:p>
        </w:tc>
      </w:tr>
      <w:tr>
        <w:trPr>
          <w:trHeight w:val="159"/>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Corporate and other</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bonds industrial and</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miscellaneous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86,846,478</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27"/>
              <w:spacing w:after="0" w:line="159" w:lineRule="exact"/>
              <w:rPr>
                <w:sz w:val="20"/>
                <w:szCs w:val="20"/>
                <w:color w:val="auto"/>
              </w:rPr>
            </w:pPr>
            <w:r>
              <w:rPr>
                <w:rFonts w:ascii="Arial" w:cs="Arial" w:eastAsia="Arial" w:hAnsi="Arial"/>
                <w:sz w:val="15"/>
                <w:szCs w:val="15"/>
                <w:color w:val="auto"/>
              </w:rPr>
              <w:t>(2,461,966)</w:t>
            </w:r>
          </w:p>
        </w:tc>
        <w:tc>
          <w:tcPr>
            <w:tcW w:w="94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87"/>
              </w:rPr>
              <w:t>108</w:t>
            </w: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6,950,836</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27"/>
              <w:spacing w:after="0" w:line="159" w:lineRule="exact"/>
              <w:rPr>
                <w:sz w:val="20"/>
                <w:szCs w:val="20"/>
                <w:color w:val="auto"/>
              </w:rPr>
            </w:pPr>
            <w:r>
              <w:rPr>
                <w:rFonts w:ascii="Arial" w:cs="Arial" w:eastAsia="Arial" w:hAnsi="Arial"/>
                <w:sz w:val="15"/>
                <w:szCs w:val="15"/>
                <w:color w:val="auto"/>
              </w:rPr>
              <w:t>(399,360)</w:t>
            </w:r>
          </w:p>
        </w:tc>
        <w:tc>
          <w:tcPr>
            <w:tcW w:w="94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83"/>
              </w:rPr>
              <w:t>14</w:t>
            </w: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93,797,314</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(2,861,326)</w:t>
            </w:r>
          </w:p>
        </w:tc>
      </w:tr>
      <w:tr>
        <w:trPr>
          <w:trHeight w:val="159"/>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Residential mortgage and other</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5"/>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asset backed securities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8,593,080</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7"/>
              <w:spacing w:after="0" w:line="159" w:lineRule="exact"/>
              <w:rPr>
                <w:sz w:val="20"/>
                <w:szCs w:val="20"/>
                <w:color w:val="auto"/>
              </w:rPr>
            </w:pPr>
            <w:r>
              <w:rPr>
                <w:rFonts w:ascii="Arial" w:cs="Arial" w:eastAsia="Arial" w:hAnsi="Arial"/>
                <w:sz w:val="15"/>
                <w:szCs w:val="15"/>
                <w:color w:val="auto"/>
              </w:rPr>
              <w:t>(99,954)</w:t>
            </w:r>
          </w:p>
        </w:tc>
        <w:tc>
          <w:tcPr>
            <w:tcW w:w="9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color w:val="auto"/>
                <w:w w:val="83"/>
              </w:rPr>
              <w:t>10</w:t>
            </w: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
              <w:spacing w:after="0" w:line="159" w:lineRule="exact"/>
              <w:rPr>
                <w:sz w:val="20"/>
                <w:szCs w:val="20"/>
                <w:color w:val="auto"/>
              </w:rPr>
            </w:pPr>
            <w:r>
              <w:rPr>
                <w:rFonts w:ascii="Arial" w:cs="Arial" w:eastAsia="Arial" w:hAnsi="Arial"/>
                <w:sz w:val="15"/>
                <w:szCs w:val="15"/>
                <w:color w:val="auto"/>
                <w:w w:val="95"/>
              </w:rPr>
              <w:t>11,453,668</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7"/>
              <w:spacing w:after="0" w:line="159" w:lineRule="exact"/>
              <w:rPr>
                <w:sz w:val="20"/>
                <w:szCs w:val="20"/>
                <w:color w:val="auto"/>
              </w:rPr>
            </w:pPr>
            <w:r>
              <w:rPr>
                <w:rFonts w:ascii="Arial" w:cs="Arial" w:eastAsia="Arial" w:hAnsi="Arial"/>
                <w:sz w:val="15"/>
                <w:szCs w:val="15"/>
                <w:color w:val="auto"/>
              </w:rPr>
              <w:t>(464,193)</w:t>
            </w:r>
          </w:p>
        </w:tc>
        <w:tc>
          <w:tcPr>
            <w:tcW w:w="9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color w:val="auto"/>
                <w:w w:val="83"/>
              </w:rPr>
              <w:t>18</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7"/>
              <w:spacing w:after="0" w:line="159" w:lineRule="exact"/>
              <w:rPr>
                <w:sz w:val="20"/>
                <w:szCs w:val="20"/>
                <w:color w:val="auto"/>
              </w:rPr>
            </w:pPr>
            <w:r>
              <w:rPr>
                <w:rFonts w:ascii="Arial" w:cs="Arial" w:eastAsia="Arial" w:hAnsi="Arial"/>
                <w:sz w:val="15"/>
                <w:szCs w:val="15"/>
                <w:color w:val="auto"/>
              </w:rPr>
              <w:t>20,046,748</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(564,147)</w:t>
            </w:r>
          </w:p>
        </w:tc>
      </w:tr>
      <w:tr>
        <w:trPr>
          <w:trHeight w:val="159"/>
        </w:trPr>
        <w:tc>
          <w:tcPr>
            <w:tcW w:w="2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Total fixed-maturity</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9"/>
        </w:trPr>
        <w:tc>
          <w:tcPr>
            <w:tcW w:w="2320" w:type="dxa"/>
            <w:vAlign w:val="bottom"/>
            <w:tcBorders>
              <w:bottom w:val="single" w:sz="8" w:color="CCEEFF"/>
            </w:tcBorders>
            <w:shd w:val="clear" w:color="auto" w:fill="CCEEFF"/>
          </w:tcPr>
          <w:p>
            <w:pPr>
              <w:ind w:left="40"/>
              <w:spacing w:after="0" w:line="159" w:lineRule="exact"/>
              <w:rPr>
                <w:sz w:val="20"/>
                <w:szCs w:val="20"/>
                <w:color w:val="auto"/>
              </w:rPr>
            </w:pPr>
            <w:r>
              <w:rPr>
                <w:rFonts w:ascii="Arial" w:cs="Arial" w:eastAsia="Arial" w:hAnsi="Arial"/>
                <w:sz w:val="15"/>
                <w:szCs w:val="15"/>
                <w:color w:val="auto"/>
              </w:rPr>
              <w:t>securities</w:t>
            </w:r>
          </w:p>
        </w:tc>
        <w:tc>
          <w:tcPr>
            <w:tcW w:w="2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w w:val="93"/>
              </w:rPr>
              <w:t>106,975,769</w:t>
            </w:r>
          </w:p>
        </w:tc>
        <w:tc>
          <w:tcPr>
            <w:tcW w:w="2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ind w:right="127"/>
              <w:spacing w:after="0" w:line="159" w:lineRule="exact"/>
              <w:rPr>
                <w:sz w:val="20"/>
                <w:szCs w:val="20"/>
                <w:color w:val="auto"/>
              </w:rPr>
            </w:pPr>
            <w:r>
              <w:rPr>
                <w:rFonts w:ascii="Arial" w:cs="Arial" w:eastAsia="Arial" w:hAnsi="Arial"/>
                <w:sz w:val="15"/>
                <w:szCs w:val="15"/>
                <w:color w:val="auto"/>
              </w:rPr>
              <w:t>(2,700,738)</w:t>
            </w:r>
          </w:p>
        </w:tc>
        <w:tc>
          <w:tcPr>
            <w:tcW w:w="94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87"/>
              </w:rPr>
              <w:t>132</w:t>
            </w:r>
          </w:p>
        </w:tc>
        <w:tc>
          <w:tcPr>
            <w:tcW w:w="380" w:type="dxa"/>
            <w:vAlign w:val="bottom"/>
            <w:tcBorders>
              <w:bottom w:val="single" w:sz="8" w:color="auto"/>
            </w:tcBorders>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w w:val="95"/>
              </w:rPr>
              <w:t>19,527,160</w:t>
            </w:r>
          </w:p>
        </w:tc>
        <w:tc>
          <w:tcPr>
            <w:tcW w:w="2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ind w:right="127"/>
              <w:spacing w:after="0" w:line="159" w:lineRule="exact"/>
              <w:rPr>
                <w:sz w:val="20"/>
                <w:szCs w:val="20"/>
                <w:color w:val="auto"/>
              </w:rPr>
            </w:pPr>
            <w:r>
              <w:rPr>
                <w:rFonts w:ascii="Arial" w:cs="Arial" w:eastAsia="Arial" w:hAnsi="Arial"/>
                <w:sz w:val="15"/>
                <w:szCs w:val="15"/>
                <w:color w:val="auto"/>
              </w:rPr>
              <w:t>(913,896)</w:t>
            </w:r>
          </w:p>
        </w:tc>
        <w:tc>
          <w:tcPr>
            <w:tcW w:w="94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83"/>
              </w:rPr>
              <w:t>34</w:t>
            </w:r>
          </w:p>
        </w:tc>
        <w:tc>
          <w:tcPr>
            <w:tcW w:w="3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w w:val="93"/>
              </w:rPr>
              <w:t>126,502,929</w:t>
            </w:r>
          </w:p>
        </w:tc>
        <w:tc>
          <w:tcPr>
            <w:tcW w:w="2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(3,614,634)</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December 31, 2017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667"/>
              <w:spacing w:after="0"/>
              <w:rPr>
                <w:sz w:val="20"/>
                <w:szCs w:val="20"/>
                <w:color w:val="auto"/>
              </w:rPr>
            </w:pPr>
            <w:r>
              <w:rPr>
                <w:rFonts w:ascii="Arial" w:cs="Arial" w:eastAsia="Arial" w:hAnsi="Arial"/>
                <w:sz w:val="15"/>
                <w:szCs w:val="15"/>
                <w:b w:val="1"/>
                <w:bCs w:val="1"/>
                <w:color w:val="auto"/>
              </w:rPr>
              <w:t>December 31, 2017</w:t>
            </w: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5"/>
        </w:trPr>
        <w:tc>
          <w:tcPr>
            <w:tcW w:w="2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67"/>
              <w:spacing w:after="0" w:line="159" w:lineRule="exact"/>
              <w:rPr>
                <w:sz w:val="20"/>
                <w:szCs w:val="20"/>
                <w:color w:val="auto"/>
              </w:rPr>
            </w:pPr>
            <w:r>
              <w:rPr>
                <w:rFonts w:ascii="Arial" w:cs="Arial" w:eastAsia="Arial" w:hAnsi="Arial"/>
                <w:sz w:val="15"/>
                <w:szCs w:val="15"/>
                <w:b w:val="1"/>
                <w:bCs w:val="1"/>
                <w:color w:val="auto"/>
                <w:w w:val="85"/>
              </w:rPr>
              <w:t>Less than 12 months</w:t>
            </w: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47"/>
              <w:spacing w:after="0" w:line="159" w:lineRule="exact"/>
              <w:rPr>
                <w:sz w:val="20"/>
                <w:szCs w:val="20"/>
                <w:color w:val="auto"/>
              </w:rPr>
            </w:pPr>
            <w:r>
              <w:rPr>
                <w:rFonts w:ascii="Arial" w:cs="Arial" w:eastAsia="Arial" w:hAnsi="Arial"/>
                <w:sz w:val="15"/>
                <w:szCs w:val="15"/>
                <w:b w:val="1"/>
                <w:bCs w:val="1"/>
                <w:color w:val="auto"/>
                <w:w w:val="87"/>
              </w:rPr>
              <w:t>12 months or more</w:t>
            </w: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r>
      <w:tr>
        <w:trPr>
          <w:trHeight w:val="146"/>
        </w:trPr>
        <w:tc>
          <w:tcPr>
            <w:tcW w:w="2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No. of</w:t>
            </w: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No. of</w:t>
            </w:r>
          </w:p>
        </w:tc>
        <w:tc>
          <w:tcPr>
            <w:tcW w:w="320" w:type="dxa"/>
            <w:vAlign w:val="bottom"/>
          </w:tcPr>
          <w:p>
            <w:pPr>
              <w:spacing w:after="0"/>
              <w:rPr>
                <w:sz w:val="12"/>
                <w:szCs w:val="12"/>
                <w:color w:val="auto"/>
              </w:rPr>
            </w:pPr>
          </w:p>
        </w:tc>
        <w:tc>
          <w:tcPr>
            <w:tcW w:w="920" w:type="dxa"/>
            <w:vAlign w:val="bottom"/>
          </w:tcPr>
          <w:p>
            <w:pPr>
              <w:jc w:val="center"/>
              <w:ind w:right="127"/>
              <w:spacing w:after="0" w:line="146" w:lineRule="exact"/>
              <w:rPr>
                <w:sz w:val="20"/>
                <w:szCs w:val="20"/>
                <w:color w:val="auto"/>
              </w:rPr>
            </w:pPr>
            <w:r>
              <w:rPr>
                <w:rFonts w:ascii="Arial" w:cs="Arial" w:eastAsia="Arial" w:hAnsi="Arial"/>
                <w:sz w:val="15"/>
                <w:szCs w:val="15"/>
                <w:b w:val="1"/>
                <w:bCs w:val="1"/>
                <w:color w:val="auto"/>
                <w:w w:val="86"/>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9"/>
        </w:trPr>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267"/>
              <w:spacing w:after="0" w:line="159" w:lineRule="exact"/>
              <w:rPr>
                <w:sz w:val="20"/>
                <w:szCs w:val="20"/>
                <w:color w:val="auto"/>
              </w:rPr>
            </w:pPr>
            <w:r>
              <w:rPr>
                <w:rFonts w:ascii="Arial" w:cs="Arial" w:eastAsia="Arial" w:hAnsi="Arial"/>
                <w:sz w:val="15"/>
                <w:szCs w:val="15"/>
                <w:b w:val="1"/>
                <w:bCs w:val="1"/>
                <w:color w:val="auto"/>
              </w:rPr>
              <w:t>Fair</w:t>
            </w:r>
          </w:p>
        </w:tc>
        <w:tc>
          <w:tcPr>
            <w:tcW w:w="320" w:type="dxa"/>
            <w:vAlign w:val="bottom"/>
          </w:tcPr>
          <w:p>
            <w:pPr>
              <w:spacing w:after="0"/>
              <w:rPr>
                <w:sz w:val="13"/>
                <w:szCs w:val="13"/>
                <w:color w:val="auto"/>
              </w:rPr>
            </w:pPr>
          </w:p>
        </w:tc>
        <w:tc>
          <w:tcPr>
            <w:tcW w:w="1120" w:type="dxa"/>
            <w:vAlign w:val="bottom"/>
          </w:tcPr>
          <w:p>
            <w:pPr>
              <w:jc w:val="right"/>
              <w:ind w:right="347"/>
              <w:spacing w:after="0" w:line="159" w:lineRule="exact"/>
              <w:rPr>
                <w:sz w:val="20"/>
                <w:szCs w:val="20"/>
                <w:color w:val="auto"/>
              </w:rPr>
            </w:pPr>
            <w:r>
              <w:rPr>
                <w:rFonts w:ascii="Arial" w:cs="Arial" w:eastAsia="Arial" w:hAnsi="Arial"/>
                <w:sz w:val="15"/>
                <w:szCs w:val="15"/>
                <w:b w:val="1"/>
                <w:bCs w:val="1"/>
                <w:color w:val="auto"/>
                <w:w w:val="89"/>
              </w:rPr>
              <w:t>Unrealized</w:t>
            </w:r>
          </w:p>
        </w:tc>
        <w:tc>
          <w:tcPr>
            <w:tcW w:w="880" w:type="dxa"/>
            <w:vAlign w:val="bottom"/>
          </w:tcPr>
          <w:p>
            <w:pPr>
              <w:jc w:val="center"/>
              <w:ind w:right="7"/>
              <w:spacing w:after="0" w:line="159" w:lineRule="exact"/>
              <w:rPr>
                <w:sz w:val="20"/>
                <w:szCs w:val="20"/>
                <w:color w:val="auto"/>
              </w:rPr>
            </w:pPr>
            <w:r>
              <w:rPr>
                <w:rFonts w:ascii="Arial" w:cs="Arial" w:eastAsia="Arial" w:hAnsi="Arial"/>
                <w:sz w:val="15"/>
                <w:szCs w:val="15"/>
                <w:b w:val="1"/>
                <w:bCs w:val="1"/>
                <w:color w:val="auto"/>
                <w:w w:val="82"/>
              </w:rPr>
              <w:t>Positions</w:t>
            </w:r>
          </w:p>
        </w:tc>
        <w:tc>
          <w:tcPr>
            <w:tcW w:w="380" w:type="dxa"/>
            <w:vAlign w:val="bottom"/>
          </w:tcPr>
          <w:p>
            <w:pPr>
              <w:spacing w:after="0"/>
              <w:rPr>
                <w:sz w:val="13"/>
                <w:szCs w:val="13"/>
                <w:color w:val="auto"/>
              </w:rPr>
            </w:pPr>
          </w:p>
        </w:tc>
        <w:tc>
          <w:tcPr>
            <w:tcW w:w="800" w:type="dxa"/>
            <w:vAlign w:val="bottom"/>
          </w:tcPr>
          <w:p>
            <w:pPr>
              <w:jc w:val="right"/>
              <w:ind w:right="287"/>
              <w:spacing w:after="0" w:line="159" w:lineRule="exact"/>
              <w:rPr>
                <w:sz w:val="20"/>
                <w:szCs w:val="20"/>
                <w:color w:val="auto"/>
              </w:rPr>
            </w:pPr>
            <w:r>
              <w:rPr>
                <w:rFonts w:ascii="Arial" w:cs="Arial" w:eastAsia="Arial" w:hAnsi="Arial"/>
                <w:sz w:val="15"/>
                <w:szCs w:val="15"/>
                <w:b w:val="1"/>
                <w:bCs w:val="1"/>
                <w:color w:val="auto"/>
              </w:rPr>
              <w:t>Fair</w:t>
            </w:r>
          </w:p>
        </w:tc>
        <w:tc>
          <w:tcPr>
            <w:tcW w:w="280" w:type="dxa"/>
            <w:vAlign w:val="bottom"/>
          </w:tcPr>
          <w:p>
            <w:pPr>
              <w:spacing w:after="0"/>
              <w:rPr>
                <w:sz w:val="13"/>
                <w:szCs w:val="13"/>
                <w:color w:val="auto"/>
              </w:rPr>
            </w:pPr>
          </w:p>
        </w:tc>
        <w:tc>
          <w:tcPr>
            <w:tcW w:w="1100" w:type="dxa"/>
            <w:vAlign w:val="bottom"/>
          </w:tcPr>
          <w:p>
            <w:pPr>
              <w:jc w:val="center"/>
              <w:ind w:right="267"/>
              <w:spacing w:after="0" w:line="159" w:lineRule="exact"/>
              <w:rPr>
                <w:sz w:val="20"/>
                <w:szCs w:val="20"/>
                <w:color w:val="auto"/>
              </w:rPr>
            </w:pPr>
            <w:r>
              <w:rPr>
                <w:rFonts w:ascii="Arial" w:cs="Arial" w:eastAsia="Arial" w:hAnsi="Arial"/>
                <w:sz w:val="15"/>
                <w:szCs w:val="15"/>
                <w:b w:val="1"/>
                <w:bCs w:val="1"/>
                <w:color w:val="auto"/>
                <w:w w:val="89"/>
              </w:rPr>
              <w:t>Unrealized</w:t>
            </w:r>
          </w:p>
        </w:tc>
        <w:tc>
          <w:tcPr>
            <w:tcW w:w="90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82"/>
              </w:rPr>
              <w:t>Positions</w:t>
            </w:r>
          </w:p>
        </w:tc>
        <w:tc>
          <w:tcPr>
            <w:tcW w:w="320" w:type="dxa"/>
            <w:vAlign w:val="bottom"/>
          </w:tcPr>
          <w:p>
            <w:pPr>
              <w:spacing w:after="0"/>
              <w:rPr>
                <w:sz w:val="13"/>
                <w:szCs w:val="13"/>
                <w:color w:val="auto"/>
              </w:rPr>
            </w:pPr>
          </w:p>
        </w:tc>
        <w:tc>
          <w:tcPr>
            <w:tcW w:w="920" w:type="dxa"/>
            <w:vAlign w:val="bottom"/>
          </w:tcPr>
          <w:p>
            <w:pPr>
              <w:jc w:val="center"/>
              <w:ind w:right="147"/>
              <w:spacing w:after="0" w:line="159" w:lineRule="exact"/>
              <w:rPr>
                <w:sz w:val="20"/>
                <w:szCs w:val="20"/>
                <w:color w:val="auto"/>
              </w:rPr>
            </w:pPr>
            <w:r>
              <w:rPr>
                <w:rFonts w:ascii="Arial" w:cs="Arial" w:eastAsia="Arial" w:hAnsi="Arial"/>
                <w:sz w:val="15"/>
                <w:szCs w:val="15"/>
                <w:b w:val="1"/>
                <w:bCs w:val="1"/>
                <w:color w:val="auto"/>
                <w:w w:val="94"/>
              </w:rPr>
              <w:t>Fair</w:t>
            </w:r>
          </w:p>
        </w:tc>
        <w:tc>
          <w:tcPr>
            <w:tcW w:w="220" w:type="dxa"/>
            <w:vAlign w:val="bottom"/>
          </w:tcPr>
          <w:p>
            <w:pPr>
              <w:spacing w:after="0"/>
              <w:rPr>
                <w:sz w:val="13"/>
                <w:szCs w:val="13"/>
                <w:color w:val="auto"/>
              </w:rPr>
            </w:pPr>
          </w:p>
        </w:tc>
        <w:tc>
          <w:tcPr>
            <w:tcW w:w="920" w:type="dxa"/>
            <w:vAlign w:val="bottom"/>
          </w:tcPr>
          <w:p>
            <w:pPr>
              <w:jc w:val="right"/>
              <w:ind w:right="147"/>
              <w:spacing w:after="0" w:line="159" w:lineRule="exact"/>
              <w:rPr>
                <w:sz w:val="20"/>
                <w:szCs w:val="20"/>
                <w:color w:val="auto"/>
              </w:rPr>
            </w:pPr>
            <w:r>
              <w:rPr>
                <w:rFonts w:ascii="Arial" w:cs="Arial" w:eastAsia="Arial" w:hAnsi="Arial"/>
                <w:sz w:val="15"/>
                <w:szCs w:val="15"/>
                <w:b w:val="1"/>
                <w:bCs w:val="1"/>
                <w:color w:val="auto"/>
                <w:w w:val="89"/>
              </w:rPr>
              <w:t>Unrealized</w:t>
            </w:r>
          </w:p>
        </w:tc>
      </w:tr>
      <w:tr>
        <w:trPr>
          <w:trHeight w:val="179"/>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rPr>
              <w:t>Value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rPr>
              <w:t>Losses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Value</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7"/>
              <w:spacing w:after="0"/>
              <w:rPr>
                <w:sz w:val="20"/>
                <w:szCs w:val="20"/>
                <w:color w:val="auto"/>
              </w:rPr>
            </w:pPr>
            <w:r>
              <w:rPr>
                <w:rFonts w:ascii="Arial" w:cs="Arial" w:eastAsia="Arial" w:hAnsi="Arial"/>
                <w:sz w:val="15"/>
                <w:szCs w:val="15"/>
                <w:b w:val="1"/>
                <w:bCs w:val="1"/>
                <w:color w:val="auto"/>
                <w:w w:val="81"/>
              </w:rPr>
              <w:t>Losses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Losses</w:t>
            </w:r>
          </w:p>
        </w:tc>
      </w:tr>
      <w:tr>
        <w:trPr>
          <w:trHeight w:val="159"/>
        </w:trPr>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b w:val="1"/>
                <w:bCs w:val="1"/>
                <w:color w:val="auto"/>
              </w:rPr>
              <w:t>Fixed-Maturity Securities:</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Political subdivisions of</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States, Territories and</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Possessions</w:t>
            </w:r>
          </w:p>
        </w:tc>
        <w:tc>
          <w:tcPr>
            <w:tcW w:w="300" w:type="dxa"/>
            <w:vAlign w:val="bottom"/>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59" w:lineRule="exact"/>
              <w:rPr>
                <w:sz w:val="20"/>
                <w:szCs w:val="20"/>
                <w:color w:val="auto"/>
              </w:rPr>
            </w:pPr>
            <w:r>
              <w:rPr>
                <w:rFonts w:ascii="Arial" w:cs="Arial" w:eastAsia="Arial" w:hAnsi="Arial"/>
                <w:sz w:val="15"/>
                <w:szCs w:val="15"/>
                <w:color w:val="auto"/>
              </w:rPr>
              <w:t>1,549,839</w:t>
            </w:r>
          </w:p>
        </w:tc>
        <w:tc>
          <w:tcPr>
            <w:tcW w:w="32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187"/>
              <w:spacing w:after="0" w:line="159" w:lineRule="exact"/>
              <w:rPr>
                <w:sz w:val="20"/>
                <w:szCs w:val="20"/>
                <w:color w:val="auto"/>
              </w:rPr>
            </w:pPr>
            <w:r>
              <w:rPr>
                <w:rFonts w:ascii="Arial" w:cs="Arial" w:eastAsia="Arial" w:hAnsi="Arial"/>
                <w:sz w:val="15"/>
                <w:szCs w:val="15"/>
                <w:color w:val="auto"/>
              </w:rPr>
              <w:t>(30,814)</w:t>
            </w:r>
          </w:p>
        </w:tc>
        <w:tc>
          <w:tcPr>
            <w:tcW w:w="880" w:type="dxa"/>
            <w:vAlign w:val="bottom"/>
          </w:tcPr>
          <w:p>
            <w:pPr>
              <w:jc w:val="center"/>
              <w:spacing w:after="0" w:line="159" w:lineRule="exact"/>
              <w:rPr>
                <w:sz w:val="20"/>
                <w:szCs w:val="20"/>
                <w:color w:val="auto"/>
              </w:rPr>
            </w:pPr>
            <w:r>
              <w:rPr>
                <w:rFonts w:ascii="Arial" w:cs="Arial" w:eastAsia="Arial" w:hAnsi="Arial"/>
                <w:sz w:val="15"/>
                <w:szCs w:val="15"/>
                <w:color w:val="auto"/>
                <w:w w:val="71"/>
              </w:rPr>
              <w:t>4</w:t>
            </w:r>
          </w:p>
        </w:tc>
        <w:tc>
          <w:tcPr>
            <w:tcW w:w="380" w:type="dxa"/>
            <w:vAlign w:val="bottom"/>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28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207"/>
              <w:spacing w:after="0" w:line="159" w:lineRule="exact"/>
              <w:rPr>
                <w:sz w:val="20"/>
                <w:szCs w:val="20"/>
                <w:color w:val="auto"/>
              </w:rPr>
            </w:pPr>
            <w:r>
              <w:rPr>
                <w:rFonts w:ascii="Arial" w:cs="Arial" w:eastAsia="Arial" w:hAnsi="Arial"/>
                <w:sz w:val="15"/>
                <w:szCs w:val="15"/>
                <w:color w:val="auto"/>
              </w:rPr>
              <w:t>-</w:t>
            </w:r>
          </w:p>
        </w:tc>
        <w:tc>
          <w:tcPr>
            <w:tcW w:w="900" w:type="dxa"/>
            <w:vAlign w:val="bottom"/>
          </w:tcPr>
          <w:p>
            <w:pPr>
              <w:jc w:val="center"/>
              <w:spacing w:after="0" w:line="159" w:lineRule="exact"/>
              <w:rPr>
                <w:sz w:val="20"/>
                <w:szCs w:val="20"/>
                <w:color w:val="auto"/>
              </w:rPr>
            </w:pPr>
            <w:r>
              <w:rPr>
                <w:rFonts w:ascii="Arial" w:cs="Arial" w:eastAsia="Arial" w:hAnsi="Arial"/>
                <w:sz w:val="15"/>
                <w:szCs w:val="15"/>
                <w:color w:val="auto"/>
                <w:w w:val="79"/>
              </w:rPr>
              <w:t>-</w:t>
            </w:r>
          </w:p>
        </w:tc>
        <w:tc>
          <w:tcPr>
            <w:tcW w:w="32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47"/>
              <w:spacing w:after="0" w:line="159" w:lineRule="exact"/>
              <w:rPr>
                <w:sz w:val="20"/>
                <w:szCs w:val="20"/>
                <w:color w:val="auto"/>
              </w:rPr>
            </w:pPr>
            <w:r>
              <w:rPr>
                <w:rFonts w:ascii="Arial" w:cs="Arial" w:eastAsia="Arial" w:hAnsi="Arial"/>
                <w:sz w:val="15"/>
                <w:szCs w:val="15"/>
                <w:color w:val="auto"/>
              </w:rPr>
              <w:t>1,549,839</w:t>
            </w:r>
          </w:p>
        </w:tc>
        <w:tc>
          <w:tcPr>
            <w:tcW w:w="22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5"/>
                <w:szCs w:val="15"/>
                <w:color w:val="auto"/>
              </w:rPr>
              <w:t>(30,814)</w:t>
            </w:r>
          </w:p>
        </w:tc>
      </w:tr>
      <w:tr>
        <w:trPr>
          <w:trHeight w:val="159"/>
        </w:trPr>
        <w:tc>
          <w:tcPr>
            <w:tcW w:w="2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Corporate and other</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bonds industrial and</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miscellaneous</w:t>
            </w:r>
          </w:p>
        </w:tc>
        <w:tc>
          <w:tcPr>
            <w:tcW w:w="30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5"/>
                <w:szCs w:val="15"/>
                <w:color w:val="auto"/>
                <w:w w:val="98"/>
              </w:rPr>
              <w:t>15,036,462</w:t>
            </w:r>
          </w:p>
        </w:tc>
        <w:tc>
          <w:tcPr>
            <w:tcW w:w="320" w:type="dxa"/>
            <w:vAlign w:val="bottom"/>
          </w:tcPr>
          <w:p>
            <w:pPr>
              <w:spacing w:after="0"/>
              <w:rPr>
                <w:sz w:val="13"/>
                <w:szCs w:val="13"/>
                <w:color w:val="auto"/>
              </w:rPr>
            </w:pPr>
          </w:p>
        </w:tc>
        <w:tc>
          <w:tcPr>
            <w:tcW w:w="1120" w:type="dxa"/>
            <w:vAlign w:val="bottom"/>
          </w:tcPr>
          <w:p>
            <w:pPr>
              <w:jc w:val="right"/>
              <w:ind w:right="187"/>
              <w:spacing w:after="0" w:line="159" w:lineRule="exact"/>
              <w:rPr>
                <w:sz w:val="20"/>
                <w:szCs w:val="20"/>
                <w:color w:val="auto"/>
              </w:rPr>
            </w:pPr>
            <w:r>
              <w:rPr>
                <w:rFonts w:ascii="Arial" w:cs="Arial" w:eastAsia="Arial" w:hAnsi="Arial"/>
                <w:sz w:val="15"/>
                <w:szCs w:val="15"/>
                <w:color w:val="auto"/>
              </w:rPr>
              <w:t>(269,857)</w:t>
            </w:r>
          </w:p>
        </w:tc>
        <w:tc>
          <w:tcPr>
            <w:tcW w:w="880" w:type="dxa"/>
            <w:vAlign w:val="bottom"/>
          </w:tcPr>
          <w:p>
            <w:pPr>
              <w:jc w:val="center"/>
              <w:spacing w:after="0" w:line="159" w:lineRule="exact"/>
              <w:rPr>
                <w:sz w:val="20"/>
                <w:szCs w:val="20"/>
                <w:color w:val="auto"/>
              </w:rPr>
            </w:pPr>
            <w:r>
              <w:rPr>
                <w:rFonts w:ascii="Arial" w:cs="Arial" w:eastAsia="Arial" w:hAnsi="Arial"/>
                <w:sz w:val="15"/>
                <w:szCs w:val="15"/>
                <w:color w:val="auto"/>
                <w:w w:val="83"/>
              </w:rPr>
              <w:t>20</w:t>
            </w:r>
          </w:p>
        </w:tc>
        <w:tc>
          <w:tcPr>
            <w:tcW w:w="3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5"/>
                <w:szCs w:val="15"/>
                <w:color w:val="auto"/>
              </w:rPr>
              <w:t>9,113,924</w:t>
            </w:r>
          </w:p>
        </w:tc>
        <w:tc>
          <w:tcPr>
            <w:tcW w:w="280" w:type="dxa"/>
            <w:vAlign w:val="bottom"/>
          </w:tcPr>
          <w:p>
            <w:pPr>
              <w:spacing w:after="0"/>
              <w:rPr>
                <w:sz w:val="13"/>
                <w:szCs w:val="13"/>
                <w:color w:val="auto"/>
              </w:rPr>
            </w:pPr>
          </w:p>
        </w:tc>
        <w:tc>
          <w:tcPr>
            <w:tcW w:w="1100" w:type="dxa"/>
            <w:vAlign w:val="bottom"/>
          </w:tcPr>
          <w:p>
            <w:pPr>
              <w:jc w:val="right"/>
              <w:ind w:right="167"/>
              <w:spacing w:after="0" w:line="159" w:lineRule="exact"/>
              <w:rPr>
                <w:sz w:val="20"/>
                <w:szCs w:val="20"/>
                <w:color w:val="auto"/>
              </w:rPr>
            </w:pPr>
            <w:r>
              <w:rPr>
                <w:rFonts w:ascii="Arial" w:cs="Arial" w:eastAsia="Arial" w:hAnsi="Arial"/>
                <w:sz w:val="15"/>
                <w:szCs w:val="15"/>
                <w:color w:val="auto"/>
              </w:rPr>
              <w:t>(340,516)</w:t>
            </w:r>
          </w:p>
        </w:tc>
        <w:tc>
          <w:tcPr>
            <w:tcW w:w="900" w:type="dxa"/>
            <w:vAlign w:val="bottom"/>
          </w:tcPr>
          <w:p>
            <w:pPr>
              <w:jc w:val="center"/>
              <w:spacing w:after="0" w:line="159" w:lineRule="exact"/>
              <w:rPr>
                <w:sz w:val="20"/>
                <w:szCs w:val="20"/>
                <w:color w:val="auto"/>
              </w:rPr>
            </w:pPr>
            <w:r>
              <w:rPr>
                <w:rFonts w:ascii="Arial" w:cs="Arial" w:eastAsia="Arial" w:hAnsi="Arial"/>
                <w:sz w:val="15"/>
                <w:szCs w:val="15"/>
                <w:color w:val="auto"/>
                <w:w w:val="83"/>
              </w:rPr>
              <w:t>17</w:t>
            </w:r>
          </w:p>
        </w:tc>
        <w:tc>
          <w:tcPr>
            <w:tcW w:w="320" w:type="dxa"/>
            <w:vAlign w:val="bottom"/>
          </w:tcPr>
          <w:p>
            <w:pPr>
              <w:spacing w:after="0"/>
              <w:rPr>
                <w:sz w:val="13"/>
                <w:szCs w:val="13"/>
                <w:color w:val="auto"/>
              </w:rPr>
            </w:pPr>
          </w:p>
        </w:tc>
        <w:tc>
          <w:tcPr>
            <w:tcW w:w="920" w:type="dxa"/>
            <w:vAlign w:val="bottom"/>
          </w:tcPr>
          <w:p>
            <w:pPr>
              <w:jc w:val="right"/>
              <w:ind w:right="47"/>
              <w:spacing w:after="0" w:line="159" w:lineRule="exact"/>
              <w:rPr>
                <w:sz w:val="20"/>
                <w:szCs w:val="20"/>
                <w:color w:val="auto"/>
              </w:rPr>
            </w:pPr>
            <w:r>
              <w:rPr>
                <w:rFonts w:ascii="Arial" w:cs="Arial" w:eastAsia="Arial" w:hAnsi="Arial"/>
                <w:sz w:val="15"/>
                <w:szCs w:val="15"/>
                <w:color w:val="auto"/>
              </w:rPr>
              <w:t>24,150,386</w:t>
            </w:r>
          </w:p>
        </w:tc>
        <w:tc>
          <w:tcPr>
            <w:tcW w:w="22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5"/>
                <w:szCs w:val="15"/>
                <w:color w:val="auto"/>
              </w:rPr>
              <w:t>(610,373)</w:t>
            </w:r>
          </w:p>
        </w:tc>
      </w:tr>
      <w:tr>
        <w:trPr>
          <w:trHeight w:val="159"/>
        </w:trPr>
        <w:tc>
          <w:tcPr>
            <w:tcW w:w="2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Residential mortgage and other</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2320" w:type="dxa"/>
            <w:vAlign w:val="bottom"/>
            <w:tcBorders>
              <w:bottom w:val="single" w:sz="8" w:color="CCEEFF"/>
            </w:tcBorders>
            <w:shd w:val="clear" w:color="auto" w:fill="CCEEFF"/>
          </w:tcPr>
          <w:p>
            <w:pPr>
              <w:ind w:left="40"/>
              <w:spacing w:after="0" w:line="159" w:lineRule="exact"/>
              <w:rPr>
                <w:sz w:val="20"/>
                <w:szCs w:val="20"/>
                <w:color w:val="auto"/>
              </w:rPr>
            </w:pPr>
            <w:r>
              <w:rPr>
                <w:rFonts w:ascii="Arial" w:cs="Arial" w:eastAsia="Arial" w:hAnsi="Arial"/>
                <w:sz w:val="15"/>
                <w:szCs w:val="15"/>
                <w:color w:val="auto"/>
              </w:rPr>
              <w:t>asset backed securities</w:t>
            </w:r>
          </w:p>
        </w:tc>
        <w:tc>
          <w:tcPr>
            <w:tcW w:w="3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6,956,371</w:t>
            </w: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(48,482)</w:t>
            </w:r>
          </w:p>
        </w:tc>
        <w:tc>
          <w:tcPr>
            <w:tcW w:w="88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71"/>
              </w:rPr>
              <w:t>6</w:t>
            </w:r>
          </w:p>
        </w:tc>
        <w:tc>
          <w:tcPr>
            <w:tcW w:w="3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7,867,572</w:t>
            </w: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(189,022)</w:t>
            </w:r>
          </w:p>
        </w:tc>
        <w:tc>
          <w:tcPr>
            <w:tcW w:w="90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83"/>
              </w:rPr>
              <w:t>15</w:t>
            </w: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14,823,943</w:t>
            </w: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(237,504)</w:t>
            </w:r>
          </w:p>
        </w:tc>
      </w:tr>
      <w:tr>
        <w:trPr>
          <w:trHeight w:val="159"/>
        </w:trPr>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Total fixed-maturity</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5"/>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securities</w:t>
            </w:r>
          </w:p>
        </w:tc>
        <w:tc>
          <w:tcPr>
            <w:tcW w:w="30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98"/>
              </w:rPr>
              <w:t>23,542,672</w:t>
            </w:r>
          </w:p>
        </w:tc>
        <w:tc>
          <w:tcPr>
            <w:tcW w:w="3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187"/>
              <w:spacing w:after="0" w:line="159" w:lineRule="exact"/>
              <w:rPr>
                <w:sz w:val="20"/>
                <w:szCs w:val="20"/>
                <w:color w:val="auto"/>
              </w:rPr>
            </w:pPr>
            <w:r>
              <w:rPr>
                <w:rFonts w:ascii="Arial" w:cs="Arial" w:eastAsia="Arial" w:hAnsi="Arial"/>
                <w:sz w:val="15"/>
                <w:szCs w:val="15"/>
                <w:color w:val="auto"/>
              </w:rPr>
              <w:t>(349,153)</w:t>
            </w:r>
          </w:p>
        </w:tc>
        <w:tc>
          <w:tcPr>
            <w:tcW w:w="8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color w:val="auto"/>
                <w:w w:val="83"/>
              </w:rPr>
              <w:t>30</w:t>
            </w:r>
          </w:p>
        </w:tc>
        <w:tc>
          <w:tcPr>
            <w:tcW w:w="38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16,981,496</w:t>
            </w:r>
          </w:p>
        </w:tc>
        <w:tc>
          <w:tcPr>
            <w:tcW w:w="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67"/>
              <w:spacing w:after="0" w:line="159" w:lineRule="exact"/>
              <w:rPr>
                <w:sz w:val="20"/>
                <w:szCs w:val="20"/>
                <w:color w:val="auto"/>
              </w:rPr>
            </w:pPr>
            <w:r>
              <w:rPr>
                <w:rFonts w:ascii="Arial" w:cs="Arial" w:eastAsia="Arial" w:hAnsi="Arial"/>
                <w:sz w:val="15"/>
                <w:szCs w:val="15"/>
                <w:color w:val="auto"/>
              </w:rPr>
              <w:t>(529,538)</w:t>
            </w:r>
          </w:p>
        </w:tc>
        <w:tc>
          <w:tcPr>
            <w:tcW w:w="9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color w:val="auto"/>
                <w:w w:val="83"/>
              </w:rPr>
              <w:t>32</w:t>
            </w:r>
          </w:p>
        </w:tc>
        <w:tc>
          <w:tcPr>
            <w:tcW w:w="3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47"/>
              <w:spacing w:after="0" w:line="159" w:lineRule="exact"/>
              <w:rPr>
                <w:sz w:val="20"/>
                <w:szCs w:val="20"/>
                <w:color w:val="auto"/>
              </w:rPr>
            </w:pPr>
            <w:r>
              <w:rPr>
                <w:rFonts w:ascii="Arial" w:cs="Arial" w:eastAsia="Arial" w:hAnsi="Arial"/>
                <w:sz w:val="15"/>
                <w:szCs w:val="15"/>
                <w:color w:val="auto"/>
              </w:rPr>
              <w:t>40,524,168</w:t>
            </w:r>
          </w:p>
        </w:tc>
        <w:tc>
          <w:tcPr>
            <w:tcW w:w="2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(878,691)</w:t>
            </w:r>
          </w:p>
        </w:tc>
      </w:tr>
      <w:tr>
        <w:trPr>
          <w:trHeight w:val="159"/>
        </w:trPr>
        <w:tc>
          <w:tcPr>
            <w:tcW w:w="2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b w:val="1"/>
                <w:bCs w:val="1"/>
                <w:color w:val="auto"/>
              </w:rPr>
              <w:t>Equity Securities:</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Preferred stocks</w:t>
            </w:r>
          </w:p>
        </w:tc>
        <w:tc>
          <w:tcPr>
            <w:tcW w:w="300" w:type="dxa"/>
            <w:vAlign w:val="bottom"/>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1,605,217</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(20,313)</w:t>
            </w:r>
          </w:p>
        </w:tc>
        <w:tc>
          <w:tcPr>
            <w:tcW w:w="88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71"/>
              </w:rPr>
              <w:t>5</w:t>
            </w:r>
          </w:p>
        </w:tc>
        <w:tc>
          <w:tcPr>
            <w:tcW w:w="380" w:type="dxa"/>
            <w:vAlign w:val="bottom"/>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1,776,675</w:t>
            </w: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(120,712)</w:t>
            </w:r>
          </w:p>
        </w:tc>
        <w:tc>
          <w:tcPr>
            <w:tcW w:w="90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95"/>
              </w:rPr>
              <w:t>3</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3,381,892</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(141,025)</w:t>
            </w: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Common stocks and</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2320" w:type="dxa"/>
            <w:vAlign w:val="bottom"/>
            <w:tcBorders>
              <w:bottom w:val="single" w:sz="8" w:color="CCEEFF"/>
            </w:tcBorders>
            <w:shd w:val="clear" w:color="auto" w:fill="CCEEFF"/>
          </w:tcPr>
          <w:p>
            <w:pPr>
              <w:ind w:left="40"/>
              <w:spacing w:after="0" w:line="159" w:lineRule="exact"/>
              <w:rPr>
                <w:sz w:val="20"/>
                <w:szCs w:val="20"/>
                <w:color w:val="auto"/>
              </w:rPr>
            </w:pPr>
            <w:r>
              <w:rPr>
                <w:rFonts w:ascii="Arial" w:cs="Arial" w:eastAsia="Arial" w:hAnsi="Arial"/>
                <w:sz w:val="15"/>
                <w:szCs w:val="15"/>
                <w:color w:val="auto"/>
              </w:rPr>
              <w:t>exchange traded mutual funds</w:t>
            </w:r>
          </w:p>
        </w:tc>
        <w:tc>
          <w:tcPr>
            <w:tcW w:w="3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1,446,375</w:t>
            </w: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(222,205)</w:t>
            </w:r>
          </w:p>
        </w:tc>
        <w:tc>
          <w:tcPr>
            <w:tcW w:w="88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71"/>
              </w:rPr>
              <w:t>4</w:t>
            </w:r>
          </w:p>
        </w:tc>
        <w:tc>
          <w:tcPr>
            <w:tcW w:w="3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124,900</w:t>
            </w: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(14,530)</w:t>
            </w:r>
          </w:p>
        </w:tc>
        <w:tc>
          <w:tcPr>
            <w:tcW w:w="90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95"/>
              </w:rPr>
              <w:t>1</w:t>
            </w: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1,571,275</w:t>
            </w: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(236,735)</w:t>
            </w:r>
          </w:p>
        </w:tc>
      </w:tr>
      <w:tr>
        <w:trPr>
          <w:trHeight w:val="159"/>
        </w:trPr>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2320" w:type="dxa"/>
            <w:vAlign w:val="bottom"/>
            <w:tcBorders>
              <w:bottom w:val="single" w:sz="8" w:color="CCEEFF"/>
            </w:tcBorders>
            <w:shd w:val="clear" w:color="auto" w:fill="CCEEFF"/>
          </w:tcPr>
          <w:p>
            <w:pPr>
              <w:ind w:left="40"/>
              <w:spacing w:after="0" w:line="159" w:lineRule="exact"/>
              <w:rPr>
                <w:sz w:val="20"/>
                <w:szCs w:val="20"/>
                <w:color w:val="auto"/>
              </w:rPr>
            </w:pPr>
            <w:r>
              <w:rPr>
                <w:rFonts w:ascii="Arial" w:cs="Arial" w:eastAsia="Arial" w:hAnsi="Arial"/>
                <w:sz w:val="15"/>
                <w:szCs w:val="15"/>
                <w:color w:val="auto"/>
              </w:rPr>
              <w:t>Total equity securities</w:t>
            </w:r>
          </w:p>
        </w:tc>
        <w:tc>
          <w:tcPr>
            <w:tcW w:w="300" w:type="dxa"/>
            <w:vAlign w:val="bottom"/>
            <w:tcBorders>
              <w:bottom w:val="single" w:sz="8" w:color="auto"/>
            </w:tcBorders>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3,051,592</w:t>
            </w:r>
          </w:p>
        </w:tc>
        <w:tc>
          <w:tcPr>
            <w:tcW w:w="3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(242,518)</w:t>
            </w:r>
          </w:p>
        </w:tc>
        <w:tc>
          <w:tcPr>
            <w:tcW w:w="88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71"/>
              </w:rPr>
              <w:t>9</w:t>
            </w:r>
          </w:p>
        </w:tc>
        <w:tc>
          <w:tcPr>
            <w:tcW w:w="380" w:type="dxa"/>
            <w:vAlign w:val="bottom"/>
            <w:tcBorders>
              <w:bottom w:val="single" w:sz="8" w:color="auto"/>
            </w:tcBorders>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1,901,575</w:t>
            </w:r>
          </w:p>
        </w:tc>
        <w:tc>
          <w:tcPr>
            <w:tcW w:w="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(135,242)</w:t>
            </w:r>
          </w:p>
        </w:tc>
        <w:tc>
          <w:tcPr>
            <w:tcW w:w="90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95"/>
              </w:rPr>
              <w:t>4</w:t>
            </w:r>
          </w:p>
        </w:tc>
        <w:tc>
          <w:tcPr>
            <w:tcW w:w="3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4,953,167</w:t>
            </w:r>
          </w:p>
        </w:tc>
        <w:tc>
          <w:tcPr>
            <w:tcW w:w="2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(377,760)</w:t>
            </w:r>
          </w:p>
        </w:tc>
      </w:tr>
      <w:tr>
        <w:trPr>
          <w:trHeight w:val="159"/>
        </w:trPr>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9"/>
        </w:trPr>
        <w:tc>
          <w:tcPr>
            <w:tcW w:w="2320" w:type="dxa"/>
            <w:vAlign w:val="bottom"/>
            <w:tcBorders>
              <w:bottom w:val="single" w:sz="8" w:color="CCEEFF"/>
            </w:tcBorders>
            <w:shd w:val="clear" w:color="auto" w:fill="CCEEFF"/>
          </w:tcPr>
          <w:p>
            <w:pPr>
              <w:ind w:left="40"/>
              <w:spacing w:after="0" w:line="159" w:lineRule="exact"/>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98"/>
              </w:rPr>
              <w:t>26,594,264</w:t>
            </w:r>
          </w:p>
        </w:tc>
        <w:tc>
          <w:tcPr>
            <w:tcW w:w="3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(591,671)</w:t>
            </w:r>
          </w:p>
        </w:tc>
        <w:tc>
          <w:tcPr>
            <w:tcW w:w="88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83"/>
              </w:rPr>
              <w:t>39</w:t>
            </w:r>
          </w:p>
        </w:tc>
        <w:tc>
          <w:tcPr>
            <w:tcW w:w="380" w:type="dxa"/>
            <w:vAlign w:val="bottom"/>
            <w:tcBorders>
              <w:bottom w:val="single" w:sz="8" w:color="auto"/>
            </w:tcBorders>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95"/>
              </w:rPr>
              <w:t>18,883,071</w:t>
            </w:r>
          </w:p>
        </w:tc>
        <w:tc>
          <w:tcPr>
            <w:tcW w:w="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(664,780)</w:t>
            </w:r>
          </w:p>
        </w:tc>
        <w:tc>
          <w:tcPr>
            <w:tcW w:w="90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83"/>
              </w:rPr>
              <w:t>36</w:t>
            </w:r>
          </w:p>
        </w:tc>
        <w:tc>
          <w:tcPr>
            <w:tcW w:w="3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45,477,335</w:t>
            </w:r>
          </w:p>
        </w:tc>
        <w:tc>
          <w:tcPr>
            <w:tcW w:w="2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(1,256,451)</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Note 4 - Fair Value Measurements</w:t>
      </w: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—Inputs to the valuation methodology are quoted prices (unadjusted) for identical assets or liabilities traded in active markets. Included are those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traded on an active exchange, such as the Nasdaq Global Select Market, U.S. Treasury securities and obligations of U.S. government agencies, together with corporate debt securities that are generally investment grade.</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to the valuation methodology include quoted prices for similar assets or liabilities in active markets,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to the valuation methodology are unobservable for the asset or liability and are significant to the fair value measurement. Material assumptions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69" w:right="179" w:bottom="1440" w:gutter="0" w:footer="0" w:header="0"/>
        </w:sectPr>
      </w:pPr>
    </w:p>
    <w:bookmarkStart w:id="20" w:name="page21"/>
    <w:bookmarkEnd w:id="20"/>
    <w:p>
      <w:pPr>
        <w:spacing w:after="0" w:line="287" w:lineRule="auto"/>
        <w:rPr>
          <w:sz w:val="20"/>
          <w:szCs w:val="20"/>
          <w:color w:val="auto"/>
        </w:rPr>
      </w:pPr>
      <w:r>
        <w:rPr>
          <w:rFonts w:ascii="Arial" w:cs="Arial" w:eastAsia="Arial" w:hAnsi="Arial"/>
          <w:sz w:val="17"/>
          <w:szCs w:val="17"/>
          <w:color w:val="auto"/>
        </w:rPr>
        <w:t>The following table presents information about the Company’s investments that are measured at fair value on a recurring basis at September 30, 2018 and December 31, 2017 indicating the fair value hierarchy of the valuation inputs the Company utilized to determine such fair value: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2"/>
          </w:tcPr>
          <w:p>
            <w:pPr>
              <w:jc w:val="right"/>
              <w:ind w:right="378"/>
              <w:spacing w:after="0"/>
              <w:rPr>
                <w:sz w:val="20"/>
                <w:szCs w:val="20"/>
                <w:color w:val="auto"/>
              </w:rPr>
            </w:pPr>
            <w:r>
              <w:rPr>
                <w:rFonts w:ascii="Arial" w:cs="Arial" w:eastAsia="Arial" w:hAnsi="Arial"/>
                <w:sz w:val="15"/>
                <w:szCs w:val="15"/>
                <w:b w:val="1"/>
                <w:bCs w:val="1"/>
                <w:color w:val="auto"/>
              </w:rPr>
              <w:t>September 30, 2018</w:t>
            </w: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65"/>
        </w:trPr>
        <w:tc>
          <w:tcPr>
            <w:tcW w:w="4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6"/>
              <w:spacing w:after="0" w:line="159" w:lineRule="exact"/>
              <w:rPr>
                <w:sz w:val="20"/>
                <w:szCs w:val="20"/>
                <w:color w:val="auto"/>
              </w:rPr>
            </w:pPr>
            <w:r>
              <w:rPr>
                <w:rFonts w:ascii="Arial" w:cs="Arial" w:eastAsia="Arial" w:hAnsi="Arial"/>
                <w:sz w:val="15"/>
                <w:szCs w:val="15"/>
                <w:b w:val="1"/>
                <w:bCs w:val="1"/>
                <w:color w:val="auto"/>
              </w:rPr>
              <w:t>Level 1</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7"/>
              <w:spacing w:after="0" w:line="159" w:lineRule="exact"/>
              <w:rPr>
                <w:sz w:val="20"/>
                <w:szCs w:val="20"/>
                <w:color w:val="auto"/>
              </w:rPr>
            </w:pPr>
            <w:r>
              <w:rPr>
                <w:rFonts w:ascii="Arial" w:cs="Arial" w:eastAsia="Arial" w:hAnsi="Arial"/>
                <w:sz w:val="15"/>
                <w:szCs w:val="15"/>
                <w:b w:val="1"/>
                <w:bCs w:val="1"/>
                <w:color w:val="auto"/>
              </w:rPr>
              <w:t>Level 2</w:t>
            </w:r>
          </w:p>
        </w:tc>
        <w:tc>
          <w:tcPr>
            <w:tcW w:w="1060" w:type="dxa"/>
            <w:vAlign w:val="bottom"/>
            <w:tcBorders>
              <w:bottom w:val="single" w:sz="8" w:color="auto"/>
            </w:tcBorders>
          </w:tcPr>
          <w:p>
            <w:pPr>
              <w:jc w:val="right"/>
              <w:ind w:right="38"/>
              <w:spacing w:after="0" w:line="159" w:lineRule="exact"/>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6"/>
              <w:spacing w:after="0" w:line="159" w:lineRule="exact"/>
              <w:rPr>
                <w:sz w:val="20"/>
                <w:szCs w:val="20"/>
                <w:color w:val="auto"/>
              </w:rPr>
            </w:pPr>
            <w:r>
              <w:rPr>
                <w:rFonts w:ascii="Arial" w:cs="Arial" w:eastAsia="Arial" w:hAnsi="Arial"/>
                <w:sz w:val="15"/>
                <w:szCs w:val="15"/>
                <w:b w:val="1"/>
                <w:bCs w:val="1"/>
                <w:color w:val="auto"/>
              </w:rPr>
              <w:t>Total</w:t>
            </w:r>
          </w:p>
        </w:tc>
      </w:tr>
      <w:tr>
        <w:trPr>
          <w:trHeight w:val="238"/>
        </w:trPr>
        <w:tc>
          <w:tcPr>
            <w:tcW w:w="4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8"/>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Fixed-maturity securities available-for-sale</w:t>
            </w: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0"/>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obligations of U.S.</w:t>
            </w: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3"/>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8,139,737</w:t>
            </w:r>
          </w:p>
        </w:tc>
        <w:tc>
          <w:tcPr>
            <w:tcW w:w="3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58"/>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8,139,737</w:t>
            </w:r>
          </w:p>
        </w:tc>
      </w:tr>
      <w:tr>
        <w:trPr>
          <w:trHeight w:val="212"/>
        </w:trPr>
        <w:tc>
          <w:tcPr>
            <w:tcW w:w="4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2"/>
        </w:trPr>
        <w:tc>
          <w:tcPr>
            <w:tcW w:w="476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6,457,771</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6,457,771</w:t>
            </w:r>
          </w:p>
        </w:tc>
      </w:tr>
      <w:tr>
        <w:trPr>
          <w:trHeight w:val="212"/>
        </w:trPr>
        <w:tc>
          <w:tcPr>
            <w:tcW w:w="4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2"/>
        </w:trPr>
        <w:tc>
          <w:tcPr>
            <w:tcW w:w="476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7"/>
              </w:rPr>
              <w:t>100,090,703</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3,674,031</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5"/>
              </w:rPr>
              <w:t>103,764,734</w:t>
            </w:r>
          </w:p>
        </w:tc>
      </w:tr>
      <w:tr>
        <w:trPr>
          <w:trHeight w:val="212"/>
        </w:trPr>
        <w:tc>
          <w:tcPr>
            <w:tcW w:w="4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mortgage and other asset backed securities</w:t>
            </w:r>
          </w:p>
        </w:tc>
        <w:tc>
          <w:tcPr>
            <w:tcW w:w="1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22,998,293</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22,998,293</w:t>
            </w:r>
          </w:p>
        </w:tc>
      </w:tr>
      <w:tr>
        <w:trPr>
          <w:trHeight w:val="212"/>
        </w:trPr>
        <w:tc>
          <w:tcPr>
            <w:tcW w:w="4760" w:type="dxa"/>
            <w:vAlign w:val="bottom"/>
          </w:tcPr>
          <w:p>
            <w:pPr>
              <w:ind w:left="40"/>
              <w:spacing w:after="0"/>
              <w:rPr>
                <w:sz w:val="20"/>
                <w:szCs w:val="20"/>
                <w:color w:val="auto"/>
              </w:rPr>
            </w:pPr>
            <w:r>
              <w:rPr>
                <w:rFonts w:ascii="Arial" w:cs="Arial" w:eastAsia="Arial" w:hAnsi="Arial"/>
                <w:sz w:val="17"/>
                <w:szCs w:val="17"/>
                <w:color w:val="auto"/>
              </w:rPr>
              <w:t>Total fixed maturities</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w w:val="97"/>
              </w:rPr>
              <w:t>108,230,440</w:t>
            </w:r>
          </w:p>
        </w:tc>
        <w:tc>
          <w:tcPr>
            <w:tcW w:w="36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33,130,095</w:t>
            </w:r>
          </w:p>
        </w:tc>
        <w:tc>
          <w:tcPr>
            <w:tcW w:w="1060" w:type="dxa"/>
            <w:vAlign w:val="bottom"/>
          </w:tcPr>
          <w:p>
            <w:pPr>
              <w:spacing w:after="0"/>
              <w:rPr>
                <w:sz w:val="18"/>
                <w:szCs w:val="18"/>
                <w:color w:val="auto"/>
              </w:rPr>
            </w:pP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w w:val="95"/>
              </w:rPr>
              <w:t>141,360,535</w:t>
            </w:r>
          </w:p>
        </w:tc>
      </w:tr>
      <w:tr>
        <w:trPr>
          <w:trHeight w:val="218"/>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1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18,876,690</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18,876,690</w:t>
            </w:r>
          </w:p>
        </w:tc>
      </w:tr>
      <w:tr>
        <w:trPr>
          <w:trHeight w:val="212"/>
        </w:trPr>
        <w:tc>
          <w:tcPr>
            <w:tcW w:w="4760" w:type="dxa"/>
            <w:vAlign w:val="bottom"/>
          </w:tcPr>
          <w:p>
            <w:pPr>
              <w:ind w:left="40"/>
              <w:spacing w:after="0"/>
              <w:rPr>
                <w:sz w:val="20"/>
                <w:szCs w:val="20"/>
                <w:color w:val="auto"/>
              </w:rPr>
            </w:pPr>
            <w:r>
              <w:rPr>
                <w:rFonts w:ascii="Arial" w:cs="Arial" w:eastAsia="Arial" w:hAnsi="Arial"/>
                <w:sz w:val="17"/>
                <w:szCs w:val="17"/>
                <w:b w:val="1"/>
                <w:bCs w:val="1"/>
                <w:color w:val="auto"/>
              </w:rPr>
              <w:t>Total investments</w:t>
            </w: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6"/>
              <w:spacing w:after="0"/>
              <w:rPr>
                <w:sz w:val="20"/>
                <w:szCs w:val="20"/>
                <w:color w:val="auto"/>
              </w:rPr>
            </w:pPr>
            <w:r>
              <w:rPr>
                <w:rFonts w:ascii="Arial" w:cs="Arial" w:eastAsia="Arial" w:hAnsi="Arial"/>
                <w:sz w:val="17"/>
                <w:szCs w:val="17"/>
                <w:color w:val="auto"/>
                <w:w w:val="97"/>
              </w:rPr>
              <w:t>127,107,130</w:t>
            </w:r>
          </w:p>
        </w:tc>
        <w:tc>
          <w:tcPr>
            <w:tcW w:w="3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33,130,095</w:t>
            </w:r>
          </w:p>
        </w:tc>
        <w:tc>
          <w:tcPr>
            <w:tcW w:w="1060" w:type="dxa"/>
            <w:vAlign w:val="bottom"/>
          </w:tcPr>
          <w:p>
            <w:pPr>
              <w:jc w:val="right"/>
              <w:ind w:right="758"/>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w w:val="95"/>
              </w:rPr>
              <w:t>160,237,225</w:t>
            </w:r>
          </w:p>
        </w:tc>
      </w:tr>
      <w:tr>
        <w:trPr>
          <w:trHeight w:val="20"/>
        </w:trPr>
        <w:tc>
          <w:tcPr>
            <w:tcW w:w="4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582"/>
        </w:trPr>
        <w:tc>
          <w:tcPr>
            <w:tcW w:w="4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398"/>
              <w:spacing w:after="0"/>
              <w:rPr>
                <w:sz w:val="20"/>
                <w:szCs w:val="20"/>
                <w:color w:val="auto"/>
              </w:rPr>
            </w:pPr>
            <w:r>
              <w:rPr>
                <w:rFonts w:ascii="Arial" w:cs="Arial" w:eastAsia="Arial" w:hAnsi="Arial"/>
                <w:sz w:val="15"/>
                <w:szCs w:val="15"/>
                <w:b w:val="1"/>
                <w:bCs w:val="1"/>
                <w:color w:val="auto"/>
              </w:rPr>
              <w:t>December 31, 2017</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65"/>
        </w:trPr>
        <w:tc>
          <w:tcPr>
            <w:tcW w:w="4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6"/>
              <w:spacing w:after="0" w:line="159" w:lineRule="exact"/>
              <w:rPr>
                <w:sz w:val="20"/>
                <w:szCs w:val="20"/>
                <w:color w:val="auto"/>
              </w:rPr>
            </w:pPr>
            <w:r>
              <w:rPr>
                <w:rFonts w:ascii="Arial" w:cs="Arial" w:eastAsia="Arial" w:hAnsi="Arial"/>
                <w:sz w:val="15"/>
                <w:szCs w:val="15"/>
                <w:b w:val="1"/>
                <w:bCs w:val="1"/>
                <w:color w:val="auto"/>
              </w:rPr>
              <w:t>Level 1</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7"/>
              <w:spacing w:after="0" w:line="159" w:lineRule="exact"/>
              <w:rPr>
                <w:sz w:val="20"/>
                <w:szCs w:val="20"/>
                <w:color w:val="auto"/>
              </w:rPr>
            </w:pPr>
            <w:r>
              <w:rPr>
                <w:rFonts w:ascii="Arial" w:cs="Arial" w:eastAsia="Arial" w:hAnsi="Arial"/>
                <w:sz w:val="15"/>
                <w:szCs w:val="15"/>
                <w:b w:val="1"/>
                <w:bCs w:val="1"/>
                <w:color w:val="auto"/>
              </w:rPr>
              <w:t>Level 2</w:t>
            </w:r>
          </w:p>
        </w:tc>
        <w:tc>
          <w:tcPr>
            <w:tcW w:w="1060" w:type="dxa"/>
            <w:vAlign w:val="bottom"/>
            <w:tcBorders>
              <w:bottom w:val="single" w:sz="8" w:color="auto"/>
            </w:tcBorders>
          </w:tcPr>
          <w:p>
            <w:pPr>
              <w:jc w:val="right"/>
              <w:ind w:right="38"/>
              <w:spacing w:after="0" w:line="159" w:lineRule="exact"/>
              <w:rPr>
                <w:sz w:val="20"/>
                <w:szCs w:val="20"/>
                <w:color w:val="auto"/>
              </w:rPr>
            </w:pPr>
            <w:r>
              <w:rPr>
                <w:rFonts w:ascii="Arial" w:cs="Arial" w:eastAsia="Arial" w:hAnsi="Arial"/>
                <w:sz w:val="15"/>
                <w:szCs w:val="15"/>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6"/>
              <w:spacing w:after="0" w:line="159" w:lineRule="exact"/>
              <w:rPr>
                <w:sz w:val="20"/>
                <w:szCs w:val="20"/>
                <w:color w:val="auto"/>
              </w:rPr>
            </w:pPr>
            <w:r>
              <w:rPr>
                <w:rFonts w:ascii="Arial" w:cs="Arial" w:eastAsia="Arial" w:hAnsi="Arial"/>
                <w:sz w:val="15"/>
                <w:szCs w:val="15"/>
                <w:b w:val="1"/>
                <w:bCs w:val="1"/>
                <w:color w:val="auto"/>
              </w:rPr>
              <w:t>Total</w:t>
            </w:r>
          </w:p>
        </w:tc>
      </w:tr>
      <w:tr>
        <w:trPr>
          <w:trHeight w:val="238"/>
        </w:trPr>
        <w:tc>
          <w:tcPr>
            <w:tcW w:w="4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8"/>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Fixed-maturity securities available-for-sale</w:t>
            </w: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7"/>
                <w:szCs w:val="17"/>
                <w:color w:val="auto"/>
              </w:rPr>
              <w:t>Political subdivisions of</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0"/>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States, Territories and</w:t>
            </w: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2"/>
        </w:trPr>
        <w:tc>
          <w:tcPr>
            <w:tcW w:w="4760" w:type="dxa"/>
            <w:vAlign w:val="bottom"/>
          </w:tcPr>
          <w:p>
            <w:pPr>
              <w:ind w:left="40"/>
              <w:spacing w:after="0"/>
              <w:rPr>
                <w:sz w:val="20"/>
                <w:szCs w:val="20"/>
                <w:color w:val="auto"/>
              </w:rPr>
            </w:pPr>
            <w:r>
              <w:rPr>
                <w:rFonts w:ascii="Arial" w:cs="Arial" w:eastAsia="Arial" w:hAnsi="Arial"/>
                <w:sz w:val="17"/>
                <w:szCs w:val="17"/>
                <w:color w:val="auto"/>
              </w:rPr>
              <w:t>Possessions</w:t>
            </w: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11,315,443</w:t>
            </w:r>
          </w:p>
        </w:tc>
        <w:tc>
          <w:tcPr>
            <w:tcW w:w="1060" w:type="dxa"/>
            <w:vAlign w:val="bottom"/>
          </w:tcPr>
          <w:p>
            <w:pPr>
              <w:jc w:val="right"/>
              <w:ind w:right="758"/>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11,315,443</w:t>
            </w:r>
          </w:p>
        </w:tc>
      </w:tr>
      <w:tr>
        <w:trPr>
          <w:trHeight w:val="212"/>
        </w:trPr>
        <w:tc>
          <w:tcPr>
            <w:tcW w:w="4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2"/>
        </w:trPr>
        <w:tc>
          <w:tcPr>
            <w:tcW w:w="4760" w:type="dxa"/>
            <w:vAlign w:val="bottom"/>
          </w:tcPr>
          <w:p>
            <w:pPr>
              <w:ind w:left="40"/>
              <w:spacing w:after="0"/>
              <w:rPr>
                <w:sz w:val="20"/>
                <w:szCs w:val="20"/>
                <w:color w:val="auto"/>
              </w:rPr>
            </w:pPr>
            <w:r>
              <w:rPr>
                <w:rFonts w:ascii="Arial" w:cs="Arial" w:eastAsia="Arial" w:hAnsi="Arial"/>
                <w:sz w:val="17"/>
                <w:szCs w:val="17"/>
                <w:color w:val="auto"/>
              </w:rPr>
              <w:t>Corporate and other</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bonds industrial and</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2"/>
        </w:trPr>
        <w:tc>
          <w:tcPr>
            <w:tcW w:w="4760" w:type="dxa"/>
            <w:vAlign w:val="bottom"/>
          </w:tcPr>
          <w:p>
            <w:pPr>
              <w:ind w:left="40"/>
              <w:spacing w:after="0"/>
              <w:rPr>
                <w:sz w:val="20"/>
                <w:szCs w:val="20"/>
                <w:color w:val="auto"/>
              </w:rPr>
            </w:pPr>
            <w:r>
              <w:rPr>
                <w:rFonts w:ascii="Arial" w:cs="Arial" w:eastAsia="Arial" w:hAnsi="Arial"/>
                <w:sz w:val="17"/>
                <w:szCs w:val="17"/>
                <w:color w:val="auto"/>
              </w:rPr>
              <w:t>miscellaneous</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83,597,300</w:t>
            </w:r>
          </w:p>
        </w:tc>
        <w:tc>
          <w:tcPr>
            <w:tcW w:w="36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4,544,165</w:t>
            </w:r>
          </w:p>
        </w:tc>
        <w:tc>
          <w:tcPr>
            <w:tcW w:w="1060" w:type="dxa"/>
            <w:vAlign w:val="bottom"/>
          </w:tcPr>
          <w:p>
            <w:pPr>
              <w:spacing w:after="0"/>
              <w:rPr>
                <w:sz w:val="18"/>
                <w:szCs w:val="18"/>
                <w:color w:val="auto"/>
              </w:rPr>
            </w:pP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88,141,465</w:t>
            </w:r>
          </w:p>
        </w:tc>
      </w:tr>
      <w:tr>
        <w:trPr>
          <w:trHeight w:val="212"/>
        </w:trPr>
        <w:tc>
          <w:tcPr>
            <w:tcW w:w="4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8"/>
        </w:trPr>
        <w:tc>
          <w:tcPr>
            <w:tcW w:w="4760" w:type="dxa"/>
            <w:vAlign w:val="bottom"/>
          </w:tcPr>
          <w:p>
            <w:pPr>
              <w:ind w:left="40"/>
              <w:spacing w:after="0"/>
              <w:rPr>
                <w:sz w:val="20"/>
                <w:szCs w:val="20"/>
                <w:color w:val="auto"/>
              </w:rPr>
            </w:pPr>
            <w:r>
              <w:rPr>
                <w:rFonts w:ascii="Arial" w:cs="Arial" w:eastAsia="Arial" w:hAnsi="Arial"/>
                <w:sz w:val="17"/>
                <w:szCs w:val="17"/>
                <w:color w:val="auto"/>
              </w:rPr>
              <w:t>Residential mortgage and other asset backed securities</w:t>
            </w:r>
          </w:p>
        </w:tc>
        <w:tc>
          <w:tcPr>
            <w:tcW w:w="1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20,531,348</w:t>
            </w: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20,531,348</w:t>
            </w:r>
          </w:p>
        </w:tc>
      </w:tr>
      <w:tr>
        <w:trPr>
          <w:trHeight w:val="212"/>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fixed maturities</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83,597,300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36,390,956</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5"/>
              </w:rPr>
              <w:t>119,988,256</w:t>
            </w:r>
          </w:p>
        </w:tc>
      </w:tr>
      <w:tr>
        <w:trPr>
          <w:trHeight w:val="218"/>
        </w:trPr>
        <w:tc>
          <w:tcPr>
            <w:tcW w:w="476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1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14,286,198</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14,286,198</w:t>
            </w:r>
          </w:p>
        </w:tc>
      </w:tr>
      <w:tr>
        <w:trPr>
          <w:trHeight w:val="252"/>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Total investments</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97,883,498</w:t>
            </w:r>
          </w:p>
        </w:tc>
        <w:tc>
          <w:tcPr>
            <w:tcW w:w="3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36,390,956</w:t>
            </w:r>
          </w:p>
        </w:tc>
        <w:tc>
          <w:tcPr>
            <w:tcW w:w="1060" w:type="dxa"/>
            <w:vAlign w:val="bottom"/>
            <w:shd w:val="clear" w:color="auto" w:fill="CCEEFF"/>
          </w:tcPr>
          <w:p>
            <w:pPr>
              <w:jc w:val="right"/>
              <w:ind w:right="758"/>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5"/>
              </w:rPr>
              <w:t>134,274,454</w:t>
            </w:r>
          </w:p>
        </w:tc>
      </w:tr>
      <w:tr>
        <w:trPr>
          <w:trHeight w:val="839"/>
        </w:trPr>
        <w:tc>
          <w:tcPr>
            <w:tcW w:w="476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jc w:val="right"/>
              <w:ind w:right="54"/>
              <w:spacing w:after="0"/>
              <w:rPr>
                <w:sz w:val="20"/>
                <w:szCs w:val="20"/>
                <w:color w:val="auto"/>
              </w:rPr>
            </w:pPr>
            <w:r>
              <w:rPr>
                <w:rFonts w:ascii="Arial" w:cs="Arial" w:eastAsia="Arial" w:hAnsi="Arial"/>
                <w:sz w:val="17"/>
                <w:szCs w:val="17"/>
                <w:color w:val="auto"/>
              </w:rPr>
              <w:t>19</w:t>
            </w:r>
          </w:p>
        </w:tc>
        <w:tc>
          <w:tcPr>
            <w:tcW w:w="3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560"/>
          </w:cols>
          <w:pgMar w:left="160" w:top="475" w:right="17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7"/>
          <w:szCs w:val="17"/>
          <w:color w:val="auto"/>
        </w:rPr>
        <w:t>Pursuant to ASC 820 “Fair Value Measurement,” an entity is permitted, as a practical expedient, to estimate the fair value of an investment within the scope of ASC 820 using the net asset value (“NAV”) per share (or its equivalent) of the investment. The following table sets forth the Company’s investment in a hedge fund investment measured at NAV per share (or its equivalent) as of September 30, 2018 and December 31, 2017. The Company measures this investment at fair value on a recurring basis. Fair value using NAV per share is as follows as of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4"/>
                <w:szCs w:val="14"/>
                <w:color w:val="auto"/>
              </w:rPr>
            </w:pPr>
          </w:p>
        </w:tc>
        <w:tc>
          <w:tcPr>
            <w:tcW w:w="1120" w:type="dxa"/>
            <w:vAlign w:val="bottom"/>
          </w:tcPr>
          <w:p>
            <w:pPr>
              <w:jc w:val="right"/>
              <w:ind w:right="181"/>
              <w:spacing w:after="0"/>
              <w:rPr>
                <w:sz w:val="20"/>
                <w:szCs w:val="20"/>
                <w:color w:val="auto"/>
              </w:rPr>
            </w:pPr>
            <w:r>
              <w:rPr>
                <w:rFonts w:ascii="Arial" w:cs="Arial" w:eastAsia="Arial" w:hAnsi="Arial"/>
                <w:sz w:val="15"/>
                <w:szCs w:val="15"/>
                <w:b w:val="1"/>
                <w:bCs w:val="1"/>
                <w:color w:val="auto"/>
                <w:w w:val="86"/>
              </w:rPr>
              <w:t>December 31,</w:t>
            </w:r>
          </w:p>
        </w:tc>
      </w:tr>
      <w:tr>
        <w:trPr>
          <w:trHeight w:val="179"/>
        </w:trPr>
        <w:tc>
          <w:tcPr>
            <w:tcW w:w="88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5"/>
                <w:szCs w:val="15"/>
                <w:b w:val="1"/>
                <w:bCs w:val="1"/>
                <w:color w:val="auto"/>
              </w:rPr>
              <w:t>2017</w:t>
            </w:r>
          </w:p>
        </w:tc>
      </w:tr>
      <w:tr>
        <w:trPr>
          <w:trHeight w:val="475"/>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Other Investments: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Hedge fund</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2,241,444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2,241,444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investment is generally redeemable with at least 45 days prior written notice. The hedge fund investment is accounted for as a limited partnership by the Company. Revenue is earned based upon the Company’s allocated share of the partnership's changes in unrealized gains and losses to its partners. Such amounts have been recorded in the condensed consolidated statements of income and comprehensive income within net gains (losses) on investments.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Fair Value of Financial Instruments and Real Estate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the following methods and assumptions in estimating the fair value of financial instruments and real estate:</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 xml:space="preserve">Equity securities, available-for-sale fixed income securities, and other investments: </w:t>
      </w:r>
      <w:r>
        <w:rPr>
          <w:rFonts w:ascii="Arial" w:cs="Arial" w:eastAsia="Arial" w:hAnsi="Arial"/>
          <w:sz w:val="17"/>
          <w:szCs w:val="17"/>
          <w:color w:val="auto"/>
        </w:rPr>
        <w:t>Fair value disclosures for these investments are included in “Note 3 -</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and “Note 4 – Fair Value Measurements”.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 xml:space="preserve">Premiums receivable, reinsurance receivables, and investment subscription receivable: </w:t>
      </w:r>
      <w:r>
        <w:rPr>
          <w:rFonts w:ascii="Arial" w:cs="Arial" w:eastAsia="Arial" w:hAnsi="Arial"/>
          <w:sz w:val="17"/>
          <w:szCs w:val="17"/>
          <w:color w:val="auto"/>
        </w:rPr>
        <w:t>The carrying values reported in the condensed consolidated balance sheets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these financial instruments approximate their fair values due to the short-term nature of the assets.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Real estate: </w:t>
      </w:r>
      <w:r>
        <w:rPr>
          <w:rFonts w:ascii="Arial" w:cs="Arial" w:eastAsia="Arial" w:hAnsi="Arial"/>
          <w:sz w:val="15"/>
          <w:szCs w:val="15"/>
          <w:color w:val="auto"/>
        </w:rPr>
        <w:t>The fair value of the land and building included in property and equipment, which is used in the Company’s operations, approximates the carrying value.</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was based on an appraisal prepared using the sales comparison approach, and accordingly the real estate is a Level 3 asset under the fair value hierarchy.</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Reinsurance balances payable: </w:t>
      </w:r>
      <w:r>
        <w:rPr>
          <w:rFonts w:ascii="Arial" w:cs="Arial" w:eastAsia="Arial" w:hAnsi="Arial"/>
          <w:sz w:val="15"/>
          <w:szCs w:val="15"/>
          <w:color w:val="auto"/>
        </w:rPr>
        <w:t>The carrying value reported in the condensed consolidated balance sheets for these financial instruments approximates fair value.</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Long-term debt: </w:t>
      </w:r>
      <w:r>
        <w:rPr>
          <w:rFonts w:ascii="Arial" w:cs="Arial" w:eastAsia="Arial" w:hAnsi="Arial"/>
          <w:sz w:val="17"/>
          <w:szCs w:val="17"/>
          <w:color w:val="auto"/>
        </w:rPr>
        <w:t>The carrying value reported in the condensed consolidated balance sheets for these financial instruments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The estimated fair values of the Company’s financial instruments and real estate as of September 30, 2018 and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2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5"/>
                <w:szCs w:val="15"/>
                <w:b w:val="1"/>
                <w:bCs w:val="1"/>
                <w:color w:val="auto"/>
              </w:rPr>
              <w:t>September 30, 2018</w:t>
            </w: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5"/>
                <w:szCs w:val="15"/>
                <w:b w:val="1"/>
                <w:bCs w:val="1"/>
                <w:color w:val="auto"/>
              </w:rPr>
              <w:t>December 31, 2017</w:t>
            </w:r>
          </w:p>
        </w:tc>
      </w:tr>
      <w:tr>
        <w:trPr>
          <w:trHeight w:val="165"/>
        </w:trPr>
        <w:tc>
          <w:tcPr>
            <w:tcW w:w="1240" w:type="dxa"/>
            <w:vAlign w:val="bottom"/>
            <w:tcBorders>
              <w:bottom w:val="single" w:sz="8" w:color="auto"/>
            </w:tcBorders>
          </w:tcPr>
          <w:p>
            <w:pPr>
              <w:spacing w:after="0"/>
              <w:rPr>
                <w:sz w:val="14"/>
                <w:szCs w:val="14"/>
                <w:color w:val="auto"/>
              </w:rPr>
            </w:pPr>
          </w:p>
        </w:tc>
        <w:tc>
          <w:tcPr>
            <w:tcW w:w="4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155"/>
              <w:spacing w:after="0" w:line="159" w:lineRule="exact"/>
              <w:rPr>
                <w:sz w:val="20"/>
                <w:szCs w:val="20"/>
                <w:color w:val="auto"/>
              </w:rPr>
            </w:pPr>
            <w:r>
              <w:rPr>
                <w:rFonts w:ascii="Arial" w:cs="Arial" w:eastAsia="Arial" w:hAnsi="Arial"/>
                <w:sz w:val="15"/>
                <w:szCs w:val="15"/>
                <w:b w:val="1"/>
                <w:bCs w:val="1"/>
                <w:color w:val="auto"/>
              </w:rPr>
              <w:t>Carrying Value</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95"/>
              <w:spacing w:after="0" w:line="159" w:lineRule="exact"/>
              <w:rPr>
                <w:sz w:val="20"/>
                <w:szCs w:val="20"/>
                <w:color w:val="auto"/>
              </w:rPr>
            </w:pPr>
            <w:r>
              <w:rPr>
                <w:rFonts w:ascii="Arial" w:cs="Arial" w:eastAsia="Arial" w:hAnsi="Arial"/>
                <w:sz w:val="15"/>
                <w:szCs w:val="15"/>
                <w:b w:val="1"/>
                <w:bCs w:val="1"/>
                <w:color w:val="auto"/>
              </w:rPr>
              <w:t>Fair Value</w:t>
            </w:r>
          </w:p>
        </w:tc>
        <w:tc>
          <w:tcPr>
            <w:tcW w:w="1400" w:type="dxa"/>
            <w:vAlign w:val="bottom"/>
            <w:tcBorders>
              <w:bottom w:val="single" w:sz="8" w:color="auto"/>
            </w:tcBorders>
            <w:gridSpan w:val="2"/>
          </w:tcPr>
          <w:p>
            <w:pPr>
              <w:jc w:val="right"/>
              <w:ind w:right="155"/>
              <w:spacing w:after="0" w:line="159" w:lineRule="exact"/>
              <w:rPr>
                <w:sz w:val="20"/>
                <w:szCs w:val="20"/>
                <w:color w:val="auto"/>
              </w:rPr>
            </w:pPr>
            <w:r>
              <w:rPr>
                <w:rFonts w:ascii="Arial" w:cs="Arial" w:eastAsia="Arial" w:hAnsi="Arial"/>
                <w:sz w:val="15"/>
                <w:szCs w:val="15"/>
                <w:b w:val="1"/>
                <w:bCs w:val="1"/>
                <w:color w:val="auto"/>
              </w:rPr>
              <w:t>Carrying Value</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75"/>
              <w:spacing w:after="0" w:line="159" w:lineRule="exact"/>
              <w:rPr>
                <w:sz w:val="20"/>
                <w:szCs w:val="20"/>
                <w:color w:val="auto"/>
              </w:rPr>
            </w:pPr>
            <w:r>
              <w:rPr>
                <w:rFonts w:ascii="Arial" w:cs="Arial" w:eastAsia="Arial" w:hAnsi="Arial"/>
                <w:sz w:val="15"/>
                <w:szCs w:val="15"/>
                <w:b w:val="1"/>
                <w:bCs w:val="1"/>
                <w:color w:val="auto"/>
                <w:w w:val="97"/>
              </w:rPr>
              <w:t>Fair Value</w:t>
            </w:r>
          </w:p>
        </w:tc>
      </w:tr>
      <w:tr>
        <w:trPr>
          <w:trHeight w:val="238"/>
        </w:trPr>
        <w:tc>
          <w:tcPr>
            <w:tcW w:w="1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2"/>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Fixed-maturity securities-held-to maturity</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4,222,352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4,410,764</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4,869,808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5,150,076</w:t>
            </w:r>
          </w:p>
        </w:tc>
      </w:tr>
      <w:tr>
        <w:trPr>
          <w:trHeight w:val="212"/>
        </w:trPr>
        <w:tc>
          <w:tcPr>
            <w:tcW w:w="6020" w:type="dxa"/>
            <w:vAlign w:val="bottom"/>
            <w:gridSpan w:val="2"/>
          </w:tcPr>
          <w:p>
            <w:pPr>
              <w:ind w:left="40"/>
              <w:spacing w:after="0"/>
              <w:rPr>
                <w:sz w:val="20"/>
                <w:szCs w:val="20"/>
                <w:color w:val="auto"/>
              </w:rPr>
            </w:pPr>
            <w:r>
              <w:rPr>
                <w:rFonts w:ascii="Arial" w:cs="Arial" w:eastAsia="Arial" w:hAnsi="Arial"/>
                <w:sz w:val="17"/>
                <w:szCs w:val="17"/>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29,893,676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29,893,676</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48,381,633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48,381,633</w:t>
            </w:r>
          </w:p>
        </w:tc>
      </w:tr>
      <w:tr>
        <w:trPr>
          <w:trHeight w:val="212"/>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Investment subscription receivable</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2,000,000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2,000,000</w:t>
            </w:r>
          </w:p>
        </w:tc>
      </w:tr>
      <w:tr>
        <w:trPr>
          <w:trHeight w:val="212"/>
        </w:trPr>
        <w:tc>
          <w:tcPr>
            <w:tcW w:w="6020" w:type="dxa"/>
            <w:vAlign w:val="bottom"/>
            <w:gridSpan w:val="2"/>
          </w:tcPr>
          <w:p>
            <w:pPr>
              <w:ind w:left="40"/>
              <w:spacing w:after="0"/>
              <w:rPr>
                <w:sz w:val="20"/>
                <w:szCs w:val="20"/>
                <w:color w:val="auto"/>
              </w:rPr>
            </w:pPr>
            <w:r>
              <w:rPr>
                <w:rFonts w:ascii="Arial" w:cs="Arial" w:eastAsia="Arial" w:hAnsi="Arial"/>
                <w:sz w:val="17"/>
                <w:szCs w:val="17"/>
                <w:color w:val="auto"/>
              </w:rPr>
              <w:t>Premiums receivable, net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13,484,547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13,484,547</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13,217,698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13,217,698</w:t>
            </w:r>
          </w:p>
        </w:tc>
      </w:tr>
      <w:tr>
        <w:trPr>
          <w:trHeight w:val="212"/>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Reinsurance receivables, net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25,018,461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25,018,461</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28,519,130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28,519,130</w:t>
            </w:r>
          </w:p>
        </w:tc>
      </w:tr>
      <w:tr>
        <w:trPr>
          <w:trHeight w:val="212"/>
        </w:trPr>
        <w:tc>
          <w:tcPr>
            <w:tcW w:w="6020" w:type="dxa"/>
            <w:vAlign w:val="bottom"/>
            <w:gridSpan w:val="2"/>
          </w:tcPr>
          <w:p>
            <w:pPr>
              <w:ind w:left="40"/>
              <w:spacing w:after="0"/>
              <w:rPr>
                <w:sz w:val="20"/>
                <w:szCs w:val="20"/>
                <w:color w:val="auto"/>
              </w:rPr>
            </w:pPr>
            <w:r>
              <w:rPr>
                <w:rFonts w:ascii="Arial" w:cs="Arial" w:eastAsia="Arial" w:hAnsi="Arial"/>
                <w:sz w:val="17"/>
                <w:szCs w:val="17"/>
                <w:color w:val="auto"/>
              </w:rPr>
              <w:t>Real estate, net of accumulated depreciation</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2,199,140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2,705,000</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2,261,829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2,705,000</w:t>
            </w:r>
          </w:p>
        </w:tc>
      </w:tr>
      <w:tr>
        <w:trPr>
          <w:trHeight w:val="212"/>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Reinsurance balances payable</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1,723,844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1,723,844</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2,563,966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2,563,966</w:t>
            </w:r>
          </w:p>
        </w:tc>
      </w:tr>
      <w:tr>
        <w:trPr>
          <w:trHeight w:val="217"/>
        </w:trPr>
        <w:tc>
          <w:tcPr>
            <w:tcW w:w="6020" w:type="dxa"/>
            <w:vAlign w:val="bottom"/>
            <w:gridSpan w:val="2"/>
          </w:tcPr>
          <w:p>
            <w:pPr>
              <w:ind w:left="40"/>
              <w:spacing w:after="0"/>
              <w:rPr>
                <w:sz w:val="20"/>
                <w:szCs w:val="20"/>
                <w:color w:val="auto"/>
              </w:rPr>
            </w:pPr>
            <w:r>
              <w:rPr>
                <w:rFonts w:ascii="Arial" w:cs="Arial" w:eastAsia="Arial" w:hAnsi="Arial"/>
                <w:sz w:val="17"/>
                <w:szCs w:val="17"/>
                <w:color w:val="auto"/>
              </w:rPr>
              <w:t>Long-term debt, net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29,251,206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29,251,206</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29,126,965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29,126,965</w:t>
            </w:r>
          </w:p>
        </w:tc>
      </w:tr>
      <w:tr>
        <w:trPr>
          <w:trHeight w:val="415"/>
        </w:trPr>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Note 6 – Property and Casualty Insurance Activity</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1"/>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9"/>
              </w:rPr>
              <w:t>Premiums Earned</w:t>
            </w:r>
          </w:p>
        </w:tc>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0"/>
        </w:trPr>
        <w:tc>
          <w:tcPr>
            <w:tcW w:w="6020" w:type="dxa"/>
            <w:vAlign w:val="bottom"/>
            <w:gridSpan w:val="2"/>
          </w:tcPr>
          <w:p>
            <w:pPr>
              <w:spacing w:after="0"/>
              <w:rPr>
                <w:sz w:val="20"/>
                <w:szCs w:val="20"/>
                <w:color w:val="auto"/>
              </w:rPr>
            </w:pPr>
            <w:r>
              <w:rPr>
                <w:rFonts w:ascii="Arial" w:cs="Arial" w:eastAsia="Arial" w:hAnsi="Arial"/>
                <w:sz w:val="17"/>
                <w:szCs w:val="17"/>
                <w:color w:val="auto"/>
              </w:rPr>
              <w:t>Premiums written, ceded and earned are as follows: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80"/>
        </w:trPr>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Direct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Assumed</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5"/>
                <w:szCs w:val="15"/>
                <w:b w:val="1"/>
                <w:bCs w:val="1"/>
                <w:color w:val="auto"/>
              </w:rPr>
              <w:t>Ceded</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Net</w:t>
            </w:r>
          </w:p>
        </w:tc>
      </w:tr>
      <w:tr>
        <w:trPr>
          <w:trHeight w:val="159"/>
        </w:trPr>
        <w:tc>
          <w:tcPr>
            <w:tcW w:w="12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38"/>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Nine months ended September 30, 2018</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2"/>
        </w:trPr>
        <w:tc>
          <w:tcPr>
            <w:tcW w:w="6020" w:type="dxa"/>
            <w:vAlign w:val="bottom"/>
            <w:gridSpan w:val="2"/>
          </w:tcPr>
          <w:p>
            <w:pPr>
              <w:ind w:left="40"/>
              <w:spacing w:after="0"/>
              <w:rPr>
                <w:sz w:val="20"/>
                <w:szCs w:val="20"/>
                <w:color w:val="auto"/>
              </w:rPr>
            </w:pPr>
            <w:r>
              <w:rPr>
                <w:rFonts w:ascii="Arial" w:cs="Arial" w:eastAsia="Arial" w:hAnsi="Arial"/>
                <w:sz w:val="17"/>
                <w:szCs w:val="17"/>
                <w:color w:val="auto"/>
              </w:rPr>
              <w:t>Premiums written</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w w:val="97"/>
              </w:rPr>
              <w:t>107,175,413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842</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w w:val="99"/>
              </w:rPr>
              <w:t>(19,409,423)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87,766,832</w:t>
            </w:r>
          </w:p>
        </w:tc>
      </w:tr>
      <w:tr>
        <w:trPr>
          <w:trHeight w:val="218"/>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Change in unearned premiums</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(9,930,503)</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3,762</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(3,363,953)</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(13,290,694)</w:t>
            </w:r>
          </w:p>
        </w:tc>
      </w:tr>
      <w:tr>
        <w:trPr>
          <w:trHeight w:val="212"/>
        </w:trPr>
        <w:tc>
          <w:tcPr>
            <w:tcW w:w="6020" w:type="dxa"/>
            <w:vAlign w:val="bottom"/>
            <w:gridSpan w:val="2"/>
          </w:tcPr>
          <w:p>
            <w:pPr>
              <w:ind w:left="40"/>
              <w:spacing w:after="0"/>
              <w:rPr>
                <w:sz w:val="20"/>
                <w:szCs w:val="20"/>
                <w:color w:val="auto"/>
              </w:rPr>
            </w:pPr>
            <w:r>
              <w:rPr>
                <w:rFonts w:ascii="Arial" w:cs="Arial" w:eastAsia="Arial" w:hAnsi="Arial"/>
                <w:sz w:val="17"/>
                <w:szCs w:val="17"/>
                <w:color w:val="auto"/>
              </w:rPr>
              <w:t>Premiums earned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97,244,910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4,604</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9"/>
              </w:rPr>
              <w:t>(22,773,376)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74,476,138</w:t>
            </w:r>
          </w:p>
        </w:tc>
      </w:tr>
      <w:tr>
        <w:trPr>
          <w:trHeight w:val="20"/>
        </w:trPr>
        <w:tc>
          <w:tcPr>
            <w:tcW w:w="12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5"/>
        </w:trPr>
        <w:tc>
          <w:tcPr>
            <w:tcW w:w="124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2"/>
        </w:trPr>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Nine months ended September 30, 2017</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Premiums written</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89,423,758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18,203</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9"/>
              </w:rPr>
              <w:t>(20,719,037)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68,722,924</w:t>
            </w:r>
          </w:p>
        </w:tc>
      </w:tr>
      <w:tr>
        <w:trPr>
          <w:trHeight w:val="218"/>
        </w:trPr>
        <w:tc>
          <w:tcPr>
            <w:tcW w:w="6020" w:type="dxa"/>
            <w:vAlign w:val="bottom"/>
            <w:gridSpan w:val="2"/>
          </w:tcPr>
          <w:p>
            <w:pPr>
              <w:ind w:left="40"/>
              <w:spacing w:after="0"/>
              <w:rPr>
                <w:sz w:val="20"/>
                <w:szCs w:val="20"/>
                <w:color w:val="auto"/>
              </w:rPr>
            </w:pPr>
            <w:r>
              <w:rPr>
                <w:rFonts w:ascii="Arial" w:cs="Arial" w:eastAsia="Arial" w:hAnsi="Arial"/>
                <w:sz w:val="17"/>
                <w:szCs w:val="17"/>
                <w:color w:val="auto"/>
              </w:rPr>
              <w:t>Change in unearned premiums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(8,456,690)</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8,162</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(5,436,513)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(13,885,041)</w:t>
            </w:r>
          </w:p>
        </w:tc>
      </w:tr>
      <w:tr>
        <w:trPr>
          <w:trHeight w:val="252"/>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Premiums earned</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80,967,068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26,365</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99"/>
              </w:rPr>
              <w:t>(26,155,550)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54,837,883</w:t>
            </w:r>
          </w:p>
        </w:tc>
      </w:tr>
      <w:tr>
        <w:trPr>
          <w:trHeight w:val="205"/>
        </w:trPr>
        <w:tc>
          <w:tcPr>
            <w:tcW w:w="124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2"/>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Three months ended September 30, 2018</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6020" w:type="dxa"/>
            <w:vAlign w:val="bottom"/>
            <w:gridSpan w:val="2"/>
          </w:tcPr>
          <w:p>
            <w:pPr>
              <w:ind w:left="40"/>
              <w:spacing w:after="0"/>
              <w:rPr>
                <w:sz w:val="20"/>
                <w:szCs w:val="20"/>
                <w:color w:val="auto"/>
              </w:rPr>
            </w:pPr>
            <w:r>
              <w:rPr>
                <w:rFonts w:ascii="Arial" w:cs="Arial" w:eastAsia="Arial" w:hAnsi="Arial"/>
                <w:sz w:val="17"/>
                <w:szCs w:val="17"/>
                <w:color w:val="auto"/>
              </w:rPr>
              <w:t>Premiums written</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38,785,453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18</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(2,683,699)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36,101,772</w:t>
            </w:r>
          </w:p>
        </w:tc>
      </w:tr>
      <w:tr>
        <w:trPr>
          <w:trHeight w:val="218"/>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Change in unearned premiums</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(4,435,174)</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698</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(4,133,389)</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(8,567,865)</w:t>
            </w:r>
          </w:p>
        </w:tc>
      </w:tr>
      <w:tr>
        <w:trPr>
          <w:trHeight w:val="212"/>
        </w:trPr>
        <w:tc>
          <w:tcPr>
            <w:tcW w:w="6020" w:type="dxa"/>
            <w:vAlign w:val="bottom"/>
            <w:gridSpan w:val="2"/>
          </w:tcPr>
          <w:p>
            <w:pPr>
              <w:ind w:left="40"/>
              <w:spacing w:after="0"/>
              <w:rPr>
                <w:sz w:val="20"/>
                <w:szCs w:val="20"/>
                <w:color w:val="auto"/>
              </w:rPr>
            </w:pPr>
            <w:r>
              <w:rPr>
                <w:rFonts w:ascii="Arial" w:cs="Arial" w:eastAsia="Arial" w:hAnsi="Arial"/>
                <w:sz w:val="17"/>
                <w:szCs w:val="17"/>
                <w:color w:val="auto"/>
              </w:rPr>
              <w:t>Premiums earned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34,350,279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716</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(6,817,088)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27,533,907</w:t>
            </w:r>
          </w:p>
        </w:tc>
      </w:tr>
      <w:tr>
        <w:trPr>
          <w:trHeight w:val="20"/>
        </w:trPr>
        <w:tc>
          <w:tcPr>
            <w:tcW w:w="12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5"/>
        </w:trPr>
        <w:tc>
          <w:tcPr>
            <w:tcW w:w="124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2"/>
        </w:trPr>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September 30, 2017</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Premiums written</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32,839,891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11,910</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(590,482)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32,261,319</w:t>
            </w:r>
          </w:p>
        </w:tc>
      </w:tr>
      <w:tr>
        <w:trPr>
          <w:trHeight w:val="218"/>
        </w:trPr>
        <w:tc>
          <w:tcPr>
            <w:tcW w:w="6020" w:type="dxa"/>
            <w:vAlign w:val="bottom"/>
            <w:gridSpan w:val="2"/>
          </w:tcPr>
          <w:p>
            <w:pPr>
              <w:ind w:left="40"/>
              <w:spacing w:after="0"/>
              <w:rPr>
                <w:sz w:val="20"/>
                <w:szCs w:val="20"/>
                <w:color w:val="auto"/>
              </w:rPr>
            </w:pPr>
            <w:r>
              <w:rPr>
                <w:rFonts w:ascii="Arial" w:cs="Arial" w:eastAsia="Arial" w:hAnsi="Arial"/>
                <w:sz w:val="17"/>
                <w:szCs w:val="17"/>
                <w:color w:val="auto"/>
              </w:rPr>
              <w:t>Change in unearned premiums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(4,407,894)</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(165)</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(6,338,852)</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(10,746,911)</w:t>
            </w:r>
          </w:p>
        </w:tc>
      </w:tr>
      <w:tr>
        <w:trPr>
          <w:trHeight w:val="252"/>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Premiums earned</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28,431,997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11,745</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(6,929,334)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21,514,408</w:t>
            </w:r>
          </w:p>
        </w:tc>
      </w:tr>
    </w:tbl>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Premium receipts in advance of the policy effective date are recorded as advance premiums. The balance of advance premiums as of September 30, 2018 and December 31, 2017 was $2,888,720 and $1,477,693, respectively.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auto"/>
        </w:rPr>
        <w:t>Loss and Loss Adjustment Expense Reserves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23" w:lineRule="exact"/>
        <w:rPr>
          <w:sz w:val="20"/>
          <w:szCs w:val="20"/>
          <w:color w:val="auto"/>
        </w:rPr>
      </w:pPr>
    </w:p>
    <w:p>
      <w:pPr>
        <w:ind w:left="9600"/>
        <w:spacing w:after="0"/>
        <w:rPr>
          <w:sz w:val="20"/>
          <w:szCs w:val="20"/>
          <w:color w:val="auto"/>
        </w:rPr>
      </w:pPr>
      <w:r>
        <w:rPr>
          <w:rFonts w:ascii="Arial" w:cs="Arial" w:eastAsia="Arial" w:hAnsi="Arial"/>
          <w:sz w:val="15"/>
          <w:szCs w:val="15"/>
          <w:b w:val="1"/>
          <w:bCs w:val="1"/>
          <w:color w:val="auto"/>
        </w:rPr>
        <w:t>Nine months ended</w:t>
      </w:r>
    </w:p>
    <w:p>
      <w:pPr>
        <w:ind w:left="9740"/>
        <w:spacing w:after="0" w:line="220" w:lineRule="auto"/>
        <w:rPr>
          <w:sz w:val="20"/>
          <w:szCs w:val="20"/>
          <w:color w:val="auto"/>
        </w:rPr>
      </w:pPr>
      <w:r>
        <w:rPr>
          <w:rFonts w:ascii="Arial" w:cs="Arial" w:eastAsia="Arial" w:hAnsi="Arial"/>
          <w:sz w:val="15"/>
          <w:szCs w:val="15"/>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5"/>
              <w:spacing w:after="0" w:line="166" w:lineRule="exact"/>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5"/>
              <w:spacing w:after="0" w:line="166" w:lineRule="exact"/>
              <w:rPr>
                <w:sz w:val="20"/>
                <w:szCs w:val="20"/>
                <w:color w:val="auto"/>
              </w:rPr>
            </w:pPr>
            <w:r>
              <w:rPr>
                <w:rFonts w:ascii="Arial" w:cs="Arial" w:eastAsia="Arial" w:hAnsi="Arial"/>
                <w:sz w:val="15"/>
                <w:szCs w:val="15"/>
                <w:b w:val="1"/>
                <w:bCs w:val="1"/>
                <w:color w:val="auto"/>
              </w:rPr>
              <w:t>2017</w:t>
            </w:r>
          </w:p>
        </w:tc>
      </w:tr>
      <w:tr>
        <w:trPr>
          <w:trHeight w:val="238"/>
        </w:trPr>
        <w:tc>
          <w:tcPr>
            <w:tcW w:w="8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at beginning of period</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48,799,622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41,736,719</w:t>
            </w:r>
          </w:p>
        </w:tc>
      </w:tr>
      <w:tr>
        <w:trPr>
          <w:trHeight w:val="218"/>
        </w:trPr>
        <w:tc>
          <w:tcPr>
            <w:tcW w:w="8800" w:type="dxa"/>
            <w:vAlign w:val="bottom"/>
          </w:tcPr>
          <w:p>
            <w:pPr>
              <w:ind w:left="40"/>
              <w:spacing w:after="0"/>
              <w:rPr>
                <w:sz w:val="20"/>
                <w:szCs w:val="20"/>
                <w:color w:val="auto"/>
              </w:rPr>
            </w:pPr>
            <w:r>
              <w:rPr>
                <w:rFonts w:ascii="Arial" w:cs="Arial" w:eastAsia="Arial" w:hAnsi="Arial"/>
                <w:sz w:val="17"/>
                <w:szCs w:val="17"/>
                <w:color w:val="auto"/>
              </w:rPr>
              <w:t>Less reinsurance recoverables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9"/>
              </w:rPr>
              <w:t>(16,748,908)</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(15,776,880)</w:t>
            </w:r>
          </w:p>
        </w:tc>
      </w:tr>
      <w:tr>
        <w:trPr>
          <w:trHeight w:val="21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balance,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32,050,714</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25,959,839</w:t>
            </w:r>
          </w:p>
        </w:tc>
      </w:tr>
      <w:tr>
        <w:trPr>
          <w:trHeight w:val="212"/>
        </w:trPr>
        <w:tc>
          <w:tcPr>
            <w:tcW w:w="8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Incurred related to:</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rPr>
              <w:t>Current year</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41,611,658</w:t>
            </w:r>
          </w:p>
        </w:tc>
        <w:tc>
          <w:tcPr>
            <w:tcW w:w="28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23,071,466</w:t>
            </w:r>
          </w:p>
        </w:tc>
      </w:tr>
      <w:tr>
        <w:trPr>
          <w:trHeight w:val="21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127,465</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(250,225)</w:t>
            </w:r>
          </w:p>
        </w:tc>
      </w:tr>
      <w:tr>
        <w:trPr>
          <w:trHeight w:val="218"/>
        </w:trPr>
        <w:tc>
          <w:tcPr>
            <w:tcW w:w="8800" w:type="dxa"/>
            <w:vAlign w:val="bottom"/>
          </w:tcPr>
          <w:p>
            <w:pPr>
              <w:ind w:left="40"/>
              <w:spacing w:after="0"/>
              <w:rPr>
                <w:sz w:val="20"/>
                <w:szCs w:val="20"/>
                <w:color w:val="auto"/>
              </w:rPr>
            </w:pPr>
            <w:r>
              <w:rPr>
                <w:rFonts w:ascii="Arial" w:cs="Arial" w:eastAsia="Arial" w:hAnsi="Arial"/>
                <w:sz w:val="17"/>
                <w:szCs w:val="17"/>
                <w:color w:val="auto"/>
              </w:rPr>
              <w:t>Total incurred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41,739,123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22,821,241</w:t>
            </w:r>
          </w:p>
        </w:tc>
      </w:tr>
      <w:tr>
        <w:trPr>
          <w:trHeight w:val="212"/>
        </w:trPr>
        <w:tc>
          <w:tcPr>
            <w:tcW w:w="8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rPr>
              <w:t>Paid related to:</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Current year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23,404,909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12,955,928</w:t>
            </w:r>
          </w:p>
        </w:tc>
      </w:tr>
      <w:tr>
        <w:trPr>
          <w:trHeight w:val="218"/>
        </w:trPr>
        <w:tc>
          <w:tcPr>
            <w:tcW w:w="8800" w:type="dxa"/>
            <w:vAlign w:val="bottom"/>
          </w:tcPr>
          <w:p>
            <w:pPr>
              <w:ind w:left="40"/>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12,160,419</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8,176,715</w:t>
            </w:r>
          </w:p>
        </w:tc>
      </w:tr>
      <w:tr>
        <w:trPr>
          <w:trHeight w:val="21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paid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35,565,328</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21,132,643</w:t>
            </w:r>
          </w:p>
        </w:tc>
      </w:tr>
      <w:tr>
        <w:trPr>
          <w:trHeight w:val="212"/>
        </w:trPr>
        <w:tc>
          <w:tcPr>
            <w:tcW w:w="8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balance at end of period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38,224,509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27,648,437</w:t>
            </w:r>
          </w:p>
        </w:tc>
      </w:tr>
      <w:tr>
        <w:trPr>
          <w:trHeight w:val="218"/>
        </w:trPr>
        <w:tc>
          <w:tcPr>
            <w:tcW w:w="8800" w:type="dxa"/>
            <w:vAlign w:val="bottom"/>
          </w:tcPr>
          <w:p>
            <w:pPr>
              <w:ind w:left="40"/>
              <w:spacing w:after="0"/>
              <w:rPr>
                <w:sz w:val="20"/>
                <w:szCs w:val="20"/>
                <w:color w:val="auto"/>
              </w:rPr>
            </w:pPr>
            <w:r>
              <w:rPr>
                <w:rFonts w:ascii="Arial" w:cs="Arial" w:eastAsia="Arial" w:hAnsi="Arial"/>
                <w:sz w:val="17"/>
                <w:szCs w:val="17"/>
                <w:color w:val="auto"/>
              </w:rPr>
              <w:t>Add reinsurance recoverables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15,718,448</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14,642,360</w:t>
            </w:r>
          </w:p>
        </w:tc>
      </w:tr>
      <w:tr>
        <w:trPr>
          <w:trHeight w:val="252"/>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end of period</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53,942,957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42,290,797</w:t>
            </w:r>
          </w:p>
        </w:tc>
      </w:tr>
    </w:tbl>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Incurred losses and LAE are net of reinsurance recoveries under reinsurance contracts of $11,668,527 and $8,503,237 for the nine months ended September 30, 2018 and 2017, respectively.</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year incurred loss and LAE development is based upon estimates by line of business and accident year. Prior year loss and LAE development incurred during the nine months ended September 30, 2018 and 2017 was $127,465 unfavorable and $(250,225), favorable, respectively. The Company’s management continually monitors claims activity to assess the appropriateness of carried case and incurred but not reported (“IBNR”) reserves, giving consideration to Company and industry trends.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 xml:space="preserve">Paid Loss Development </w:t>
      </w:r>
      <w:r>
        <w:rPr>
          <w:rFonts w:ascii="Arial" w:cs="Arial" w:eastAsia="Arial" w:hAnsi="Arial"/>
          <w:sz w:val="15"/>
          <w:szCs w:val="15"/>
          <w:color w:val="auto"/>
        </w:rPr>
        <w:t>– historical patterns of paid loss development are used to project future paid loss emergence in order to estimate required reserves.</w:t>
      </w:r>
    </w:p>
    <w:p>
      <w:pPr>
        <w:spacing w:after="0" w:line="251" w:lineRule="exact"/>
        <w:rPr>
          <w:sz w:val="20"/>
          <w:szCs w:val="20"/>
          <w:color w:val="auto"/>
        </w:rPr>
      </w:pPr>
    </w:p>
    <w:p>
      <w:pPr>
        <w:ind w:left="640"/>
        <w:spacing w:after="0" w:line="287" w:lineRule="auto"/>
        <w:rPr>
          <w:sz w:val="20"/>
          <w:szCs w:val="20"/>
          <w:color w:val="auto"/>
        </w:rPr>
      </w:pPr>
      <w:r>
        <w:rPr>
          <w:rFonts w:ascii="Arial" w:cs="Arial" w:eastAsia="Arial" w:hAnsi="Arial"/>
          <w:sz w:val="17"/>
          <w:szCs w:val="17"/>
          <w:i w:val="1"/>
          <w:iCs w:val="1"/>
          <w:color w:val="auto"/>
        </w:rPr>
        <w:t xml:space="preserve">Incurred Loss Development </w:t>
      </w:r>
      <w:r>
        <w:rPr>
          <w:rFonts w:ascii="Arial" w:cs="Arial" w:eastAsia="Arial" w:hAnsi="Arial"/>
          <w:sz w:val="17"/>
          <w:szCs w:val="17"/>
          <w:color w:val="auto"/>
        </w:rPr>
        <w:t>– historical patterns of incurred loss development, reflecting both paid losses and changes in case reserves, are used to project</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incurred loss emergence in order to estimate required reserves.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24" w:name="page25"/>
    <w:bookmarkEnd w:id="24"/>
    <w:p>
      <w:pPr>
        <w:jc w:val="both"/>
        <w:ind w:left="640"/>
        <w:spacing w:after="0" w:line="269" w:lineRule="auto"/>
        <w:rPr>
          <w:sz w:val="20"/>
          <w:szCs w:val="20"/>
          <w:color w:val="auto"/>
        </w:rPr>
      </w:pPr>
      <w:r>
        <w:rPr>
          <w:rFonts w:ascii="Arial" w:cs="Arial" w:eastAsia="Arial" w:hAnsi="Arial"/>
          <w:sz w:val="17"/>
          <w:szCs w:val="17"/>
          <w:i w:val="1"/>
          <w:iCs w:val="1"/>
          <w:color w:val="auto"/>
        </w:rPr>
        <w:t xml:space="preserve">Paid Bornhuetter-Ferguson (“BF”) </w:t>
      </w:r>
      <w:r>
        <w:rPr>
          <w:rFonts w:ascii="Arial" w:cs="Arial" w:eastAsia="Arial" w:hAnsi="Arial"/>
          <w:sz w:val="17"/>
          <w:szCs w:val="17"/>
          <w:color w:val="auto"/>
        </w:rPr>
        <w:t>– an estimated loss ratio for a particular accident year is determined, and is weighted against the portion of the accident</w:t>
      </w:r>
      <w:r>
        <w:rPr>
          <w:rFonts w:ascii="Arial" w:cs="Arial" w:eastAsia="Arial" w:hAnsi="Arial"/>
          <w:sz w:val="17"/>
          <w:szCs w:val="17"/>
          <w:i w:val="1"/>
          <w:iCs w:val="1"/>
          <w:color w:val="auto"/>
        </w:rPr>
        <w:t xml:space="preserve"> </w:t>
      </w:r>
      <w:r>
        <w:rPr>
          <w:rFonts w:ascii="Arial" w:cs="Arial" w:eastAsia="Arial" w:hAnsi="Arial"/>
          <w:sz w:val="17"/>
          <w:szCs w:val="17"/>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83" w:lineRule="exact"/>
        <w:rPr>
          <w:sz w:val="20"/>
          <w:szCs w:val="20"/>
          <w:color w:val="auto"/>
        </w:rPr>
      </w:pPr>
    </w:p>
    <w:p>
      <w:pPr>
        <w:jc w:val="both"/>
        <w:ind w:left="640"/>
        <w:spacing w:after="0" w:line="290"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70" w:lineRule="exact"/>
        <w:rPr>
          <w:sz w:val="20"/>
          <w:szCs w:val="20"/>
          <w:color w:val="auto"/>
        </w:rPr>
      </w:pPr>
    </w:p>
    <w:p>
      <w:pPr>
        <w:jc w:val="both"/>
        <w:ind w:left="640"/>
        <w:spacing w:after="0" w:line="315" w:lineRule="auto"/>
        <w:rPr>
          <w:sz w:val="20"/>
          <w:szCs w:val="20"/>
          <w:color w:val="auto"/>
        </w:rPr>
      </w:pPr>
      <w:r>
        <w:rPr>
          <w:rFonts w:ascii="Arial" w:cs="Arial" w:eastAsia="Arial" w:hAnsi="Arial"/>
          <w:sz w:val="15"/>
          <w:szCs w:val="15"/>
          <w:i w:val="1"/>
          <w:iCs w:val="1"/>
          <w:color w:val="auto"/>
        </w:rPr>
        <w:t xml:space="preserve">Incremental Claim-Based Methods </w:t>
      </w:r>
      <w:r>
        <w:rPr>
          <w:rFonts w:ascii="Arial" w:cs="Arial" w:eastAsia="Arial" w:hAnsi="Arial"/>
          <w:sz w:val="15"/>
          <w:szCs w:val="15"/>
          <w:color w:val="auto"/>
        </w:rPr>
        <w:t>– historical patterns of incremental incurred losses and paid LAE during various stages of development are reviewed and</w:t>
      </w:r>
      <w:r>
        <w:rPr>
          <w:rFonts w:ascii="Arial" w:cs="Arial" w:eastAsia="Arial" w:hAnsi="Arial"/>
          <w:sz w:val="15"/>
          <w:szCs w:val="15"/>
          <w:i w:val="1"/>
          <w:iCs w:val="1"/>
          <w:color w:val="auto"/>
        </w:rPr>
        <w:t xml:space="preserve"> </w:t>
      </w:r>
      <w:r>
        <w:rPr>
          <w:rFonts w:ascii="Arial" w:cs="Arial" w:eastAsia="Arial" w:hAnsi="Arial"/>
          <w:sz w:val="15"/>
          <w:szCs w:val="15"/>
          <w:color w:val="auto"/>
        </w:rPr>
        <w:t>assumptions are made regarding average loss and LAE development applied to remaining claims inventory. Such methods more properly reflect changes in the speed of claims closure and the relative adequacy of case reserve levels at various stages of development. These methods also provide a more accurate estimate of IBNR for lines of business with relatively few remaining open claims but for which significant recent settlement activity has occurred.</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Company is not aware of any claim trends that have emerged or that would cause future adverse development that have not already been considered in existing case reserves and in its current loss development factors.</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September 30, 2015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70"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The following is information about incurred and paid claims development as of September 30, 2018, net of reinsurance, as well as the cumulative reported claims by accident year and total IBNR reserves as of September 30, 2018 included in the net incurred loss and allocated expense amounts. The historical information regarding incurred and paid claims development for the years ended December 31, 2009 to December 31, 2015 is presented as supplementary unaudited information.</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All Lines of Business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 except reported claims data)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85"/>
              </w:rPr>
              <w:t>As of</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40" w:type="dxa"/>
            <w:vAlign w:val="bottom"/>
            <w:gridSpan w:val="8"/>
          </w:tcPr>
          <w:p>
            <w:pPr>
              <w:jc w:val="right"/>
              <w:spacing w:after="0"/>
              <w:rPr>
                <w:sz w:val="20"/>
                <w:szCs w:val="20"/>
                <w:color w:val="auto"/>
              </w:rPr>
            </w:pPr>
            <w:r>
              <w:rPr>
                <w:rFonts w:ascii="Arial" w:cs="Arial" w:eastAsia="Arial" w:hAnsi="Arial"/>
                <w:sz w:val="15"/>
                <w:szCs w:val="15"/>
                <w:b w:val="1"/>
                <w:bCs w:val="1"/>
                <w:color w:val="auto"/>
                <w:w w:val="87"/>
              </w:rPr>
              <w:t>Incurred Loss and Allocated Loss Adjustment Expenses, Net of Reinsurance</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85"/>
              </w:rPr>
              <w:t>September 30, 2018</w:t>
            </w:r>
          </w:p>
        </w:tc>
        <w:tc>
          <w:tcPr>
            <w:tcW w:w="0" w:type="dxa"/>
            <w:vAlign w:val="bottom"/>
          </w:tcPr>
          <w:p>
            <w:pPr>
              <w:spacing w:after="0"/>
              <w:rPr>
                <w:sz w:val="1"/>
                <w:szCs w:val="1"/>
                <w:color w:val="auto"/>
              </w:rPr>
            </w:pPr>
          </w:p>
        </w:tc>
      </w:tr>
      <w:tr>
        <w:trPr>
          <w:trHeight w:val="146"/>
        </w:trPr>
        <w:tc>
          <w:tcPr>
            <w:tcW w:w="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247"/>
              <w:spacing w:after="0" w:line="146" w:lineRule="exact"/>
              <w:rPr>
                <w:sz w:val="20"/>
                <w:szCs w:val="20"/>
                <w:color w:val="auto"/>
              </w:rPr>
            </w:pPr>
            <w:r>
              <w:rPr>
                <w:rFonts w:ascii="Arial" w:cs="Arial" w:eastAsia="Arial" w:hAnsi="Arial"/>
                <w:sz w:val="15"/>
                <w:szCs w:val="15"/>
                <w:b w:val="1"/>
                <w:bCs w:val="1"/>
                <w:color w:val="auto"/>
                <w:w w:val="92"/>
              </w:rPr>
              <w:t>Nine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5"/>
                <w:szCs w:val="15"/>
                <w:b w:val="1"/>
                <w:bCs w:val="1"/>
                <w:color w:val="auto"/>
                <w:w w:val="88"/>
              </w:rPr>
              <w:t>Cumulative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4"/>
          </w:tcPr>
          <w:p>
            <w:pPr>
              <w:jc w:val="center"/>
              <w:ind w:right="560"/>
              <w:spacing w:after="0" w:line="159" w:lineRule="exact"/>
              <w:rPr>
                <w:sz w:val="20"/>
                <w:szCs w:val="20"/>
                <w:color w:val="auto"/>
              </w:rPr>
            </w:pPr>
            <w:r>
              <w:rPr>
                <w:rFonts w:ascii="Arial" w:cs="Arial" w:eastAsia="Arial" w:hAnsi="Arial"/>
                <w:sz w:val="15"/>
                <w:szCs w:val="15"/>
                <w:b w:val="1"/>
                <w:bCs w:val="1"/>
                <w:color w:val="auto"/>
                <w:w w:val="89"/>
              </w:rPr>
              <w:t>Months</w:t>
            </w:r>
          </w:p>
        </w:tc>
        <w:tc>
          <w:tcPr>
            <w:tcW w:w="940" w:type="dxa"/>
            <w:vAlign w:val="bottom"/>
          </w:tcPr>
          <w:p>
            <w:pPr>
              <w:spacing w:after="0"/>
              <w:rPr>
                <w:sz w:val="13"/>
                <w:szCs w:val="13"/>
                <w:color w:val="auto"/>
              </w:rPr>
            </w:pPr>
          </w:p>
        </w:tc>
        <w:tc>
          <w:tcPr>
            <w:tcW w:w="1300" w:type="dxa"/>
            <w:vAlign w:val="bottom"/>
            <w:gridSpan w:val="2"/>
          </w:tcPr>
          <w:p>
            <w:pPr>
              <w:jc w:val="center"/>
              <w:ind w:right="180"/>
              <w:spacing w:after="0" w:line="159" w:lineRule="exact"/>
              <w:rPr>
                <w:sz w:val="20"/>
                <w:szCs w:val="20"/>
                <w:color w:val="auto"/>
              </w:rPr>
            </w:pPr>
            <w:r>
              <w:rPr>
                <w:rFonts w:ascii="Arial" w:cs="Arial" w:eastAsia="Arial" w:hAnsi="Arial"/>
                <w:sz w:val="15"/>
                <w:szCs w:val="15"/>
                <w:b w:val="1"/>
                <w:bCs w:val="1"/>
                <w:color w:val="auto"/>
                <w:w w:val="90"/>
              </w:rPr>
              <w:t>Number of</w:t>
            </w: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80" w:type="dxa"/>
            <w:vAlign w:val="bottom"/>
            <w:gridSpan w:val="4"/>
            <w:vMerge w:val="restart"/>
          </w:tcPr>
          <w:p>
            <w:pPr>
              <w:jc w:val="right"/>
              <w:ind w:right="266"/>
              <w:spacing w:after="0"/>
              <w:rPr>
                <w:sz w:val="20"/>
                <w:szCs w:val="20"/>
                <w:color w:val="auto"/>
              </w:rPr>
            </w:pPr>
            <w:r>
              <w:rPr>
                <w:rFonts w:ascii="Arial" w:cs="Arial" w:eastAsia="Arial" w:hAnsi="Arial"/>
                <w:sz w:val="15"/>
                <w:szCs w:val="15"/>
                <w:b w:val="1"/>
                <w:bCs w:val="1"/>
                <w:color w:val="auto"/>
              </w:rPr>
              <w:t>For the Years Ended December 31,</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4"/>
          </w:tcPr>
          <w:p>
            <w:pPr>
              <w:jc w:val="center"/>
              <w:ind w:right="560"/>
              <w:spacing w:after="0" w:line="159" w:lineRule="exact"/>
              <w:rPr>
                <w:sz w:val="20"/>
                <w:szCs w:val="20"/>
                <w:color w:val="auto"/>
              </w:rPr>
            </w:pPr>
            <w:r>
              <w:rPr>
                <w:rFonts w:ascii="Arial" w:cs="Arial" w:eastAsia="Arial" w:hAnsi="Arial"/>
                <w:sz w:val="15"/>
                <w:szCs w:val="15"/>
                <w:b w:val="1"/>
                <w:bCs w:val="1"/>
                <w:color w:val="auto"/>
                <w:w w:val="87"/>
              </w:rPr>
              <w:t>Ended</w:t>
            </w:r>
          </w:p>
        </w:tc>
        <w:tc>
          <w:tcPr>
            <w:tcW w:w="940" w:type="dxa"/>
            <w:vAlign w:val="bottom"/>
          </w:tcPr>
          <w:p>
            <w:pPr>
              <w:spacing w:after="0"/>
              <w:rPr>
                <w:sz w:val="13"/>
                <w:szCs w:val="13"/>
                <w:color w:val="auto"/>
              </w:rPr>
            </w:pPr>
          </w:p>
        </w:tc>
        <w:tc>
          <w:tcPr>
            <w:tcW w:w="1300" w:type="dxa"/>
            <w:vAlign w:val="bottom"/>
            <w:gridSpan w:val="2"/>
          </w:tcPr>
          <w:p>
            <w:pPr>
              <w:jc w:val="center"/>
              <w:ind w:right="200"/>
              <w:spacing w:after="0" w:line="159" w:lineRule="exact"/>
              <w:rPr>
                <w:sz w:val="20"/>
                <w:szCs w:val="20"/>
                <w:color w:val="auto"/>
              </w:rPr>
            </w:pPr>
            <w:r>
              <w:rPr>
                <w:rFonts w:ascii="Arial" w:cs="Arial" w:eastAsia="Arial" w:hAnsi="Arial"/>
                <w:sz w:val="15"/>
                <w:szCs w:val="15"/>
                <w:b w:val="1"/>
                <w:bCs w:val="1"/>
                <w:color w:val="auto"/>
                <w:w w:val="88"/>
              </w:rPr>
              <w:t>Reported Claims</w:t>
            </w:r>
          </w:p>
        </w:tc>
        <w:tc>
          <w:tcPr>
            <w:tcW w:w="0" w:type="dxa"/>
            <w:vAlign w:val="bottom"/>
          </w:tcPr>
          <w:p>
            <w:pPr>
              <w:spacing w:after="0"/>
              <w:rPr>
                <w:sz w:val="1"/>
                <w:szCs w:val="1"/>
                <w:color w:val="auto"/>
              </w:rPr>
            </w:pPr>
          </w:p>
        </w:tc>
      </w:tr>
      <w:tr>
        <w:trPr>
          <w:trHeight w:val="152"/>
        </w:trPr>
        <w:tc>
          <w:tcPr>
            <w:tcW w:w="1040" w:type="dxa"/>
            <w:vAlign w:val="bottom"/>
            <w:gridSpan w:val="3"/>
          </w:tcPr>
          <w:p>
            <w:pPr>
              <w:ind w:left="120"/>
              <w:spacing w:after="0" w:line="126" w:lineRule="exact"/>
              <w:rPr>
                <w:sz w:val="20"/>
                <w:szCs w:val="20"/>
                <w:color w:val="auto"/>
              </w:rPr>
            </w:pPr>
            <w:r>
              <w:rPr>
                <w:rFonts w:ascii="Arial" w:cs="Arial" w:eastAsia="Arial" w:hAnsi="Arial"/>
                <w:sz w:val="14"/>
                <w:szCs w:val="14"/>
                <w:b w:val="1"/>
                <w:bCs w:val="1"/>
                <w:color w:val="auto"/>
              </w:rPr>
              <w:t>Accident</w:t>
            </w: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80" w:type="dxa"/>
            <w:vAlign w:val="bottom"/>
            <w:gridSpan w:val="4"/>
            <w:vMerge w:val="continue"/>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gridSpan w:val="5"/>
          </w:tcPr>
          <w:p>
            <w:pPr>
              <w:jc w:val="center"/>
              <w:ind w:right="220"/>
              <w:spacing w:after="0" w:line="126" w:lineRule="exact"/>
              <w:rPr>
                <w:sz w:val="20"/>
                <w:szCs w:val="20"/>
                <w:color w:val="auto"/>
              </w:rPr>
            </w:pPr>
            <w:r>
              <w:rPr>
                <w:rFonts w:ascii="Arial" w:cs="Arial" w:eastAsia="Arial" w:hAnsi="Arial"/>
                <w:sz w:val="14"/>
                <w:szCs w:val="14"/>
                <w:b w:val="1"/>
                <w:bCs w:val="1"/>
                <w:color w:val="auto"/>
                <w:w w:val="93"/>
              </w:rPr>
              <w:t>September 30,</w:t>
            </w:r>
          </w:p>
        </w:tc>
        <w:tc>
          <w:tcPr>
            <w:tcW w:w="940" w:type="dxa"/>
            <w:vAlign w:val="bottom"/>
          </w:tcPr>
          <w:p>
            <w:pPr>
              <w:jc w:val="right"/>
              <w:ind w:right="228"/>
              <w:spacing w:after="0" w:line="126" w:lineRule="exact"/>
              <w:rPr>
                <w:sz w:val="20"/>
                <w:szCs w:val="20"/>
                <w:color w:val="auto"/>
              </w:rPr>
            </w:pPr>
            <w:r>
              <w:rPr>
                <w:rFonts w:ascii="Arial" w:cs="Arial" w:eastAsia="Arial" w:hAnsi="Arial"/>
                <w:sz w:val="14"/>
                <w:szCs w:val="14"/>
                <w:b w:val="1"/>
                <w:bCs w:val="1"/>
                <w:color w:val="auto"/>
              </w:rPr>
              <w:t>IBNR</w:t>
            </w:r>
          </w:p>
        </w:tc>
        <w:tc>
          <w:tcPr>
            <w:tcW w:w="130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3"/>
              </w:rPr>
              <w:t>by Accident Year</w:t>
            </w:r>
          </w:p>
        </w:tc>
        <w:tc>
          <w:tcPr>
            <w:tcW w:w="0" w:type="dxa"/>
            <w:vAlign w:val="bottom"/>
          </w:tcPr>
          <w:p>
            <w:pPr>
              <w:spacing w:after="0"/>
              <w:rPr>
                <w:sz w:val="1"/>
                <w:szCs w:val="1"/>
                <w:color w:val="auto"/>
              </w:rPr>
            </w:pPr>
          </w:p>
        </w:tc>
      </w:tr>
      <w:tr>
        <w:trPr>
          <w:trHeight w:val="165"/>
        </w:trPr>
        <w:tc>
          <w:tcPr>
            <w:tcW w:w="780" w:type="dxa"/>
            <w:vAlign w:val="bottom"/>
            <w:tcBorders>
              <w:bottom w:val="single" w:sz="8" w:color="auto"/>
            </w:tcBorders>
          </w:tcPr>
          <w:p>
            <w:pPr>
              <w:ind w:left="260"/>
              <w:spacing w:after="0" w:line="159" w:lineRule="exact"/>
              <w:rPr>
                <w:sz w:val="20"/>
                <w:szCs w:val="20"/>
                <w:color w:val="auto"/>
              </w:rPr>
            </w:pPr>
            <w:r>
              <w:rPr>
                <w:rFonts w:ascii="Arial" w:cs="Arial" w:eastAsia="Arial" w:hAnsi="Arial"/>
                <w:sz w:val="15"/>
                <w:szCs w:val="15"/>
                <w:b w:val="1"/>
                <w:bCs w:val="1"/>
                <w:color w:val="auto"/>
              </w:rPr>
              <w:t>Year</w:t>
            </w:r>
          </w:p>
        </w:tc>
        <w:tc>
          <w:tcPr>
            <w:tcW w:w="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27"/>
              <w:spacing w:after="0" w:line="159" w:lineRule="exact"/>
              <w:rPr>
                <w:sz w:val="20"/>
                <w:szCs w:val="20"/>
                <w:color w:val="auto"/>
              </w:rPr>
            </w:pPr>
            <w:r>
              <w:rPr>
                <w:rFonts w:ascii="Arial" w:cs="Arial" w:eastAsia="Arial" w:hAnsi="Arial"/>
                <w:sz w:val="15"/>
                <w:szCs w:val="15"/>
                <w:b w:val="1"/>
                <w:bCs w:val="1"/>
                <w:color w:val="auto"/>
                <w:w w:val="83"/>
              </w:rPr>
              <w:t>2009</w:t>
            </w:r>
          </w:p>
        </w:tc>
        <w:tc>
          <w:tcPr>
            <w:tcW w:w="780" w:type="dxa"/>
            <w:vAlign w:val="bottom"/>
            <w:tcBorders>
              <w:top w:val="single" w:sz="8" w:color="auto"/>
              <w:bottom w:val="single" w:sz="8" w:color="auto"/>
            </w:tcBorders>
          </w:tcPr>
          <w:p>
            <w:pPr>
              <w:jc w:val="right"/>
              <w:ind w:right="327"/>
              <w:spacing w:after="0" w:line="159" w:lineRule="exact"/>
              <w:rPr>
                <w:sz w:val="20"/>
                <w:szCs w:val="20"/>
                <w:color w:val="auto"/>
              </w:rPr>
            </w:pPr>
            <w:r>
              <w:rPr>
                <w:rFonts w:ascii="Arial" w:cs="Arial" w:eastAsia="Arial" w:hAnsi="Arial"/>
                <w:sz w:val="15"/>
                <w:szCs w:val="15"/>
                <w:b w:val="1"/>
                <w:bCs w:val="1"/>
                <w:color w:val="auto"/>
              </w:rPr>
              <w:t>2010</w:t>
            </w:r>
          </w:p>
        </w:tc>
        <w:tc>
          <w:tcPr>
            <w:tcW w:w="860" w:type="dxa"/>
            <w:vAlign w:val="bottom"/>
            <w:tcBorders>
              <w:top w:val="single" w:sz="8" w:color="auto"/>
              <w:bottom w:val="single" w:sz="8" w:color="auto"/>
            </w:tcBorders>
          </w:tcPr>
          <w:p>
            <w:pPr>
              <w:jc w:val="right"/>
              <w:ind w:right="387"/>
              <w:spacing w:after="0" w:line="159" w:lineRule="exact"/>
              <w:rPr>
                <w:sz w:val="20"/>
                <w:szCs w:val="20"/>
                <w:color w:val="auto"/>
              </w:rPr>
            </w:pPr>
            <w:r>
              <w:rPr>
                <w:rFonts w:ascii="Arial" w:cs="Arial" w:eastAsia="Arial" w:hAnsi="Arial"/>
                <w:sz w:val="15"/>
                <w:szCs w:val="15"/>
                <w:b w:val="1"/>
                <w:bCs w:val="1"/>
                <w:color w:val="auto"/>
              </w:rPr>
              <w:t>2011</w:t>
            </w:r>
          </w:p>
        </w:tc>
        <w:tc>
          <w:tcPr>
            <w:tcW w:w="780" w:type="dxa"/>
            <w:vAlign w:val="bottom"/>
            <w:tcBorders>
              <w:top w:val="single" w:sz="8" w:color="auto"/>
              <w:bottom w:val="single" w:sz="8" w:color="auto"/>
            </w:tcBorders>
          </w:tcPr>
          <w:p>
            <w:pPr>
              <w:jc w:val="right"/>
              <w:ind w:right="367"/>
              <w:spacing w:after="0" w:line="159" w:lineRule="exact"/>
              <w:rPr>
                <w:sz w:val="20"/>
                <w:szCs w:val="20"/>
                <w:color w:val="auto"/>
              </w:rPr>
            </w:pPr>
            <w:r>
              <w:rPr>
                <w:rFonts w:ascii="Arial" w:cs="Arial" w:eastAsia="Arial" w:hAnsi="Arial"/>
                <w:sz w:val="15"/>
                <w:szCs w:val="15"/>
                <w:b w:val="1"/>
                <w:bCs w:val="1"/>
                <w:color w:val="auto"/>
                <w:w w:val="95"/>
              </w:rPr>
              <w:t>2012</w:t>
            </w:r>
          </w:p>
        </w:tc>
        <w:tc>
          <w:tcPr>
            <w:tcW w:w="820" w:type="dxa"/>
            <w:vAlign w:val="bottom"/>
            <w:tcBorders>
              <w:top w:val="single" w:sz="8" w:color="auto"/>
              <w:bottom w:val="single" w:sz="8" w:color="auto"/>
            </w:tcBorders>
          </w:tcPr>
          <w:p>
            <w:pPr>
              <w:jc w:val="right"/>
              <w:ind w:right="407"/>
              <w:spacing w:after="0" w:line="159" w:lineRule="exact"/>
              <w:rPr>
                <w:sz w:val="20"/>
                <w:szCs w:val="20"/>
                <w:color w:val="auto"/>
              </w:rPr>
            </w:pPr>
            <w:r>
              <w:rPr>
                <w:rFonts w:ascii="Arial" w:cs="Arial" w:eastAsia="Arial" w:hAnsi="Arial"/>
                <w:sz w:val="15"/>
                <w:szCs w:val="15"/>
                <w:b w:val="1"/>
                <w:bCs w:val="1"/>
                <w:color w:val="auto"/>
                <w:w w:val="95"/>
              </w:rPr>
              <w:t>2013</w:t>
            </w:r>
          </w:p>
        </w:tc>
        <w:tc>
          <w:tcPr>
            <w:tcW w:w="820" w:type="dxa"/>
            <w:vAlign w:val="bottom"/>
            <w:tcBorders>
              <w:top w:val="single" w:sz="8" w:color="auto"/>
              <w:bottom w:val="single" w:sz="8" w:color="auto"/>
            </w:tcBorders>
          </w:tcPr>
          <w:p>
            <w:pPr>
              <w:jc w:val="right"/>
              <w:ind w:right="426"/>
              <w:spacing w:after="0" w:line="159" w:lineRule="exact"/>
              <w:rPr>
                <w:sz w:val="20"/>
                <w:szCs w:val="20"/>
                <w:color w:val="auto"/>
              </w:rPr>
            </w:pPr>
            <w:r>
              <w:rPr>
                <w:rFonts w:ascii="Arial" w:cs="Arial" w:eastAsia="Arial" w:hAnsi="Arial"/>
                <w:sz w:val="15"/>
                <w:szCs w:val="15"/>
                <w:b w:val="1"/>
                <w:bCs w:val="1"/>
                <w:color w:val="auto"/>
                <w:w w:val="89"/>
              </w:rPr>
              <w:t>2014</w:t>
            </w:r>
          </w:p>
        </w:tc>
        <w:tc>
          <w:tcPr>
            <w:tcW w:w="540" w:type="dxa"/>
            <w:vAlign w:val="bottom"/>
            <w:tcBorders>
              <w:top w:val="single" w:sz="8" w:color="auto"/>
              <w:bottom w:val="single" w:sz="8" w:color="auto"/>
            </w:tcBorders>
          </w:tcPr>
          <w:p>
            <w:pPr>
              <w:jc w:val="right"/>
              <w:ind w:right="167"/>
              <w:spacing w:after="0" w:line="159" w:lineRule="exact"/>
              <w:rPr>
                <w:sz w:val="20"/>
                <w:szCs w:val="20"/>
                <w:color w:val="auto"/>
              </w:rPr>
            </w:pPr>
            <w:r>
              <w:rPr>
                <w:rFonts w:ascii="Arial" w:cs="Arial" w:eastAsia="Arial" w:hAnsi="Arial"/>
                <w:sz w:val="15"/>
                <w:szCs w:val="15"/>
                <w:b w:val="1"/>
                <w:bCs w:val="1"/>
                <w:color w:val="auto"/>
                <w:w w:val="83"/>
              </w:rPr>
              <w:t>2015</w:t>
            </w:r>
          </w:p>
        </w:tc>
        <w:tc>
          <w:tcPr>
            <w:tcW w:w="1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2"/>
          </w:tcPr>
          <w:p>
            <w:pPr>
              <w:jc w:val="right"/>
              <w:ind w:right="387"/>
              <w:spacing w:after="0" w:line="159" w:lineRule="exact"/>
              <w:rPr>
                <w:sz w:val="20"/>
                <w:szCs w:val="20"/>
                <w:color w:val="auto"/>
              </w:rPr>
            </w:pPr>
            <w:r>
              <w:rPr>
                <w:rFonts w:ascii="Arial" w:cs="Arial" w:eastAsia="Arial" w:hAnsi="Arial"/>
                <w:sz w:val="15"/>
                <w:szCs w:val="15"/>
                <w:b w:val="1"/>
                <w:bCs w:val="1"/>
                <w:color w:val="auto"/>
              </w:rPr>
              <w:t>2016</w:t>
            </w:r>
          </w:p>
        </w:tc>
        <w:tc>
          <w:tcPr>
            <w:tcW w:w="600" w:type="dxa"/>
            <w:vAlign w:val="bottom"/>
            <w:tcBorders>
              <w:top w:val="single" w:sz="8" w:color="auto"/>
              <w:bottom w:val="single" w:sz="8" w:color="auto"/>
            </w:tcBorders>
            <w:gridSpan w:val="2"/>
          </w:tcPr>
          <w:p>
            <w:pPr>
              <w:jc w:val="right"/>
              <w:ind w:right="187"/>
              <w:spacing w:after="0" w:line="159" w:lineRule="exact"/>
              <w:rPr>
                <w:sz w:val="20"/>
                <w:szCs w:val="20"/>
                <w:color w:val="auto"/>
              </w:rPr>
            </w:pPr>
            <w:r>
              <w:rPr>
                <w:rFonts w:ascii="Arial" w:cs="Arial" w:eastAsia="Arial" w:hAnsi="Arial"/>
                <w:sz w:val="15"/>
                <w:szCs w:val="15"/>
                <w:b w:val="1"/>
                <w:bCs w:val="1"/>
                <w:color w:val="auto"/>
                <w:w w:val="95"/>
              </w:rPr>
              <w:t>2017</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47"/>
              <w:spacing w:after="0" w:line="159" w:lineRule="exact"/>
              <w:rPr>
                <w:sz w:val="20"/>
                <w:szCs w:val="20"/>
                <w:color w:val="auto"/>
              </w:rPr>
            </w:pPr>
            <w:r>
              <w:rPr>
                <w:rFonts w:ascii="Arial" w:cs="Arial" w:eastAsia="Arial" w:hAnsi="Arial"/>
                <w:sz w:val="15"/>
                <w:szCs w:val="15"/>
                <w:b w:val="1"/>
                <w:bCs w:val="1"/>
                <w:color w:val="auto"/>
                <w:w w:val="89"/>
              </w:rPr>
              <w:t>2018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587"/>
              <w:spacing w:after="0" w:line="159" w:lineRule="exact"/>
              <w:rPr>
                <w:sz w:val="20"/>
                <w:szCs w:val="20"/>
                <w:color w:val="auto"/>
              </w:rPr>
            </w:pPr>
            <w:r>
              <w:rPr>
                <w:rFonts w:ascii="Arial" w:cs="Arial" w:eastAsia="Arial" w:hAnsi="Arial"/>
                <w:sz w:val="15"/>
                <w:szCs w:val="15"/>
                <w:b w:val="1"/>
                <w:bCs w:val="1"/>
                <w:color w:val="auto"/>
              </w:rPr>
              <w:t>(Unaudited 2009 - 2015)</w:t>
            </w: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center"/>
              <w:spacing w:after="0" w:line="159" w:lineRule="exact"/>
              <w:rPr>
                <w:sz w:val="20"/>
                <w:szCs w:val="20"/>
                <w:color w:val="auto"/>
              </w:rPr>
            </w:pPr>
            <w:r>
              <w:rPr>
                <w:rFonts w:ascii="Arial" w:cs="Arial" w:eastAsia="Arial" w:hAnsi="Arial"/>
                <w:sz w:val="15"/>
                <w:szCs w:val="15"/>
                <w:b w:val="1"/>
                <w:bCs w:val="1"/>
                <w:color w:val="auto"/>
                <w:w w:val="88"/>
              </w:rPr>
              <w:t>(Unaudited)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ind w:left="260"/>
              <w:spacing w:after="0" w:line="159" w:lineRule="exact"/>
              <w:rPr>
                <w:sz w:val="20"/>
                <w:szCs w:val="20"/>
                <w:color w:val="auto"/>
              </w:rPr>
            </w:pPr>
            <w:r>
              <w:rPr>
                <w:rFonts w:ascii="Arial" w:cs="Arial" w:eastAsia="Arial" w:hAnsi="Arial"/>
                <w:sz w:val="15"/>
                <w:szCs w:val="15"/>
                <w:color w:val="auto"/>
              </w:rPr>
              <w:t>2009</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7"/>
              <w:spacing w:after="0" w:line="159" w:lineRule="exact"/>
              <w:rPr>
                <w:sz w:val="20"/>
                <w:szCs w:val="20"/>
                <w:color w:val="auto"/>
              </w:rPr>
            </w:pPr>
            <w:r>
              <w:rPr>
                <w:rFonts w:ascii="Arial" w:cs="Arial" w:eastAsia="Arial" w:hAnsi="Arial"/>
                <w:sz w:val="15"/>
                <w:szCs w:val="15"/>
                <w:color w:val="auto"/>
              </w:rPr>
              <w:t>$ 4,403</w:t>
            </w:r>
          </w:p>
        </w:tc>
        <w:tc>
          <w:tcPr>
            <w:tcW w:w="780" w:type="dxa"/>
            <w:vAlign w:val="bottom"/>
            <w:shd w:val="clear" w:color="auto" w:fill="CCEEFF"/>
          </w:tcPr>
          <w:p>
            <w:pPr>
              <w:jc w:val="right"/>
              <w:ind w:right="67"/>
              <w:spacing w:after="0" w:line="159" w:lineRule="exact"/>
              <w:rPr>
                <w:sz w:val="20"/>
                <w:szCs w:val="20"/>
                <w:color w:val="auto"/>
              </w:rPr>
            </w:pPr>
            <w:r>
              <w:rPr>
                <w:rFonts w:ascii="Arial" w:cs="Arial" w:eastAsia="Arial" w:hAnsi="Arial"/>
                <w:sz w:val="15"/>
                <w:szCs w:val="15"/>
                <w:color w:val="auto"/>
              </w:rPr>
              <w:t>$ 4,254</w:t>
            </w:r>
          </w:p>
        </w:tc>
        <w:tc>
          <w:tcPr>
            <w:tcW w:w="860" w:type="dxa"/>
            <w:vAlign w:val="bottom"/>
            <w:shd w:val="clear" w:color="auto" w:fill="CCEEFF"/>
          </w:tcPr>
          <w:p>
            <w:pPr>
              <w:jc w:val="right"/>
              <w:ind w:right="127"/>
              <w:spacing w:after="0" w:line="159" w:lineRule="exact"/>
              <w:rPr>
                <w:sz w:val="20"/>
                <w:szCs w:val="20"/>
                <w:color w:val="auto"/>
              </w:rPr>
            </w:pPr>
            <w:r>
              <w:rPr>
                <w:rFonts w:ascii="Arial" w:cs="Arial" w:eastAsia="Arial" w:hAnsi="Arial"/>
                <w:sz w:val="15"/>
                <w:szCs w:val="15"/>
                <w:color w:val="auto"/>
              </w:rPr>
              <w:t>$ 4,287</w:t>
            </w:r>
          </w:p>
        </w:tc>
        <w:tc>
          <w:tcPr>
            <w:tcW w:w="780" w:type="dxa"/>
            <w:vAlign w:val="bottom"/>
            <w:shd w:val="clear" w:color="auto" w:fill="CCEEFF"/>
          </w:tcPr>
          <w:p>
            <w:pPr>
              <w:jc w:val="right"/>
              <w:ind w:right="127"/>
              <w:spacing w:after="0" w:line="159" w:lineRule="exact"/>
              <w:rPr>
                <w:sz w:val="20"/>
                <w:szCs w:val="20"/>
                <w:color w:val="auto"/>
              </w:rPr>
            </w:pPr>
            <w:r>
              <w:rPr>
                <w:rFonts w:ascii="Arial" w:cs="Arial" w:eastAsia="Arial" w:hAnsi="Arial"/>
                <w:sz w:val="15"/>
                <w:szCs w:val="15"/>
                <w:color w:val="auto"/>
              </w:rPr>
              <w:t>$ 4,384</w:t>
            </w:r>
          </w:p>
        </w:tc>
        <w:tc>
          <w:tcPr>
            <w:tcW w:w="820" w:type="dxa"/>
            <w:vAlign w:val="bottom"/>
            <w:shd w:val="clear" w:color="auto" w:fill="CCEEFF"/>
          </w:tcPr>
          <w:p>
            <w:pPr>
              <w:jc w:val="right"/>
              <w:ind w:right="147"/>
              <w:spacing w:after="0" w:line="159" w:lineRule="exact"/>
              <w:rPr>
                <w:sz w:val="20"/>
                <w:szCs w:val="20"/>
                <w:color w:val="auto"/>
              </w:rPr>
            </w:pPr>
            <w:r>
              <w:rPr>
                <w:rFonts w:ascii="Arial" w:cs="Arial" w:eastAsia="Arial" w:hAnsi="Arial"/>
                <w:sz w:val="15"/>
                <w:szCs w:val="15"/>
                <w:color w:val="auto"/>
              </w:rPr>
              <w:t>$ 4,511</w:t>
            </w:r>
          </w:p>
        </w:tc>
        <w:tc>
          <w:tcPr>
            <w:tcW w:w="820" w:type="dxa"/>
            <w:vAlign w:val="bottom"/>
            <w:shd w:val="clear" w:color="auto" w:fill="CCEEFF"/>
          </w:tcPr>
          <w:p>
            <w:pPr>
              <w:jc w:val="right"/>
              <w:ind w:right="166"/>
              <w:spacing w:after="0" w:line="159" w:lineRule="exact"/>
              <w:rPr>
                <w:sz w:val="20"/>
                <w:szCs w:val="20"/>
                <w:color w:val="auto"/>
              </w:rPr>
            </w:pPr>
            <w:r>
              <w:rPr>
                <w:rFonts w:ascii="Arial" w:cs="Arial" w:eastAsia="Arial" w:hAnsi="Arial"/>
                <w:sz w:val="15"/>
                <w:szCs w:val="15"/>
                <w:color w:val="auto"/>
              </w:rPr>
              <w:t>$ 4,609</w:t>
            </w: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5"/>
                <w:szCs w:val="15"/>
                <w:color w:val="auto"/>
              </w:rPr>
              <w:t>$ 4,616</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47"/>
              <w:spacing w:after="0" w:line="159" w:lineRule="exact"/>
              <w:rPr>
                <w:sz w:val="20"/>
                <w:szCs w:val="20"/>
                <w:color w:val="auto"/>
              </w:rPr>
            </w:pPr>
            <w:r>
              <w:rPr>
                <w:rFonts w:ascii="Arial" w:cs="Arial" w:eastAsia="Arial" w:hAnsi="Arial"/>
                <w:sz w:val="15"/>
                <w:szCs w:val="15"/>
                <w:color w:val="auto"/>
                <w:w w:val="99"/>
              </w:rPr>
              <w:t>$ 4,667</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w w:val="91"/>
              </w:rPr>
              <w:t>$ 4,690</w:t>
            </w: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$ 4,670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$ 0</w:t>
            </w:r>
          </w:p>
        </w:tc>
        <w:tc>
          <w:tcPr>
            <w:tcW w:w="1300" w:type="dxa"/>
            <w:vAlign w:val="bottom"/>
            <w:gridSpan w:val="2"/>
            <w:shd w:val="clear" w:color="auto" w:fill="CCEEFF"/>
          </w:tcPr>
          <w:p>
            <w:pPr>
              <w:ind w:left="800"/>
              <w:spacing w:after="0" w:line="159" w:lineRule="exact"/>
              <w:rPr>
                <w:sz w:val="20"/>
                <w:szCs w:val="20"/>
                <w:color w:val="auto"/>
              </w:rPr>
            </w:pPr>
            <w:r>
              <w:rPr>
                <w:rFonts w:ascii="Arial" w:cs="Arial" w:eastAsia="Arial" w:hAnsi="Arial"/>
                <w:sz w:val="15"/>
                <w:szCs w:val="15"/>
                <w:color w:val="auto"/>
              </w:rPr>
              <w:t>1,136</w:t>
            </w:r>
          </w:p>
        </w:tc>
        <w:tc>
          <w:tcPr>
            <w:tcW w:w="0" w:type="dxa"/>
            <w:vAlign w:val="bottom"/>
          </w:tcPr>
          <w:p>
            <w:pPr>
              <w:spacing w:after="0"/>
              <w:rPr>
                <w:sz w:val="1"/>
                <w:szCs w:val="1"/>
                <w:color w:val="auto"/>
              </w:rPr>
            </w:pPr>
          </w:p>
        </w:tc>
      </w:tr>
      <w:tr>
        <w:trPr>
          <w:trHeight w:val="159"/>
        </w:trPr>
        <w:tc>
          <w:tcPr>
            <w:tcW w:w="780" w:type="dxa"/>
            <w:vAlign w:val="bottom"/>
          </w:tcPr>
          <w:p>
            <w:pPr>
              <w:ind w:left="260"/>
              <w:spacing w:after="0" w:line="159" w:lineRule="exact"/>
              <w:rPr>
                <w:sz w:val="20"/>
                <w:szCs w:val="20"/>
                <w:color w:val="auto"/>
              </w:rPr>
            </w:pPr>
            <w:r>
              <w:rPr>
                <w:rFonts w:ascii="Arial" w:cs="Arial" w:eastAsia="Arial" w:hAnsi="Arial"/>
                <w:sz w:val="15"/>
                <w:szCs w:val="15"/>
                <w:color w:val="auto"/>
              </w:rPr>
              <w:t>2010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jc w:val="right"/>
              <w:ind w:right="67"/>
              <w:spacing w:after="0" w:line="159" w:lineRule="exact"/>
              <w:rPr>
                <w:sz w:val="20"/>
                <w:szCs w:val="20"/>
                <w:color w:val="auto"/>
              </w:rPr>
            </w:pPr>
            <w:r>
              <w:rPr>
                <w:rFonts w:ascii="Arial" w:cs="Arial" w:eastAsia="Arial" w:hAnsi="Arial"/>
                <w:sz w:val="15"/>
                <w:szCs w:val="15"/>
                <w:color w:val="auto"/>
              </w:rPr>
              <w:t>5,598</w:t>
            </w:r>
          </w:p>
        </w:tc>
        <w:tc>
          <w:tcPr>
            <w:tcW w:w="860" w:type="dxa"/>
            <w:vAlign w:val="bottom"/>
          </w:tcPr>
          <w:p>
            <w:pPr>
              <w:jc w:val="right"/>
              <w:ind w:right="127"/>
              <w:spacing w:after="0" w:line="159" w:lineRule="exact"/>
              <w:rPr>
                <w:sz w:val="20"/>
                <w:szCs w:val="20"/>
                <w:color w:val="auto"/>
              </w:rPr>
            </w:pPr>
            <w:r>
              <w:rPr>
                <w:rFonts w:ascii="Arial" w:cs="Arial" w:eastAsia="Arial" w:hAnsi="Arial"/>
                <w:sz w:val="15"/>
                <w:szCs w:val="15"/>
                <w:color w:val="auto"/>
              </w:rPr>
              <w:t>5,707</w:t>
            </w:r>
          </w:p>
        </w:tc>
        <w:tc>
          <w:tcPr>
            <w:tcW w:w="780" w:type="dxa"/>
            <w:vAlign w:val="bottom"/>
          </w:tcPr>
          <w:p>
            <w:pPr>
              <w:jc w:val="right"/>
              <w:ind w:right="127"/>
              <w:spacing w:after="0" w:line="159" w:lineRule="exact"/>
              <w:rPr>
                <w:sz w:val="20"/>
                <w:szCs w:val="20"/>
                <w:color w:val="auto"/>
              </w:rPr>
            </w:pPr>
            <w:r>
              <w:rPr>
                <w:rFonts w:ascii="Arial" w:cs="Arial" w:eastAsia="Arial" w:hAnsi="Arial"/>
                <w:sz w:val="15"/>
                <w:szCs w:val="15"/>
                <w:color w:val="auto"/>
              </w:rPr>
              <w:t>6,429</w:t>
            </w:r>
          </w:p>
        </w:tc>
        <w:tc>
          <w:tcPr>
            <w:tcW w:w="820" w:type="dxa"/>
            <w:vAlign w:val="bottom"/>
          </w:tcPr>
          <w:p>
            <w:pPr>
              <w:jc w:val="right"/>
              <w:ind w:right="147"/>
              <w:spacing w:after="0" w:line="159" w:lineRule="exact"/>
              <w:rPr>
                <w:sz w:val="20"/>
                <w:szCs w:val="20"/>
                <w:color w:val="auto"/>
              </w:rPr>
            </w:pPr>
            <w:r>
              <w:rPr>
                <w:rFonts w:ascii="Arial" w:cs="Arial" w:eastAsia="Arial" w:hAnsi="Arial"/>
                <w:sz w:val="15"/>
                <w:szCs w:val="15"/>
                <w:color w:val="auto"/>
              </w:rPr>
              <w:t>6,623</w:t>
            </w:r>
          </w:p>
        </w:tc>
        <w:tc>
          <w:tcPr>
            <w:tcW w:w="820" w:type="dxa"/>
            <w:vAlign w:val="bottom"/>
          </w:tcPr>
          <w:p>
            <w:pPr>
              <w:jc w:val="right"/>
              <w:ind w:right="166"/>
              <w:spacing w:after="0" w:line="159" w:lineRule="exact"/>
              <w:rPr>
                <w:sz w:val="20"/>
                <w:szCs w:val="20"/>
                <w:color w:val="auto"/>
              </w:rPr>
            </w:pPr>
            <w:r>
              <w:rPr>
                <w:rFonts w:ascii="Arial" w:cs="Arial" w:eastAsia="Arial" w:hAnsi="Arial"/>
                <w:sz w:val="15"/>
                <w:szCs w:val="15"/>
                <w:color w:val="auto"/>
              </w:rPr>
              <w:t>6,912</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5"/>
                <w:szCs w:val="15"/>
                <w:color w:val="auto"/>
              </w:rPr>
              <w:t>6,853</w:t>
            </w:r>
          </w:p>
        </w:tc>
        <w:tc>
          <w:tcPr>
            <w:tcW w:w="140" w:type="dxa"/>
            <w:vAlign w:val="bottom"/>
          </w:tcPr>
          <w:p>
            <w:pPr>
              <w:spacing w:after="0"/>
              <w:rPr>
                <w:sz w:val="13"/>
                <w:szCs w:val="13"/>
                <w:color w:val="auto"/>
              </w:rPr>
            </w:pPr>
          </w:p>
        </w:tc>
        <w:tc>
          <w:tcPr>
            <w:tcW w:w="740" w:type="dxa"/>
            <w:vAlign w:val="bottom"/>
          </w:tcPr>
          <w:p>
            <w:pPr>
              <w:jc w:val="right"/>
              <w:ind w:right="147"/>
              <w:spacing w:after="0" w:line="159" w:lineRule="exact"/>
              <w:rPr>
                <w:sz w:val="20"/>
                <w:szCs w:val="20"/>
                <w:color w:val="auto"/>
              </w:rPr>
            </w:pPr>
            <w:r>
              <w:rPr>
                <w:rFonts w:ascii="Arial" w:cs="Arial" w:eastAsia="Arial" w:hAnsi="Arial"/>
                <w:sz w:val="15"/>
                <w:szCs w:val="15"/>
                <w:color w:val="auto"/>
              </w:rPr>
              <w:t>6,838</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5"/>
                <w:szCs w:val="15"/>
                <w:color w:val="auto"/>
              </w:rPr>
              <w:t>6,840</w:t>
            </w:r>
          </w:p>
        </w:tc>
        <w:tc>
          <w:tcPr>
            <w:tcW w:w="3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5"/>
                <w:szCs w:val="15"/>
                <w:color w:val="auto"/>
              </w:rPr>
              <w:t>6,785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5"/>
                <w:szCs w:val="15"/>
                <w:color w:val="auto"/>
              </w:rPr>
              <w:t>(1)</w:t>
            </w:r>
          </w:p>
        </w:tc>
        <w:tc>
          <w:tcPr>
            <w:tcW w:w="1300" w:type="dxa"/>
            <w:vAlign w:val="bottom"/>
            <w:gridSpan w:val="2"/>
          </w:tcPr>
          <w:p>
            <w:pPr>
              <w:ind w:left="800"/>
              <w:spacing w:after="0" w:line="159" w:lineRule="exact"/>
              <w:rPr>
                <w:sz w:val="20"/>
                <w:szCs w:val="20"/>
                <w:color w:val="auto"/>
              </w:rPr>
            </w:pPr>
            <w:r>
              <w:rPr>
                <w:rFonts w:ascii="Arial" w:cs="Arial" w:eastAsia="Arial" w:hAnsi="Arial"/>
                <w:sz w:val="15"/>
                <w:szCs w:val="15"/>
                <w:color w:val="auto"/>
              </w:rPr>
              <w:t>1,616</w:t>
            </w: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ind w:left="260"/>
              <w:spacing w:after="0" w:line="159" w:lineRule="exact"/>
              <w:rPr>
                <w:sz w:val="20"/>
                <w:szCs w:val="20"/>
                <w:color w:val="auto"/>
              </w:rPr>
            </w:pPr>
            <w:r>
              <w:rPr>
                <w:rFonts w:ascii="Arial" w:cs="Arial" w:eastAsia="Arial" w:hAnsi="Arial"/>
                <w:sz w:val="15"/>
                <w:szCs w:val="15"/>
                <w:color w:val="auto"/>
              </w:rPr>
              <w:t>2011</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27"/>
              <w:spacing w:after="0" w:line="159" w:lineRule="exact"/>
              <w:rPr>
                <w:sz w:val="20"/>
                <w:szCs w:val="20"/>
                <w:color w:val="auto"/>
              </w:rPr>
            </w:pPr>
            <w:r>
              <w:rPr>
                <w:rFonts w:ascii="Arial" w:cs="Arial" w:eastAsia="Arial" w:hAnsi="Arial"/>
                <w:sz w:val="15"/>
                <w:szCs w:val="15"/>
                <w:color w:val="auto"/>
              </w:rPr>
              <w:t>7,603</w:t>
            </w:r>
          </w:p>
        </w:tc>
        <w:tc>
          <w:tcPr>
            <w:tcW w:w="780" w:type="dxa"/>
            <w:vAlign w:val="bottom"/>
            <w:shd w:val="clear" w:color="auto" w:fill="CCEEFF"/>
          </w:tcPr>
          <w:p>
            <w:pPr>
              <w:jc w:val="right"/>
              <w:ind w:right="127"/>
              <w:spacing w:after="0" w:line="159" w:lineRule="exact"/>
              <w:rPr>
                <w:sz w:val="20"/>
                <w:szCs w:val="20"/>
                <w:color w:val="auto"/>
              </w:rPr>
            </w:pPr>
            <w:r>
              <w:rPr>
                <w:rFonts w:ascii="Arial" w:cs="Arial" w:eastAsia="Arial" w:hAnsi="Arial"/>
                <w:sz w:val="15"/>
                <w:szCs w:val="15"/>
                <w:color w:val="auto"/>
              </w:rPr>
              <w:t>7,678</w:t>
            </w:r>
          </w:p>
        </w:tc>
        <w:tc>
          <w:tcPr>
            <w:tcW w:w="820" w:type="dxa"/>
            <w:vAlign w:val="bottom"/>
            <w:shd w:val="clear" w:color="auto" w:fill="CCEEFF"/>
          </w:tcPr>
          <w:p>
            <w:pPr>
              <w:jc w:val="right"/>
              <w:ind w:right="147"/>
              <w:spacing w:after="0" w:line="159" w:lineRule="exact"/>
              <w:rPr>
                <w:sz w:val="20"/>
                <w:szCs w:val="20"/>
                <w:color w:val="auto"/>
              </w:rPr>
            </w:pPr>
            <w:r>
              <w:rPr>
                <w:rFonts w:ascii="Arial" w:cs="Arial" w:eastAsia="Arial" w:hAnsi="Arial"/>
                <w:sz w:val="15"/>
                <w:szCs w:val="15"/>
                <w:color w:val="auto"/>
              </w:rPr>
              <w:t>8,618</w:t>
            </w:r>
          </w:p>
        </w:tc>
        <w:tc>
          <w:tcPr>
            <w:tcW w:w="820" w:type="dxa"/>
            <w:vAlign w:val="bottom"/>
            <w:shd w:val="clear" w:color="auto" w:fill="CCEEFF"/>
          </w:tcPr>
          <w:p>
            <w:pPr>
              <w:jc w:val="right"/>
              <w:ind w:right="166"/>
              <w:spacing w:after="0" w:line="159" w:lineRule="exact"/>
              <w:rPr>
                <w:sz w:val="20"/>
                <w:szCs w:val="20"/>
                <w:color w:val="auto"/>
              </w:rPr>
            </w:pPr>
            <w:r>
              <w:rPr>
                <w:rFonts w:ascii="Arial" w:cs="Arial" w:eastAsia="Arial" w:hAnsi="Arial"/>
                <w:sz w:val="15"/>
                <w:szCs w:val="15"/>
                <w:color w:val="auto"/>
              </w:rPr>
              <w:t>9,440</w:t>
            </w: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5"/>
                <w:szCs w:val="15"/>
                <w:color w:val="auto"/>
              </w:rPr>
              <w:t>9,198</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47"/>
              <w:spacing w:after="0" w:line="159" w:lineRule="exact"/>
              <w:rPr>
                <w:sz w:val="20"/>
                <w:szCs w:val="20"/>
                <w:color w:val="auto"/>
              </w:rPr>
            </w:pPr>
            <w:r>
              <w:rPr>
                <w:rFonts w:ascii="Arial" w:cs="Arial" w:eastAsia="Arial" w:hAnsi="Arial"/>
                <w:sz w:val="15"/>
                <w:szCs w:val="15"/>
                <w:color w:val="auto"/>
              </w:rPr>
              <w:t>9,066</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9,144</w:t>
            </w: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9,147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2</w:t>
            </w:r>
          </w:p>
        </w:tc>
        <w:tc>
          <w:tcPr>
            <w:tcW w:w="1300" w:type="dxa"/>
            <w:vAlign w:val="bottom"/>
            <w:gridSpan w:val="2"/>
            <w:shd w:val="clear" w:color="auto" w:fill="CCEEFF"/>
          </w:tcPr>
          <w:p>
            <w:pPr>
              <w:ind w:left="800"/>
              <w:spacing w:after="0" w:line="159" w:lineRule="exact"/>
              <w:rPr>
                <w:sz w:val="20"/>
                <w:szCs w:val="20"/>
                <w:color w:val="auto"/>
              </w:rPr>
            </w:pPr>
            <w:r>
              <w:rPr>
                <w:rFonts w:ascii="Arial" w:cs="Arial" w:eastAsia="Arial" w:hAnsi="Arial"/>
                <w:sz w:val="15"/>
                <w:szCs w:val="15"/>
                <w:color w:val="auto"/>
              </w:rPr>
              <w:t>1,913</w:t>
            </w:r>
          </w:p>
        </w:tc>
        <w:tc>
          <w:tcPr>
            <w:tcW w:w="0" w:type="dxa"/>
            <w:vAlign w:val="bottom"/>
          </w:tcPr>
          <w:p>
            <w:pPr>
              <w:spacing w:after="0"/>
              <w:rPr>
                <w:sz w:val="1"/>
                <w:szCs w:val="1"/>
                <w:color w:val="auto"/>
              </w:rPr>
            </w:pPr>
          </w:p>
        </w:tc>
      </w:tr>
      <w:tr>
        <w:trPr>
          <w:trHeight w:val="159"/>
        </w:trPr>
        <w:tc>
          <w:tcPr>
            <w:tcW w:w="780" w:type="dxa"/>
            <w:vAlign w:val="bottom"/>
          </w:tcPr>
          <w:p>
            <w:pPr>
              <w:ind w:left="260"/>
              <w:spacing w:after="0" w:line="159" w:lineRule="exact"/>
              <w:rPr>
                <w:sz w:val="20"/>
                <w:szCs w:val="20"/>
                <w:color w:val="auto"/>
              </w:rPr>
            </w:pPr>
            <w:r>
              <w:rPr>
                <w:rFonts w:ascii="Arial" w:cs="Arial" w:eastAsia="Arial" w:hAnsi="Arial"/>
                <w:sz w:val="15"/>
                <w:szCs w:val="15"/>
                <w:color w:val="auto"/>
              </w:rPr>
              <w:t>2012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jc w:val="right"/>
              <w:ind w:right="127"/>
              <w:spacing w:after="0" w:line="159" w:lineRule="exact"/>
              <w:rPr>
                <w:sz w:val="20"/>
                <w:szCs w:val="20"/>
                <w:color w:val="auto"/>
              </w:rPr>
            </w:pPr>
            <w:r>
              <w:rPr>
                <w:rFonts w:ascii="Arial" w:cs="Arial" w:eastAsia="Arial" w:hAnsi="Arial"/>
                <w:sz w:val="15"/>
                <w:szCs w:val="15"/>
                <w:color w:val="auto"/>
              </w:rPr>
              <w:t>9,539</w:t>
            </w:r>
          </w:p>
        </w:tc>
        <w:tc>
          <w:tcPr>
            <w:tcW w:w="820" w:type="dxa"/>
            <w:vAlign w:val="bottom"/>
          </w:tcPr>
          <w:p>
            <w:pPr>
              <w:jc w:val="right"/>
              <w:ind w:right="147"/>
              <w:spacing w:after="0" w:line="159" w:lineRule="exact"/>
              <w:rPr>
                <w:sz w:val="20"/>
                <w:szCs w:val="20"/>
                <w:color w:val="auto"/>
              </w:rPr>
            </w:pPr>
            <w:r>
              <w:rPr>
                <w:rFonts w:ascii="Arial" w:cs="Arial" w:eastAsia="Arial" w:hAnsi="Arial"/>
                <w:sz w:val="15"/>
                <w:szCs w:val="15"/>
                <w:color w:val="auto"/>
              </w:rPr>
              <w:t>9,344</w:t>
            </w:r>
          </w:p>
        </w:tc>
        <w:tc>
          <w:tcPr>
            <w:tcW w:w="820" w:type="dxa"/>
            <w:vAlign w:val="bottom"/>
          </w:tcPr>
          <w:p>
            <w:pPr>
              <w:jc w:val="right"/>
              <w:ind w:right="166"/>
              <w:spacing w:after="0" w:line="159" w:lineRule="exact"/>
              <w:rPr>
                <w:sz w:val="20"/>
                <w:szCs w:val="20"/>
                <w:color w:val="auto"/>
              </w:rPr>
            </w:pPr>
            <w:r>
              <w:rPr>
                <w:rFonts w:ascii="Arial" w:cs="Arial" w:eastAsia="Arial" w:hAnsi="Arial"/>
                <w:sz w:val="15"/>
                <w:szCs w:val="15"/>
                <w:color w:val="auto"/>
              </w:rPr>
              <w:t>10,278</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5"/>
                <w:szCs w:val="15"/>
                <w:color w:val="auto"/>
              </w:rPr>
              <w:t>10,382</w:t>
            </w:r>
          </w:p>
        </w:tc>
        <w:tc>
          <w:tcPr>
            <w:tcW w:w="140" w:type="dxa"/>
            <w:vAlign w:val="bottom"/>
          </w:tcPr>
          <w:p>
            <w:pPr>
              <w:spacing w:after="0"/>
              <w:rPr>
                <w:sz w:val="13"/>
                <w:szCs w:val="13"/>
                <w:color w:val="auto"/>
              </w:rPr>
            </w:pPr>
          </w:p>
        </w:tc>
        <w:tc>
          <w:tcPr>
            <w:tcW w:w="740" w:type="dxa"/>
            <w:vAlign w:val="bottom"/>
          </w:tcPr>
          <w:p>
            <w:pPr>
              <w:jc w:val="right"/>
              <w:ind w:right="147"/>
              <w:spacing w:after="0" w:line="159" w:lineRule="exact"/>
              <w:rPr>
                <w:sz w:val="20"/>
                <w:szCs w:val="20"/>
                <w:color w:val="auto"/>
              </w:rPr>
            </w:pPr>
            <w:r>
              <w:rPr>
                <w:rFonts w:ascii="Arial" w:cs="Arial" w:eastAsia="Arial" w:hAnsi="Arial"/>
                <w:sz w:val="15"/>
                <w:szCs w:val="15"/>
                <w:color w:val="auto"/>
              </w:rPr>
              <w:t>10,582</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5"/>
                <w:szCs w:val="15"/>
                <w:color w:val="auto"/>
              </w:rPr>
              <w:t>10,790</w:t>
            </w:r>
          </w:p>
        </w:tc>
        <w:tc>
          <w:tcPr>
            <w:tcW w:w="3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5"/>
                <w:szCs w:val="15"/>
                <w:color w:val="auto"/>
              </w:rPr>
              <w:t>10,770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5"/>
                <w:szCs w:val="15"/>
                <w:color w:val="auto"/>
              </w:rPr>
              <w:t>19</w:t>
            </w:r>
          </w:p>
        </w:tc>
        <w:tc>
          <w:tcPr>
            <w:tcW w:w="1300" w:type="dxa"/>
            <w:vAlign w:val="bottom"/>
            <w:gridSpan w:val="2"/>
          </w:tcPr>
          <w:p>
            <w:pPr>
              <w:ind w:left="800"/>
              <w:spacing w:after="0" w:line="159" w:lineRule="exact"/>
              <w:rPr>
                <w:sz w:val="20"/>
                <w:szCs w:val="20"/>
                <w:color w:val="auto"/>
              </w:rPr>
            </w:pPr>
            <w:r>
              <w:rPr>
                <w:rFonts w:ascii="Arial" w:cs="Arial" w:eastAsia="Arial" w:hAnsi="Arial"/>
                <w:sz w:val="15"/>
                <w:szCs w:val="15"/>
                <w:color w:val="auto"/>
                <w:w w:val="85"/>
              </w:rPr>
              <w:t>4,702(1)</w:t>
            </w: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ind w:left="260"/>
              <w:spacing w:after="0" w:line="159" w:lineRule="exact"/>
              <w:rPr>
                <w:sz w:val="20"/>
                <w:szCs w:val="20"/>
                <w:color w:val="auto"/>
              </w:rPr>
            </w:pPr>
            <w:r>
              <w:rPr>
                <w:rFonts w:ascii="Arial" w:cs="Arial" w:eastAsia="Arial" w:hAnsi="Arial"/>
                <w:sz w:val="15"/>
                <w:szCs w:val="15"/>
                <w:color w:val="auto"/>
              </w:rPr>
              <w:t>2013</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47"/>
              <w:spacing w:after="0" w:line="159" w:lineRule="exact"/>
              <w:rPr>
                <w:sz w:val="20"/>
                <w:szCs w:val="20"/>
                <w:color w:val="auto"/>
              </w:rPr>
            </w:pPr>
            <w:r>
              <w:rPr>
                <w:rFonts w:ascii="Arial" w:cs="Arial" w:eastAsia="Arial" w:hAnsi="Arial"/>
                <w:sz w:val="15"/>
                <w:szCs w:val="15"/>
                <w:color w:val="auto"/>
              </w:rPr>
              <w:t>10,728</w:t>
            </w:r>
          </w:p>
        </w:tc>
        <w:tc>
          <w:tcPr>
            <w:tcW w:w="820" w:type="dxa"/>
            <w:vAlign w:val="bottom"/>
            <w:shd w:val="clear" w:color="auto" w:fill="CCEEFF"/>
          </w:tcPr>
          <w:p>
            <w:pPr>
              <w:jc w:val="right"/>
              <w:ind w:right="166"/>
              <w:spacing w:after="0" w:line="159" w:lineRule="exact"/>
              <w:rPr>
                <w:sz w:val="20"/>
                <w:szCs w:val="20"/>
                <w:color w:val="auto"/>
              </w:rPr>
            </w:pPr>
            <w:r>
              <w:rPr>
                <w:rFonts w:ascii="Arial" w:cs="Arial" w:eastAsia="Arial" w:hAnsi="Arial"/>
                <w:sz w:val="15"/>
                <w:szCs w:val="15"/>
                <w:color w:val="auto"/>
              </w:rPr>
              <w:t>9,745</w:t>
            </w: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5"/>
                <w:szCs w:val="15"/>
                <w:color w:val="auto"/>
              </w:rPr>
              <w:t>9,424</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47"/>
              <w:spacing w:after="0" w:line="159" w:lineRule="exact"/>
              <w:rPr>
                <w:sz w:val="20"/>
                <w:szCs w:val="20"/>
                <w:color w:val="auto"/>
              </w:rPr>
            </w:pPr>
            <w:r>
              <w:rPr>
                <w:rFonts w:ascii="Arial" w:cs="Arial" w:eastAsia="Arial" w:hAnsi="Arial"/>
                <w:sz w:val="15"/>
                <w:szCs w:val="15"/>
                <w:color w:val="auto"/>
              </w:rPr>
              <w:t>9,621</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10,061</w:t>
            </w: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132</w:t>
            </w:r>
          </w:p>
        </w:tc>
        <w:tc>
          <w:tcPr>
            <w:tcW w:w="1300" w:type="dxa"/>
            <w:vAlign w:val="bottom"/>
            <w:gridSpan w:val="2"/>
            <w:shd w:val="clear" w:color="auto" w:fill="CCEEFF"/>
          </w:tcPr>
          <w:p>
            <w:pPr>
              <w:ind w:left="800"/>
              <w:spacing w:after="0" w:line="159" w:lineRule="exact"/>
              <w:rPr>
                <w:sz w:val="20"/>
                <w:szCs w:val="20"/>
                <w:color w:val="auto"/>
              </w:rPr>
            </w:pPr>
            <w:r>
              <w:rPr>
                <w:rFonts w:ascii="Arial" w:cs="Arial" w:eastAsia="Arial" w:hAnsi="Arial"/>
                <w:sz w:val="15"/>
                <w:szCs w:val="15"/>
                <w:color w:val="auto"/>
              </w:rPr>
              <w:t>1,560</w:t>
            </w:r>
          </w:p>
        </w:tc>
        <w:tc>
          <w:tcPr>
            <w:tcW w:w="0" w:type="dxa"/>
            <w:vAlign w:val="bottom"/>
          </w:tcPr>
          <w:p>
            <w:pPr>
              <w:spacing w:after="0"/>
              <w:rPr>
                <w:sz w:val="1"/>
                <w:szCs w:val="1"/>
                <w:color w:val="auto"/>
              </w:rPr>
            </w:pPr>
          </w:p>
        </w:tc>
      </w:tr>
      <w:tr>
        <w:trPr>
          <w:trHeight w:val="159"/>
        </w:trPr>
        <w:tc>
          <w:tcPr>
            <w:tcW w:w="780" w:type="dxa"/>
            <w:vAlign w:val="bottom"/>
          </w:tcPr>
          <w:p>
            <w:pPr>
              <w:ind w:left="260"/>
              <w:spacing w:after="0" w:line="159" w:lineRule="exact"/>
              <w:rPr>
                <w:sz w:val="20"/>
                <w:szCs w:val="20"/>
                <w:color w:val="auto"/>
              </w:rPr>
            </w:pPr>
            <w:r>
              <w:rPr>
                <w:rFonts w:ascii="Arial" w:cs="Arial" w:eastAsia="Arial" w:hAnsi="Arial"/>
                <w:sz w:val="15"/>
                <w:szCs w:val="15"/>
                <w:color w:val="auto"/>
              </w:rPr>
              <w:t>2014</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jc w:val="right"/>
              <w:ind w:right="166"/>
              <w:spacing w:after="0" w:line="159" w:lineRule="exact"/>
              <w:rPr>
                <w:sz w:val="20"/>
                <w:szCs w:val="20"/>
                <w:color w:val="auto"/>
              </w:rPr>
            </w:pPr>
            <w:r>
              <w:rPr>
                <w:rFonts w:ascii="Arial" w:cs="Arial" w:eastAsia="Arial" w:hAnsi="Arial"/>
                <w:sz w:val="15"/>
                <w:szCs w:val="15"/>
                <w:color w:val="auto"/>
              </w:rPr>
              <w:t>14,193</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5"/>
                <w:szCs w:val="15"/>
                <w:color w:val="auto"/>
              </w:rPr>
              <w:t>14,260</w:t>
            </w:r>
          </w:p>
        </w:tc>
        <w:tc>
          <w:tcPr>
            <w:tcW w:w="140" w:type="dxa"/>
            <w:vAlign w:val="bottom"/>
          </w:tcPr>
          <w:p>
            <w:pPr>
              <w:spacing w:after="0"/>
              <w:rPr>
                <w:sz w:val="13"/>
                <w:szCs w:val="13"/>
                <w:color w:val="auto"/>
              </w:rPr>
            </w:pPr>
          </w:p>
        </w:tc>
        <w:tc>
          <w:tcPr>
            <w:tcW w:w="740" w:type="dxa"/>
            <w:vAlign w:val="bottom"/>
          </w:tcPr>
          <w:p>
            <w:pPr>
              <w:jc w:val="right"/>
              <w:ind w:right="147"/>
              <w:spacing w:after="0" w:line="159" w:lineRule="exact"/>
              <w:rPr>
                <w:sz w:val="20"/>
                <w:szCs w:val="20"/>
                <w:color w:val="auto"/>
              </w:rPr>
            </w:pPr>
            <w:r>
              <w:rPr>
                <w:rFonts w:ascii="Arial" w:cs="Arial" w:eastAsia="Arial" w:hAnsi="Arial"/>
                <w:sz w:val="15"/>
                <w:szCs w:val="15"/>
                <w:color w:val="auto"/>
              </w:rPr>
              <w:t>14,218</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5"/>
                <w:szCs w:val="15"/>
                <w:color w:val="auto"/>
              </w:rPr>
              <w:t>14,564</w:t>
            </w:r>
          </w:p>
        </w:tc>
        <w:tc>
          <w:tcPr>
            <w:tcW w:w="3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5"/>
                <w:szCs w:val="15"/>
                <w:color w:val="auto"/>
              </w:rPr>
              <w:t>14,954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5"/>
                <w:szCs w:val="15"/>
                <w:color w:val="auto"/>
              </w:rPr>
              <w:t>309</w:t>
            </w:r>
          </w:p>
        </w:tc>
        <w:tc>
          <w:tcPr>
            <w:tcW w:w="1300" w:type="dxa"/>
            <w:vAlign w:val="bottom"/>
            <w:gridSpan w:val="2"/>
          </w:tcPr>
          <w:p>
            <w:pPr>
              <w:ind w:left="800"/>
              <w:spacing w:after="0" w:line="159" w:lineRule="exact"/>
              <w:rPr>
                <w:sz w:val="20"/>
                <w:szCs w:val="20"/>
                <w:color w:val="auto"/>
              </w:rPr>
            </w:pPr>
            <w:r>
              <w:rPr>
                <w:rFonts w:ascii="Arial" w:cs="Arial" w:eastAsia="Arial" w:hAnsi="Arial"/>
                <w:sz w:val="15"/>
                <w:szCs w:val="15"/>
                <w:color w:val="auto"/>
              </w:rPr>
              <w:t>2,129</w:t>
            </w: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ind w:left="260"/>
              <w:spacing w:after="0" w:line="159" w:lineRule="exact"/>
              <w:rPr>
                <w:sz w:val="20"/>
                <w:szCs w:val="20"/>
                <w:color w:val="auto"/>
              </w:rPr>
            </w:pPr>
            <w:r>
              <w:rPr>
                <w:rFonts w:ascii="Arial" w:cs="Arial" w:eastAsia="Arial" w:hAnsi="Arial"/>
                <w:sz w:val="15"/>
                <w:szCs w:val="15"/>
                <w:color w:val="auto"/>
              </w:rPr>
              <w:t>2015</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5"/>
                <w:szCs w:val="15"/>
                <w:color w:val="auto"/>
              </w:rPr>
              <w:t>22,340</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47"/>
              <w:spacing w:after="0" w:line="159" w:lineRule="exact"/>
              <w:rPr>
                <w:sz w:val="20"/>
                <w:szCs w:val="20"/>
                <w:color w:val="auto"/>
              </w:rPr>
            </w:pPr>
            <w:r>
              <w:rPr>
                <w:rFonts w:ascii="Arial" w:cs="Arial" w:eastAsia="Arial" w:hAnsi="Arial"/>
                <w:sz w:val="15"/>
                <w:szCs w:val="15"/>
                <w:color w:val="auto"/>
              </w:rPr>
              <w:t>21,994</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22,148</w:t>
            </w: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22,186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642</w:t>
            </w:r>
          </w:p>
        </w:tc>
        <w:tc>
          <w:tcPr>
            <w:tcW w:w="1300" w:type="dxa"/>
            <w:vAlign w:val="bottom"/>
            <w:gridSpan w:val="2"/>
            <w:shd w:val="clear" w:color="auto" w:fill="CCEEFF"/>
          </w:tcPr>
          <w:p>
            <w:pPr>
              <w:ind w:left="800"/>
              <w:spacing w:after="0" w:line="159" w:lineRule="exact"/>
              <w:rPr>
                <w:sz w:val="20"/>
                <w:szCs w:val="20"/>
                <w:color w:val="auto"/>
              </w:rPr>
            </w:pPr>
            <w:r>
              <w:rPr>
                <w:rFonts w:ascii="Arial" w:cs="Arial" w:eastAsia="Arial" w:hAnsi="Arial"/>
                <w:sz w:val="15"/>
                <w:szCs w:val="15"/>
                <w:color w:val="auto"/>
              </w:rPr>
              <w:t>2,546</w:t>
            </w:r>
          </w:p>
        </w:tc>
        <w:tc>
          <w:tcPr>
            <w:tcW w:w="0" w:type="dxa"/>
            <w:vAlign w:val="bottom"/>
          </w:tcPr>
          <w:p>
            <w:pPr>
              <w:spacing w:after="0"/>
              <w:rPr>
                <w:sz w:val="1"/>
                <w:szCs w:val="1"/>
                <w:color w:val="auto"/>
              </w:rPr>
            </w:pPr>
          </w:p>
        </w:tc>
      </w:tr>
      <w:tr>
        <w:trPr>
          <w:trHeight w:val="159"/>
        </w:trPr>
        <w:tc>
          <w:tcPr>
            <w:tcW w:w="780" w:type="dxa"/>
            <w:vAlign w:val="bottom"/>
          </w:tcPr>
          <w:p>
            <w:pPr>
              <w:ind w:left="260"/>
              <w:spacing w:after="0" w:line="159" w:lineRule="exact"/>
              <w:rPr>
                <w:sz w:val="20"/>
                <w:szCs w:val="20"/>
                <w:color w:val="auto"/>
              </w:rPr>
            </w:pPr>
            <w:r>
              <w:rPr>
                <w:rFonts w:ascii="Arial" w:cs="Arial" w:eastAsia="Arial" w:hAnsi="Arial"/>
                <w:sz w:val="15"/>
                <w:szCs w:val="15"/>
                <w:color w:val="auto"/>
              </w:rPr>
              <w:t>2016</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47"/>
              <w:spacing w:after="0" w:line="159" w:lineRule="exact"/>
              <w:rPr>
                <w:sz w:val="20"/>
                <w:szCs w:val="20"/>
                <w:color w:val="auto"/>
              </w:rPr>
            </w:pPr>
            <w:r>
              <w:rPr>
                <w:rFonts w:ascii="Arial" w:cs="Arial" w:eastAsia="Arial" w:hAnsi="Arial"/>
                <w:sz w:val="15"/>
                <w:szCs w:val="15"/>
                <w:color w:val="auto"/>
              </w:rPr>
              <w:t>26,062</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5"/>
                <w:szCs w:val="15"/>
                <w:color w:val="auto"/>
              </w:rPr>
              <w:t>24,941</w:t>
            </w:r>
          </w:p>
        </w:tc>
        <w:tc>
          <w:tcPr>
            <w:tcW w:w="3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5"/>
                <w:szCs w:val="15"/>
                <w:color w:val="auto"/>
              </w:rPr>
              <w:t>24,256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5"/>
                <w:szCs w:val="15"/>
                <w:color w:val="auto"/>
              </w:rPr>
              <w:t>1,646</w:t>
            </w:r>
          </w:p>
        </w:tc>
        <w:tc>
          <w:tcPr>
            <w:tcW w:w="1300" w:type="dxa"/>
            <w:vAlign w:val="bottom"/>
            <w:gridSpan w:val="2"/>
          </w:tcPr>
          <w:p>
            <w:pPr>
              <w:ind w:left="800"/>
              <w:spacing w:after="0" w:line="159" w:lineRule="exact"/>
              <w:rPr>
                <w:sz w:val="20"/>
                <w:szCs w:val="20"/>
                <w:color w:val="auto"/>
              </w:rPr>
            </w:pPr>
            <w:r>
              <w:rPr>
                <w:rFonts w:ascii="Arial" w:cs="Arial" w:eastAsia="Arial" w:hAnsi="Arial"/>
                <w:sz w:val="15"/>
                <w:szCs w:val="15"/>
                <w:color w:val="auto"/>
              </w:rPr>
              <w:t>2,860</w:t>
            </w: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ind w:left="260"/>
              <w:spacing w:after="0" w:line="159" w:lineRule="exact"/>
              <w:rPr>
                <w:sz w:val="20"/>
                <w:szCs w:val="20"/>
                <w:color w:val="auto"/>
              </w:rPr>
            </w:pPr>
            <w:r>
              <w:rPr>
                <w:rFonts w:ascii="Arial" w:cs="Arial" w:eastAsia="Arial" w:hAnsi="Arial"/>
                <w:sz w:val="15"/>
                <w:szCs w:val="15"/>
                <w:color w:val="auto"/>
              </w:rPr>
              <w:t>2017</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31,605</w:t>
            </w: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32,146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3,376</w:t>
            </w:r>
          </w:p>
        </w:tc>
        <w:tc>
          <w:tcPr>
            <w:tcW w:w="1300" w:type="dxa"/>
            <w:vAlign w:val="bottom"/>
            <w:gridSpan w:val="2"/>
            <w:shd w:val="clear" w:color="auto" w:fill="CCEEFF"/>
          </w:tcPr>
          <w:p>
            <w:pPr>
              <w:ind w:left="800"/>
              <w:spacing w:after="0" w:line="159" w:lineRule="exact"/>
              <w:rPr>
                <w:sz w:val="20"/>
                <w:szCs w:val="20"/>
                <w:color w:val="auto"/>
              </w:rPr>
            </w:pPr>
            <w:r>
              <w:rPr>
                <w:rFonts w:ascii="Arial" w:cs="Arial" w:eastAsia="Arial" w:hAnsi="Arial"/>
                <w:sz w:val="15"/>
                <w:szCs w:val="15"/>
                <w:color w:val="auto"/>
              </w:rPr>
              <w:t>3,322</w:t>
            </w:r>
          </w:p>
        </w:tc>
        <w:tc>
          <w:tcPr>
            <w:tcW w:w="0" w:type="dxa"/>
            <w:vAlign w:val="bottom"/>
          </w:tcPr>
          <w:p>
            <w:pPr>
              <w:spacing w:after="0"/>
              <w:rPr>
                <w:sz w:val="1"/>
                <w:szCs w:val="1"/>
                <w:color w:val="auto"/>
              </w:rPr>
            </w:pPr>
          </w:p>
        </w:tc>
      </w:tr>
      <w:tr>
        <w:trPr>
          <w:trHeight w:val="165"/>
        </w:trPr>
        <w:tc>
          <w:tcPr>
            <w:tcW w:w="780" w:type="dxa"/>
            <w:vAlign w:val="bottom"/>
          </w:tcPr>
          <w:p>
            <w:pPr>
              <w:ind w:left="260"/>
              <w:spacing w:after="0" w:line="159" w:lineRule="exact"/>
              <w:rPr>
                <w:sz w:val="20"/>
                <w:szCs w:val="20"/>
                <w:color w:val="auto"/>
              </w:rPr>
            </w:pPr>
            <w:r>
              <w:rPr>
                <w:rFonts w:ascii="Arial" w:cs="Arial" w:eastAsia="Arial" w:hAnsi="Arial"/>
                <w:sz w:val="15"/>
                <w:szCs w:val="15"/>
                <w:color w:val="auto"/>
              </w:rPr>
              <w:t>2018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39,653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5"/>
                <w:szCs w:val="15"/>
                <w:color w:val="auto"/>
              </w:rPr>
              <w:t>6,386</w:t>
            </w:r>
          </w:p>
        </w:tc>
        <w:tc>
          <w:tcPr>
            <w:tcW w:w="1300" w:type="dxa"/>
            <w:vAlign w:val="bottom"/>
            <w:gridSpan w:val="2"/>
          </w:tcPr>
          <w:p>
            <w:pPr>
              <w:ind w:left="800"/>
              <w:spacing w:after="0" w:line="159" w:lineRule="exact"/>
              <w:rPr>
                <w:sz w:val="20"/>
                <w:szCs w:val="20"/>
                <w:color w:val="auto"/>
              </w:rPr>
            </w:pPr>
            <w:r>
              <w:rPr>
                <w:rFonts w:ascii="Arial" w:cs="Arial" w:eastAsia="Arial" w:hAnsi="Arial"/>
                <w:sz w:val="15"/>
                <w:szCs w:val="15"/>
                <w:color w:val="auto"/>
              </w:rPr>
              <w:t>2,953</w:t>
            </w:r>
          </w:p>
        </w:tc>
        <w:tc>
          <w:tcPr>
            <w:tcW w:w="0" w:type="dxa"/>
            <w:vAlign w:val="bottom"/>
          </w:tcPr>
          <w:p>
            <w:pPr>
              <w:spacing w:after="0"/>
              <w:rPr>
                <w:sz w:val="1"/>
                <w:szCs w:val="1"/>
                <w:color w:val="auto"/>
              </w:rPr>
            </w:pPr>
          </w:p>
        </w:tc>
      </w:tr>
      <w:tr>
        <w:trPr>
          <w:trHeight w:val="165"/>
        </w:trPr>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9"/>
              <w:spacing w:after="0" w:line="159" w:lineRule="exact"/>
              <w:rPr>
                <w:sz w:val="20"/>
                <w:szCs w:val="20"/>
                <w:color w:val="auto"/>
              </w:rPr>
            </w:pPr>
            <w:r>
              <w:rPr>
                <w:rFonts w:ascii="Arial" w:cs="Arial" w:eastAsia="Arial" w:hAnsi="Arial"/>
                <w:sz w:val="15"/>
                <w:szCs w:val="15"/>
                <w:b w:val="1"/>
                <w:bCs w:val="1"/>
                <w:color w:val="auto"/>
              </w:rPr>
              <w:t>Total</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$ 174,567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480" w:type="dxa"/>
            <w:vAlign w:val="bottom"/>
            <w:tcBorders>
              <w:top w:val="single" w:sz="8" w:color="CCEEFF"/>
            </w:tcBorders>
            <w:gridSpan w:val="11"/>
          </w:tcPr>
          <w:p>
            <w:pPr>
              <w:spacing w:after="0"/>
              <w:rPr>
                <w:sz w:val="20"/>
                <w:szCs w:val="20"/>
                <w:color w:val="auto"/>
              </w:rPr>
            </w:pPr>
            <w:r>
              <w:rPr>
                <w:rFonts w:ascii="Arial" w:cs="Arial" w:eastAsia="Arial" w:hAnsi="Arial"/>
                <w:sz w:val="17"/>
                <w:szCs w:val="17"/>
                <w:color w:val="auto"/>
                <w:w w:val="96"/>
              </w:rPr>
              <w:t>(1) Reported claims for accident year 2012 includes 3,406 claims from Superstorm Sandy</w:t>
            </w:r>
          </w:p>
        </w:tc>
        <w:tc>
          <w:tcPr>
            <w:tcW w:w="1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1740" w:type="dxa"/>
            <w:vAlign w:val="bottom"/>
            <w:gridSpan w:val="4"/>
          </w:tcPr>
          <w:p>
            <w:pPr>
              <w:spacing w:after="0"/>
              <w:rPr>
                <w:sz w:val="20"/>
                <w:szCs w:val="20"/>
                <w:color w:val="auto"/>
              </w:rPr>
            </w:pPr>
            <w:r>
              <w:rPr>
                <w:rFonts w:ascii="Arial" w:cs="Arial" w:eastAsia="Arial" w:hAnsi="Arial"/>
                <w:sz w:val="17"/>
                <w:szCs w:val="17"/>
                <w:b w:val="1"/>
                <w:bCs w:val="1"/>
                <w:color w:val="auto"/>
              </w:rPr>
              <w:t>All Lines of Business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40" w:type="dxa"/>
            <w:vAlign w:val="bottom"/>
            <w:gridSpan w:val="3"/>
          </w:tcPr>
          <w:p>
            <w:pPr>
              <w:spacing w:after="0"/>
              <w:rPr>
                <w:sz w:val="20"/>
                <w:szCs w:val="20"/>
                <w:color w:val="auto"/>
              </w:rPr>
            </w:pPr>
            <w:r>
              <w:rPr>
                <w:rFonts w:ascii="Arial" w:cs="Arial" w:eastAsia="Arial" w:hAnsi="Arial"/>
                <w:sz w:val="17"/>
                <w:szCs w:val="17"/>
                <w:b w:val="1"/>
                <w:bCs w:val="1"/>
                <w:i w:val="1"/>
                <w:iCs w:val="1"/>
                <w:color w:val="auto"/>
                <w:w w:val="87"/>
              </w:rPr>
              <w:t>(in thousands)</w:t>
            </w:r>
          </w:p>
        </w:tc>
        <w:tc>
          <w:tcPr>
            <w:tcW w:w="700" w:type="dxa"/>
            <w:vAlign w:val="bottom"/>
          </w:tcPr>
          <w:p>
            <w:pPr>
              <w:spacing w:after="0"/>
              <w:rPr>
                <w:sz w:val="18"/>
                <w:szCs w:val="18"/>
                <w:color w:val="auto"/>
              </w:rPr>
            </w:pPr>
          </w:p>
        </w:tc>
        <w:tc>
          <w:tcPr>
            <w:tcW w:w="5620" w:type="dxa"/>
            <w:vAlign w:val="bottom"/>
            <w:gridSpan w:val="9"/>
            <w:vMerge w:val="restart"/>
          </w:tcPr>
          <w:p>
            <w:pPr>
              <w:jc w:val="right"/>
              <w:ind w:right="107"/>
              <w:spacing w:after="0"/>
              <w:rPr>
                <w:sz w:val="20"/>
                <w:szCs w:val="20"/>
                <w:color w:val="auto"/>
              </w:rPr>
            </w:pPr>
            <w:r>
              <w:rPr>
                <w:rFonts w:ascii="Arial" w:cs="Arial" w:eastAsia="Arial" w:hAnsi="Arial"/>
                <w:sz w:val="15"/>
                <w:szCs w:val="15"/>
                <w:b w:val="1"/>
                <w:bCs w:val="1"/>
                <w:color w:val="auto"/>
                <w:w w:val="89"/>
              </w:rPr>
              <w:t>Cumulative Paid Loss and Allocated Loss Adjustment Expenses, Net of Reinsurance</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620" w:type="dxa"/>
            <w:vAlign w:val="bottom"/>
            <w:tcBorders>
              <w:bottom w:val="single" w:sz="8" w:color="auto"/>
            </w:tcBorders>
            <w:gridSpan w:val="9"/>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2"/>
              </w:rPr>
              <w:t>Nine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4"/>
          </w:tcPr>
          <w:p>
            <w:pPr>
              <w:jc w:val="center"/>
              <w:ind w:right="120"/>
              <w:spacing w:after="0" w:line="159" w:lineRule="exact"/>
              <w:rPr>
                <w:sz w:val="20"/>
                <w:szCs w:val="20"/>
                <w:color w:val="auto"/>
              </w:rPr>
            </w:pPr>
            <w:r>
              <w:rPr>
                <w:rFonts w:ascii="Arial" w:cs="Arial" w:eastAsia="Arial" w:hAnsi="Arial"/>
                <w:sz w:val="15"/>
                <w:szCs w:val="15"/>
                <w:b w:val="1"/>
                <w:bCs w:val="1"/>
                <w:color w:val="auto"/>
                <w:w w:val="89"/>
              </w:rPr>
              <w:t>Months</w:t>
            </w: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20" w:type="dxa"/>
            <w:vAlign w:val="bottom"/>
            <w:gridSpan w:val="3"/>
            <w:vMerge w:val="restart"/>
          </w:tcPr>
          <w:p>
            <w:pPr>
              <w:jc w:val="right"/>
              <w:ind w:right="86"/>
              <w:spacing w:after="0"/>
              <w:rPr>
                <w:sz w:val="20"/>
                <w:szCs w:val="20"/>
                <w:color w:val="auto"/>
              </w:rPr>
            </w:pPr>
            <w:r>
              <w:rPr>
                <w:rFonts w:ascii="Arial" w:cs="Arial" w:eastAsia="Arial" w:hAnsi="Arial"/>
                <w:sz w:val="15"/>
                <w:szCs w:val="15"/>
                <w:b w:val="1"/>
                <w:bCs w:val="1"/>
                <w:color w:val="auto"/>
                <w:w w:val="90"/>
              </w:rPr>
              <w:t>For the Years Ended December 31,</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4"/>
          </w:tcPr>
          <w:p>
            <w:pPr>
              <w:jc w:val="center"/>
              <w:ind w:right="120"/>
              <w:spacing w:after="0" w:line="159" w:lineRule="exact"/>
              <w:rPr>
                <w:sz w:val="20"/>
                <w:szCs w:val="20"/>
                <w:color w:val="auto"/>
              </w:rPr>
            </w:pPr>
            <w:r>
              <w:rPr>
                <w:rFonts w:ascii="Arial" w:cs="Arial" w:eastAsia="Arial" w:hAnsi="Arial"/>
                <w:sz w:val="15"/>
                <w:szCs w:val="15"/>
                <w:b w:val="1"/>
                <w:bCs w:val="1"/>
                <w:color w:val="auto"/>
                <w:w w:val="87"/>
              </w:rPr>
              <w:t>Ended</w:t>
            </w: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gridSpan w:val="3"/>
          </w:tcPr>
          <w:p>
            <w:pPr>
              <w:ind w:left="160"/>
              <w:spacing w:after="0" w:line="126" w:lineRule="exact"/>
              <w:rPr>
                <w:sz w:val="20"/>
                <w:szCs w:val="20"/>
                <w:color w:val="auto"/>
              </w:rPr>
            </w:pPr>
            <w:r>
              <w:rPr>
                <w:rFonts w:ascii="Arial" w:cs="Arial" w:eastAsia="Arial" w:hAnsi="Arial"/>
                <w:sz w:val="14"/>
                <w:szCs w:val="14"/>
                <w:b w:val="1"/>
                <w:bCs w:val="1"/>
                <w:color w:val="auto"/>
              </w:rPr>
              <w:t>Accident</w:t>
            </w: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20" w:type="dxa"/>
            <w:vAlign w:val="bottom"/>
            <w:gridSpan w:val="3"/>
            <w:vMerge w:val="continue"/>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4"/>
          </w:tcPr>
          <w:p>
            <w:pPr>
              <w:jc w:val="center"/>
              <w:ind w:right="140"/>
              <w:spacing w:after="0" w:line="126" w:lineRule="exact"/>
              <w:rPr>
                <w:sz w:val="20"/>
                <w:szCs w:val="20"/>
                <w:color w:val="auto"/>
              </w:rPr>
            </w:pPr>
            <w:r>
              <w:rPr>
                <w:rFonts w:ascii="Arial" w:cs="Arial" w:eastAsia="Arial" w:hAnsi="Arial"/>
                <w:sz w:val="14"/>
                <w:szCs w:val="14"/>
                <w:b w:val="1"/>
                <w:bCs w:val="1"/>
                <w:color w:val="auto"/>
                <w:w w:val="93"/>
              </w:rPr>
              <w:t>September 30,</w:t>
            </w: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Year</w:t>
            </w: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w w:val="95"/>
              </w:rPr>
              <w:t>2009</w:t>
            </w:r>
          </w:p>
        </w:tc>
        <w:tc>
          <w:tcPr>
            <w:tcW w:w="78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2010</w:t>
            </w:r>
          </w:p>
        </w:tc>
        <w:tc>
          <w:tcPr>
            <w:tcW w:w="86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rPr>
              <w:t>2011</w:t>
            </w:r>
          </w:p>
        </w:tc>
        <w:tc>
          <w:tcPr>
            <w:tcW w:w="78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2012</w:t>
            </w:r>
          </w:p>
        </w:tc>
        <w:tc>
          <w:tcPr>
            <w:tcW w:w="82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rPr>
              <w:t>2013</w:t>
            </w:r>
          </w:p>
        </w:tc>
        <w:tc>
          <w:tcPr>
            <w:tcW w:w="82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2014</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2015</w:t>
            </w:r>
          </w:p>
        </w:tc>
        <w:tc>
          <w:tcPr>
            <w:tcW w:w="1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rPr>
              <w:t>2016</w:t>
            </w: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gridSpan w:val="2"/>
          </w:tcPr>
          <w:p>
            <w:pPr>
              <w:jc w:val="right"/>
              <w:ind w:right="189"/>
              <w:spacing w:after="0"/>
              <w:rPr>
                <w:sz w:val="20"/>
                <w:szCs w:val="20"/>
                <w:color w:val="auto"/>
              </w:rPr>
            </w:pPr>
            <w:r>
              <w:rPr>
                <w:rFonts w:ascii="Arial" w:cs="Arial" w:eastAsia="Arial" w:hAnsi="Arial"/>
                <w:sz w:val="15"/>
                <w:szCs w:val="15"/>
                <w:b w:val="1"/>
                <w:bCs w:val="1"/>
                <w:color w:val="auto"/>
              </w:rPr>
              <w:t>2017</w:t>
            </w:r>
          </w:p>
        </w:tc>
        <w:tc>
          <w:tcPr>
            <w:tcW w:w="820" w:type="dxa"/>
            <w:vAlign w:val="bottom"/>
            <w:tcBorders>
              <w:bottom w:val="single" w:sz="8" w:color="auto"/>
            </w:tcBorders>
          </w:tcPr>
          <w:p>
            <w:pPr>
              <w:jc w:val="center"/>
              <w:ind w:left="7"/>
              <w:spacing w:after="0"/>
              <w:rPr>
                <w:sz w:val="20"/>
                <w:szCs w:val="20"/>
                <w:color w:val="auto"/>
              </w:rPr>
            </w:pPr>
            <w:r>
              <w:rPr>
                <w:rFonts w:ascii="Arial" w:cs="Arial" w:eastAsia="Arial" w:hAnsi="Arial"/>
                <w:sz w:val="15"/>
                <w:szCs w:val="15"/>
                <w:b w:val="1"/>
                <w:bCs w:val="1"/>
                <w:color w:val="auto"/>
                <w:w w:val="89"/>
              </w:rPr>
              <w:t>2018</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5"/>
                <w:szCs w:val="15"/>
                <w:b w:val="1"/>
                <w:bCs w:val="1"/>
                <w:color w:val="auto"/>
              </w:rPr>
              <w:t>(Unaudited 2009 - 2015)</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8"/>
              </w:rPr>
              <w:t>(Unaudited)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2009</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$ 2,298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$ 3,068</w:t>
            </w: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$ 3,607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$ 3,920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$ 4,134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$ 4,362</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$ 4,424</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$ 4,468</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$ 4,487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$ 4,659</w:t>
            </w:r>
          </w:p>
        </w:tc>
        <w:tc>
          <w:tcPr>
            <w:tcW w:w="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tcPr>
          <w:p>
            <w:pPr>
              <w:ind w:left="280"/>
              <w:spacing w:after="0"/>
              <w:rPr>
                <w:sz w:val="20"/>
                <w:szCs w:val="20"/>
                <w:color w:val="auto"/>
              </w:rPr>
            </w:pPr>
            <w:r>
              <w:rPr>
                <w:rFonts w:ascii="Arial" w:cs="Arial" w:eastAsia="Arial" w:hAnsi="Arial"/>
                <w:sz w:val="15"/>
                <w:szCs w:val="15"/>
                <w:color w:val="auto"/>
              </w:rPr>
              <w:t>2010</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2,566</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3,947</w:t>
            </w:r>
          </w:p>
        </w:tc>
        <w:tc>
          <w:tcPr>
            <w:tcW w:w="780" w:type="dxa"/>
            <w:vAlign w:val="bottom"/>
          </w:tcPr>
          <w:p>
            <w:pPr>
              <w:jc w:val="right"/>
              <w:spacing w:after="0"/>
              <w:rPr>
                <w:sz w:val="20"/>
                <w:szCs w:val="20"/>
                <w:color w:val="auto"/>
              </w:rPr>
            </w:pPr>
            <w:r>
              <w:rPr>
                <w:rFonts w:ascii="Arial" w:cs="Arial" w:eastAsia="Arial" w:hAnsi="Arial"/>
                <w:sz w:val="15"/>
                <w:szCs w:val="15"/>
                <w:color w:val="auto"/>
              </w:rPr>
              <w:t>4,972</w:t>
            </w:r>
          </w:p>
        </w:tc>
        <w:tc>
          <w:tcPr>
            <w:tcW w:w="820" w:type="dxa"/>
            <w:vAlign w:val="bottom"/>
          </w:tcPr>
          <w:p>
            <w:pPr>
              <w:jc w:val="right"/>
              <w:spacing w:after="0"/>
              <w:rPr>
                <w:sz w:val="20"/>
                <w:szCs w:val="20"/>
                <w:color w:val="auto"/>
              </w:rPr>
            </w:pPr>
            <w:r>
              <w:rPr>
                <w:rFonts w:ascii="Arial" w:cs="Arial" w:eastAsia="Arial" w:hAnsi="Arial"/>
                <w:sz w:val="15"/>
                <w:szCs w:val="15"/>
                <w:color w:val="auto"/>
              </w:rPr>
              <w:t>5,602</w:t>
            </w:r>
          </w:p>
        </w:tc>
        <w:tc>
          <w:tcPr>
            <w:tcW w:w="820" w:type="dxa"/>
            <w:vAlign w:val="bottom"/>
          </w:tcPr>
          <w:p>
            <w:pPr>
              <w:jc w:val="right"/>
              <w:spacing w:after="0"/>
              <w:rPr>
                <w:sz w:val="20"/>
                <w:szCs w:val="20"/>
                <w:color w:val="auto"/>
              </w:rPr>
            </w:pPr>
            <w:r>
              <w:rPr>
                <w:rFonts w:ascii="Arial" w:cs="Arial" w:eastAsia="Arial" w:hAnsi="Arial"/>
                <w:sz w:val="15"/>
                <w:szCs w:val="15"/>
                <w:color w:val="auto"/>
              </w:rPr>
              <w:t>6,323</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6,576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6,720</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6,772</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6,778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86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2011</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3,740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6,228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7,170</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8,139</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8,540</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8,702</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8,717</w:t>
            </w:r>
          </w:p>
        </w:tc>
        <w:tc>
          <w:tcPr>
            <w:tcW w:w="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tcPr>
          <w:p>
            <w:pPr>
              <w:ind w:left="280"/>
              <w:spacing w:after="0"/>
              <w:rPr>
                <w:sz w:val="20"/>
                <w:szCs w:val="20"/>
                <w:color w:val="auto"/>
              </w:rPr>
            </w:pPr>
            <w:r>
              <w:rPr>
                <w:rFonts w:ascii="Arial" w:cs="Arial" w:eastAsia="Arial" w:hAnsi="Arial"/>
                <w:sz w:val="15"/>
                <w:szCs w:val="15"/>
                <w:color w:val="auto"/>
              </w:rPr>
              <w:t>2012</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3,950</w:t>
            </w:r>
          </w:p>
        </w:tc>
        <w:tc>
          <w:tcPr>
            <w:tcW w:w="820" w:type="dxa"/>
            <w:vAlign w:val="bottom"/>
          </w:tcPr>
          <w:p>
            <w:pPr>
              <w:jc w:val="right"/>
              <w:spacing w:after="0"/>
              <w:rPr>
                <w:sz w:val="20"/>
                <w:szCs w:val="20"/>
                <w:color w:val="auto"/>
              </w:rPr>
            </w:pPr>
            <w:r>
              <w:rPr>
                <w:rFonts w:ascii="Arial" w:cs="Arial" w:eastAsia="Arial" w:hAnsi="Arial"/>
                <w:sz w:val="15"/>
                <w:szCs w:val="15"/>
                <w:color w:val="auto"/>
              </w:rPr>
              <w:t>5,770</w:t>
            </w:r>
          </w:p>
        </w:tc>
        <w:tc>
          <w:tcPr>
            <w:tcW w:w="820" w:type="dxa"/>
            <w:vAlign w:val="bottom"/>
          </w:tcPr>
          <w:p>
            <w:pPr>
              <w:jc w:val="right"/>
              <w:spacing w:after="0"/>
              <w:rPr>
                <w:sz w:val="20"/>
                <w:szCs w:val="20"/>
                <w:color w:val="auto"/>
              </w:rPr>
            </w:pPr>
            <w:r>
              <w:rPr>
                <w:rFonts w:ascii="Arial" w:cs="Arial" w:eastAsia="Arial" w:hAnsi="Arial"/>
                <w:sz w:val="15"/>
                <w:szCs w:val="15"/>
                <w:color w:val="auto"/>
              </w:rPr>
              <w:t>7,127</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8,196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9,187</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10,236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10,302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86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2013</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3,405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5,303</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6,633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7,591</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8,407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8,834</w:t>
            </w:r>
          </w:p>
        </w:tc>
        <w:tc>
          <w:tcPr>
            <w:tcW w:w="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tcPr>
          <w:p>
            <w:pPr>
              <w:ind w:left="280"/>
              <w:spacing w:after="0"/>
              <w:rPr>
                <w:sz w:val="20"/>
                <w:szCs w:val="20"/>
                <w:color w:val="auto"/>
              </w:rPr>
            </w:pPr>
            <w:r>
              <w:rPr>
                <w:rFonts w:ascii="Arial" w:cs="Arial" w:eastAsia="Arial" w:hAnsi="Arial"/>
                <w:sz w:val="15"/>
                <w:szCs w:val="15"/>
                <w:color w:val="auto"/>
              </w:rPr>
              <w:t>2014</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5,710</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9,429</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10,738</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11,770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13,508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86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2015</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12,295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16,181</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18,266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19,473</w:t>
            </w:r>
          </w:p>
        </w:tc>
        <w:tc>
          <w:tcPr>
            <w:tcW w:w="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0" w:type="dxa"/>
            <w:vAlign w:val="bottom"/>
          </w:tcPr>
          <w:p>
            <w:pPr>
              <w:ind w:left="280"/>
              <w:spacing w:after="0"/>
              <w:rPr>
                <w:sz w:val="20"/>
                <w:szCs w:val="20"/>
                <w:color w:val="auto"/>
              </w:rPr>
            </w:pPr>
            <w:r>
              <w:rPr>
                <w:rFonts w:ascii="Arial" w:cs="Arial" w:eastAsia="Arial" w:hAnsi="Arial"/>
                <w:sz w:val="15"/>
                <w:szCs w:val="15"/>
                <w:color w:val="auto"/>
              </w:rPr>
              <w:t>2016</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15,364</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19,001</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20,098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2017</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16,704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23,499</w:t>
            </w:r>
          </w:p>
        </w:tc>
        <w:tc>
          <w:tcPr>
            <w:tcW w:w="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0" w:type="dxa"/>
            <w:vAlign w:val="bottom"/>
          </w:tcPr>
          <w:p>
            <w:pPr>
              <w:ind w:left="280"/>
              <w:spacing w:after="0"/>
              <w:rPr>
                <w:sz w:val="20"/>
                <w:szCs w:val="20"/>
                <w:color w:val="auto"/>
              </w:rPr>
            </w:pPr>
            <w:r>
              <w:rPr>
                <w:rFonts w:ascii="Arial" w:cs="Arial" w:eastAsia="Arial" w:hAnsi="Arial"/>
                <w:sz w:val="15"/>
                <w:szCs w:val="15"/>
                <w:color w:val="auto"/>
              </w:rPr>
              <w:t>2018</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22,223</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3"/>
              </w:rPr>
              <w:t>Total</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$ 138,091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00" w:type="dxa"/>
            <w:vAlign w:val="bottom"/>
            <w:gridSpan w:val="9"/>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8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5"/>
                <w:szCs w:val="15"/>
                <w:color w:val="auto"/>
                <w:w w:val="87"/>
              </w:rPr>
              <w:t>Net liability for unpaid loss and allocated loss adjustment expenses for the accident years presented</w:t>
            </w:r>
          </w:p>
        </w:tc>
        <w:tc>
          <w:tcPr>
            <w:tcW w:w="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$36,476</w:t>
            </w:r>
          </w:p>
        </w:tc>
        <w:tc>
          <w:tcPr>
            <w:tcW w:w="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gridSpan w:val="6"/>
          </w:tcPr>
          <w:p>
            <w:pPr>
              <w:spacing w:after="0"/>
              <w:rPr>
                <w:sz w:val="20"/>
                <w:szCs w:val="20"/>
                <w:color w:val="auto"/>
              </w:rPr>
            </w:pPr>
            <w:r>
              <w:rPr>
                <w:rFonts w:ascii="Arial" w:cs="Arial" w:eastAsia="Arial" w:hAnsi="Arial"/>
                <w:sz w:val="15"/>
                <w:szCs w:val="15"/>
                <w:color w:val="auto"/>
                <w:w w:val="90"/>
              </w:rPr>
              <w:t>All outstanding liabilities before 2009, net of reinsurance</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199</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980" w:type="dxa"/>
            <w:vAlign w:val="bottom"/>
            <w:tcBorders>
              <w:bottom w:val="single" w:sz="8" w:color="CCEEFF"/>
            </w:tcBorders>
            <w:gridSpan w:val="8"/>
            <w:shd w:val="clear" w:color="auto" w:fill="CCEEFF"/>
          </w:tcPr>
          <w:p>
            <w:pPr>
              <w:spacing w:after="0" w:line="159" w:lineRule="exact"/>
              <w:rPr>
                <w:sz w:val="20"/>
                <w:szCs w:val="20"/>
                <w:color w:val="auto"/>
              </w:rPr>
            </w:pPr>
            <w:r>
              <w:rPr>
                <w:rFonts w:ascii="Arial" w:cs="Arial" w:eastAsia="Arial" w:hAnsi="Arial"/>
                <w:sz w:val="15"/>
                <w:szCs w:val="15"/>
                <w:color w:val="auto"/>
                <w:w w:val="96"/>
              </w:rPr>
              <w:t>Liabilities for loss and allocated loss adjustment expenses, net of reinsurance</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line="159" w:lineRule="exact"/>
              <w:rPr>
                <w:sz w:val="20"/>
                <w:szCs w:val="20"/>
                <w:color w:val="auto"/>
              </w:rPr>
            </w:pPr>
            <w:r>
              <w:rPr>
                <w:rFonts w:ascii="Arial" w:cs="Arial" w:eastAsia="Arial" w:hAnsi="Arial"/>
                <w:sz w:val="15"/>
                <w:szCs w:val="15"/>
                <w:color w:val="auto"/>
              </w:rPr>
              <w:t>$ 36,675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7"/>
        </w:trPr>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387"/>
              <w:spacing w:after="0"/>
              <w:rPr>
                <w:sz w:val="20"/>
                <w:szCs w:val="20"/>
                <w:color w:val="auto"/>
              </w:rPr>
            </w:pPr>
            <w:r>
              <w:rPr>
                <w:rFonts w:ascii="Arial" w:cs="Arial" w:eastAsia="Arial" w:hAnsi="Arial"/>
                <w:sz w:val="17"/>
                <w:szCs w:val="17"/>
                <w:color w:val="auto"/>
              </w:rPr>
              <w:t>24</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469" w:right="17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the Disclosure of Incurred and Paid Loss Development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Liability for Loss and LAE Reserves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40"/>
              <w:spacing w:after="0"/>
              <w:rPr>
                <w:sz w:val="20"/>
                <w:szCs w:val="20"/>
                <w:color w:val="auto"/>
              </w:rPr>
            </w:pPr>
            <w:r>
              <w:rPr>
                <w:rFonts w:ascii="Arial" w:cs="Arial" w:eastAsia="Arial" w:hAnsi="Arial"/>
                <w:sz w:val="15"/>
                <w:szCs w:val="15"/>
                <w:b w:val="1"/>
                <w:bCs w:val="1"/>
                <w:color w:val="auto"/>
                <w:w w:val="85"/>
              </w:rPr>
              <w:t>As of</w:t>
            </w:r>
          </w:p>
        </w:tc>
        <w:tc>
          <w:tcPr>
            <w:tcW w:w="0" w:type="dxa"/>
            <w:vAlign w:val="bottom"/>
          </w:tcPr>
          <w:p>
            <w:pPr>
              <w:spacing w:after="0"/>
              <w:rPr>
                <w:sz w:val="1"/>
                <w:szCs w:val="1"/>
                <w:color w:val="auto"/>
              </w:rPr>
            </w:pPr>
          </w:p>
        </w:tc>
      </w:tr>
      <w:tr>
        <w:trPr>
          <w:trHeight w:val="159"/>
        </w:trPr>
        <w:tc>
          <w:tcPr>
            <w:tcW w:w="1018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(in thousands)</w:t>
            </w:r>
          </w:p>
        </w:tc>
        <w:tc>
          <w:tcPr>
            <w:tcW w:w="240" w:type="dxa"/>
            <w:vAlign w:val="bottom"/>
          </w:tcPr>
          <w:p>
            <w:pPr>
              <w:spacing w:after="0"/>
              <w:rPr>
                <w:sz w:val="13"/>
                <w:szCs w:val="13"/>
                <w:color w:val="auto"/>
              </w:rPr>
            </w:pPr>
          </w:p>
        </w:tc>
        <w:tc>
          <w:tcPr>
            <w:tcW w:w="1140" w:type="dxa"/>
            <w:vAlign w:val="bottom"/>
          </w:tcPr>
          <w:p>
            <w:pPr>
              <w:jc w:val="center"/>
              <w:ind w:right="140"/>
              <w:spacing w:after="0" w:line="159" w:lineRule="exact"/>
              <w:rPr>
                <w:sz w:val="20"/>
                <w:szCs w:val="20"/>
                <w:color w:val="auto"/>
              </w:rPr>
            </w:pPr>
            <w:r>
              <w:rPr>
                <w:rFonts w:ascii="Arial" w:cs="Arial" w:eastAsia="Arial" w:hAnsi="Arial"/>
                <w:sz w:val="15"/>
                <w:szCs w:val="15"/>
                <w:b w:val="1"/>
                <w:bCs w:val="1"/>
                <w:color w:val="auto"/>
                <w:w w:val="85"/>
              </w:rPr>
              <w:t>September 30,</w:t>
            </w:r>
          </w:p>
        </w:tc>
        <w:tc>
          <w:tcPr>
            <w:tcW w:w="0" w:type="dxa"/>
            <w:vAlign w:val="bottom"/>
          </w:tcPr>
          <w:p>
            <w:pPr>
              <w:spacing w:after="0"/>
              <w:rPr>
                <w:sz w:val="1"/>
                <w:szCs w:val="1"/>
                <w:color w:val="auto"/>
              </w:rPr>
            </w:pPr>
          </w:p>
        </w:tc>
      </w:tr>
      <w:tr>
        <w:trPr>
          <w:trHeight w:val="179"/>
        </w:trPr>
        <w:tc>
          <w:tcPr>
            <w:tcW w:w="1018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0"/>
              <w:spacing w:after="0"/>
              <w:rPr>
                <w:sz w:val="20"/>
                <w:szCs w:val="20"/>
                <w:color w:val="auto"/>
              </w:rPr>
            </w:pPr>
            <w:r>
              <w:rPr>
                <w:rFonts w:ascii="Arial" w:cs="Arial" w:eastAsia="Arial" w:hAnsi="Arial"/>
                <w:sz w:val="15"/>
                <w:szCs w:val="15"/>
                <w:b w:val="1"/>
                <w:bCs w:val="1"/>
                <w:color w:val="auto"/>
                <w:w w:val="83"/>
              </w:rPr>
              <w:t>2018</w:t>
            </w:r>
          </w:p>
        </w:tc>
        <w:tc>
          <w:tcPr>
            <w:tcW w:w="0" w:type="dxa"/>
            <w:vAlign w:val="bottom"/>
          </w:tcPr>
          <w:p>
            <w:pPr>
              <w:spacing w:after="0"/>
              <w:rPr>
                <w:sz w:val="1"/>
                <w:szCs w:val="1"/>
                <w:color w:val="auto"/>
              </w:rPr>
            </w:pPr>
          </w:p>
        </w:tc>
      </w:tr>
      <w:tr>
        <w:trPr>
          <w:trHeight w:val="212"/>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Liabilities for allocated loss and loss adjustment expenses, net of reinsurance</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36,675</w:t>
            </w:r>
          </w:p>
        </w:tc>
        <w:tc>
          <w:tcPr>
            <w:tcW w:w="0" w:type="dxa"/>
            <w:vAlign w:val="bottom"/>
          </w:tcPr>
          <w:p>
            <w:pPr>
              <w:spacing w:after="0"/>
              <w:rPr>
                <w:sz w:val="1"/>
                <w:szCs w:val="1"/>
                <w:color w:val="auto"/>
              </w:rPr>
            </w:pPr>
          </w:p>
        </w:tc>
      </w:tr>
      <w:tr>
        <w:trPr>
          <w:trHeight w:val="212"/>
        </w:trPr>
        <w:tc>
          <w:tcPr>
            <w:tcW w:w="10180" w:type="dxa"/>
            <w:vAlign w:val="bottom"/>
          </w:tcPr>
          <w:p>
            <w:pPr>
              <w:spacing w:after="0"/>
              <w:rPr>
                <w:sz w:val="20"/>
                <w:szCs w:val="20"/>
                <w:color w:val="auto"/>
              </w:rPr>
            </w:pPr>
            <w:r>
              <w:rPr>
                <w:rFonts w:ascii="Arial" w:cs="Arial" w:eastAsia="Arial" w:hAnsi="Arial"/>
                <w:sz w:val="17"/>
                <w:szCs w:val="17"/>
                <w:color w:val="auto"/>
              </w:rPr>
              <w:t>Total reinsurance recoverable on unpaid losses</w:t>
            </w:r>
          </w:p>
        </w:tc>
        <w:tc>
          <w:tcPr>
            <w:tcW w:w="240" w:type="dxa"/>
            <w:vAlign w:val="bottom"/>
          </w:tcPr>
          <w:p>
            <w:pPr>
              <w:spacing w:after="0"/>
              <w:rPr>
                <w:sz w:val="18"/>
                <w:szCs w:val="18"/>
                <w:color w:val="auto"/>
              </w:rPr>
            </w:pPr>
          </w:p>
        </w:tc>
        <w:tc>
          <w:tcPr>
            <w:tcW w:w="1140" w:type="dxa"/>
            <w:vAlign w:val="bottom"/>
          </w:tcPr>
          <w:p>
            <w:pPr>
              <w:jc w:val="right"/>
              <w:ind w:right="60"/>
              <w:spacing w:after="0"/>
              <w:rPr>
                <w:sz w:val="20"/>
                <w:szCs w:val="20"/>
                <w:color w:val="auto"/>
              </w:rPr>
            </w:pPr>
            <w:r>
              <w:rPr>
                <w:rFonts w:ascii="Arial" w:cs="Arial" w:eastAsia="Arial" w:hAnsi="Arial"/>
                <w:sz w:val="17"/>
                <w:szCs w:val="17"/>
                <w:color w:val="auto"/>
              </w:rPr>
              <w:t>15,718</w:t>
            </w:r>
          </w:p>
        </w:tc>
        <w:tc>
          <w:tcPr>
            <w:tcW w:w="0" w:type="dxa"/>
            <w:vAlign w:val="bottom"/>
          </w:tcPr>
          <w:p>
            <w:pPr>
              <w:spacing w:after="0"/>
              <w:rPr>
                <w:sz w:val="1"/>
                <w:szCs w:val="1"/>
                <w:color w:val="auto"/>
              </w:rPr>
            </w:pPr>
          </w:p>
        </w:tc>
      </w:tr>
      <w:tr>
        <w:trPr>
          <w:trHeight w:val="218"/>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Unallocated loss adjustment expenses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1,550</w:t>
            </w:r>
          </w:p>
        </w:tc>
        <w:tc>
          <w:tcPr>
            <w:tcW w:w="0" w:type="dxa"/>
            <w:vAlign w:val="bottom"/>
          </w:tcPr>
          <w:p>
            <w:pPr>
              <w:spacing w:after="0"/>
              <w:rPr>
                <w:sz w:val="1"/>
                <w:szCs w:val="1"/>
                <w:color w:val="auto"/>
              </w:rPr>
            </w:pPr>
          </w:p>
        </w:tc>
      </w:tr>
      <w:tr>
        <w:trPr>
          <w:trHeight w:val="212"/>
        </w:trPr>
        <w:tc>
          <w:tcPr>
            <w:tcW w:w="10180" w:type="dxa"/>
            <w:vAlign w:val="bottom"/>
          </w:tcPr>
          <w:p>
            <w:pPr>
              <w:spacing w:after="0"/>
              <w:rPr>
                <w:sz w:val="20"/>
                <w:szCs w:val="20"/>
                <w:color w:val="auto"/>
              </w:rPr>
            </w:pPr>
            <w:r>
              <w:rPr>
                <w:rFonts w:ascii="Arial" w:cs="Arial" w:eastAsia="Arial" w:hAnsi="Arial"/>
                <w:sz w:val="17"/>
                <w:szCs w:val="17"/>
                <w:color w:val="auto"/>
              </w:rPr>
              <w:t>Total gross liability for loss and LAE reserves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53,943</w:t>
            </w:r>
          </w:p>
        </w:tc>
        <w:tc>
          <w:tcPr>
            <w:tcW w:w="0" w:type="dxa"/>
            <w:vAlign w:val="bottom"/>
          </w:tcPr>
          <w:p>
            <w:pPr>
              <w:spacing w:after="0"/>
              <w:rPr>
                <w:sz w:val="1"/>
                <w:szCs w:val="1"/>
                <w:color w:val="auto"/>
              </w:rPr>
            </w:pPr>
          </w:p>
        </w:tc>
      </w:tr>
      <w:tr>
        <w:trPr>
          <w:trHeight w:val="20"/>
        </w:trPr>
        <w:tc>
          <w:tcPr>
            <w:tcW w:w="10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Reinsurance</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Company’s quota share reinsurance treaties are on a July 1 through June 30 fiscal year basis; therefore, for year to date fiscal periods after June 30, two separate treaties will be included in such periods.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quota share reinsurance treaties in effect for the nine months ended September 30, 2018 for its personal lines business, which primarily consists of homeowners’ policies, were covered under the July 1, 2017 through June 30, 2018 treaty year and the new treaty year that began on July 1, 2018 (“2017/2019 Treaty”). The Company’s quota share reinsurance treaties in effect for the nine months ended September 30, 2017 were covered under the 2017/2019 Treaty and July 1, 2016 through June 30, 2017 treaty year (“2016/2017 Treaty”).</w:t>
      </w:r>
    </w:p>
    <w:p>
      <w:pPr>
        <w:spacing w:after="0" w:line="183"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In March 2017, the Company bound its personal lines quota share reinsurance treaty effective July 1, 2017. The treaty provides for a reduction in the quota share ceding rate to 20%, from 40% in the 2016/2017 Treaty, and an increase in the provisional ceding commission rate to 53%, from 52% in the 2016/2017 Treaty. The 2017/2019 Treaty covers a two year period from July 1, 2017 through June 30, 2019. In August 2018, the Company terminated its contract with one of the reinsurers that was a party to the 2017/2019 Treaty. This termination was retroactive to July 1, 2018 and had the effect of reducing the quota share ceding rate to 10% from 20%.</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Company entered into new excess of loss and catastrophe reinsurance treaties effective July 1, 2018. Material terms for reinsurance treaties in effect for the treaty years shown below are as follows: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9"/>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35"/>
              <w:spacing w:after="0"/>
              <w:rPr>
                <w:sz w:val="20"/>
                <w:szCs w:val="20"/>
                <w:color w:val="auto"/>
              </w:rPr>
            </w:pPr>
            <w:r>
              <w:rPr>
                <w:rFonts w:ascii="Arial" w:cs="Arial" w:eastAsia="Arial" w:hAnsi="Arial"/>
                <w:sz w:val="15"/>
                <w:szCs w:val="15"/>
                <w:b w:val="1"/>
                <w:bCs w:val="1"/>
                <w:color w:val="auto"/>
                <w:w w:val="90"/>
              </w:rPr>
              <w:t>Treaty Year</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6"/>
        </w:trPr>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235"/>
              <w:spacing w:after="0" w:line="146" w:lineRule="exact"/>
              <w:rPr>
                <w:sz w:val="20"/>
                <w:szCs w:val="20"/>
                <w:color w:val="auto"/>
              </w:rPr>
            </w:pPr>
            <w:r>
              <w:rPr>
                <w:rFonts w:ascii="Arial" w:cs="Arial" w:eastAsia="Arial" w:hAnsi="Arial"/>
                <w:sz w:val="15"/>
                <w:szCs w:val="15"/>
                <w:b w:val="1"/>
                <w:bCs w:val="1"/>
                <w:color w:val="auto"/>
                <w:w w:val="87"/>
              </w:rPr>
              <w:t>July 1, 2018</w:t>
            </w:r>
          </w:p>
        </w:tc>
        <w:tc>
          <w:tcPr>
            <w:tcW w:w="160" w:type="dxa"/>
            <w:vAlign w:val="bottom"/>
          </w:tcPr>
          <w:p>
            <w:pPr>
              <w:spacing w:after="0"/>
              <w:rPr>
                <w:sz w:val="12"/>
                <w:szCs w:val="12"/>
                <w:color w:val="auto"/>
              </w:rPr>
            </w:pPr>
          </w:p>
        </w:tc>
        <w:tc>
          <w:tcPr>
            <w:tcW w:w="1220" w:type="dxa"/>
            <w:vAlign w:val="bottom"/>
          </w:tcPr>
          <w:p>
            <w:pPr>
              <w:jc w:val="center"/>
              <w:ind w:right="235"/>
              <w:spacing w:after="0" w:line="146" w:lineRule="exact"/>
              <w:rPr>
                <w:sz w:val="20"/>
                <w:szCs w:val="20"/>
                <w:color w:val="auto"/>
              </w:rPr>
            </w:pPr>
            <w:r>
              <w:rPr>
                <w:rFonts w:ascii="Arial" w:cs="Arial" w:eastAsia="Arial" w:hAnsi="Arial"/>
                <w:sz w:val="15"/>
                <w:szCs w:val="15"/>
                <w:b w:val="1"/>
                <w:bCs w:val="1"/>
                <w:color w:val="auto"/>
                <w:w w:val="87"/>
              </w:rPr>
              <w:t>July 1, 2017</w:t>
            </w:r>
          </w:p>
        </w:tc>
        <w:tc>
          <w:tcPr>
            <w:tcW w:w="180" w:type="dxa"/>
            <w:vAlign w:val="bottom"/>
          </w:tcPr>
          <w:p>
            <w:pPr>
              <w:spacing w:after="0"/>
              <w:rPr>
                <w:sz w:val="12"/>
                <w:szCs w:val="12"/>
                <w:color w:val="auto"/>
              </w:rPr>
            </w:pPr>
          </w:p>
        </w:tc>
        <w:tc>
          <w:tcPr>
            <w:tcW w:w="1120" w:type="dxa"/>
            <w:vAlign w:val="bottom"/>
          </w:tcPr>
          <w:p>
            <w:pPr>
              <w:jc w:val="center"/>
              <w:ind w:right="175"/>
              <w:spacing w:after="0" w:line="146" w:lineRule="exact"/>
              <w:rPr>
                <w:sz w:val="20"/>
                <w:szCs w:val="20"/>
                <w:color w:val="auto"/>
              </w:rPr>
            </w:pPr>
            <w:r>
              <w:rPr>
                <w:rFonts w:ascii="Arial" w:cs="Arial" w:eastAsia="Arial" w:hAnsi="Arial"/>
                <w:sz w:val="15"/>
                <w:szCs w:val="15"/>
                <w:b w:val="1"/>
                <w:bCs w:val="1"/>
                <w:color w:val="auto"/>
                <w:w w:val="87"/>
              </w:rPr>
              <w:t>July 1, 2016</w:t>
            </w:r>
          </w:p>
        </w:tc>
        <w:tc>
          <w:tcPr>
            <w:tcW w:w="20" w:type="dxa"/>
            <w:vAlign w:val="bottom"/>
          </w:tcPr>
          <w:p>
            <w:pPr>
              <w:spacing w:after="0"/>
              <w:rPr>
                <w:sz w:val="12"/>
                <w:szCs w:val="12"/>
                <w:color w:val="auto"/>
              </w:rPr>
            </w:pPr>
          </w:p>
        </w:tc>
      </w:tr>
      <w:tr>
        <w:trPr>
          <w:trHeight w:val="159"/>
        </w:trPr>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55"/>
              <w:spacing w:after="0" w:line="159" w:lineRule="exact"/>
              <w:rPr>
                <w:sz w:val="20"/>
                <w:szCs w:val="20"/>
                <w:color w:val="auto"/>
              </w:rPr>
            </w:pPr>
            <w:r>
              <w:rPr>
                <w:rFonts w:ascii="Arial" w:cs="Arial" w:eastAsia="Arial" w:hAnsi="Arial"/>
                <w:sz w:val="15"/>
                <w:szCs w:val="15"/>
                <w:b w:val="1"/>
                <w:bCs w:val="1"/>
                <w:color w:val="auto"/>
                <w:w w:val="84"/>
              </w:rPr>
              <w:t>to</w:t>
            </w:r>
          </w:p>
        </w:tc>
        <w:tc>
          <w:tcPr>
            <w:tcW w:w="160" w:type="dxa"/>
            <w:vAlign w:val="bottom"/>
          </w:tcPr>
          <w:p>
            <w:pPr>
              <w:spacing w:after="0"/>
              <w:rPr>
                <w:sz w:val="13"/>
                <w:szCs w:val="13"/>
                <w:color w:val="auto"/>
              </w:rPr>
            </w:pPr>
          </w:p>
        </w:tc>
        <w:tc>
          <w:tcPr>
            <w:tcW w:w="1220" w:type="dxa"/>
            <w:vAlign w:val="bottom"/>
          </w:tcPr>
          <w:p>
            <w:pPr>
              <w:jc w:val="center"/>
              <w:ind w:right="215"/>
              <w:spacing w:after="0" w:line="159" w:lineRule="exact"/>
              <w:rPr>
                <w:sz w:val="20"/>
                <w:szCs w:val="20"/>
                <w:color w:val="auto"/>
              </w:rPr>
            </w:pPr>
            <w:r>
              <w:rPr>
                <w:rFonts w:ascii="Arial" w:cs="Arial" w:eastAsia="Arial" w:hAnsi="Arial"/>
                <w:sz w:val="15"/>
                <w:szCs w:val="15"/>
                <w:b w:val="1"/>
                <w:bCs w:val="1"/>
                <w:color w:val="auto"/>
                <w:w w:val="84"/>
              </w:rPr>
              <w:t>to</w:t>
            </w:r>
          </w:p>
        </w:tc>
        <w:tc>
          <w:tcPr>
            <w:tcW w:w="180" w:type="dxa"/>
            <w:vAlign w:val="bottom"/>
          </w:tcPr>
          <w:p>
            <w:pPr>
              <w:spacing w:after="0"/>
              <w:rPr>
                <w:sz w:val="13"/>
                <w:szCs w:val="13"/>
                <w:color w:val="auto"/>
              </w:rPr>
            </w:pPr>
          </w:p>
        </w:tc>
        <w:tc>
          <w:tcPr>
            <w:tcW w:w="1140" w:type="dxa"/>
            <w:vAlign w:val="bottom"/>
            <w:gridSpan w:val="2"/>
          </w:tcPr>
          <w:p>
            <w:pPr>
              <w:jc w:val="center"/>
              <w:ind w:right="260"/>
              <w:spacing w:after="0" w:line="159" w:lineRule="exact"/>
              <w:rPr>
                <w:sz w:val="20"/>
                <w:szCs w:val="20"/>
                <w:color w:val="auto"/>
              </w:rPr>
            </w:pPr>
            <w:r>
              <w:rPr>
                <w:rFonts w:ascii="Arial" w:cs="Arial" w:eastAsia="Arial" w:hAnsi="Arial"/>
                <w:sz w:val="15"/>
                <w:szCs w:val="15"/>
                <w:b w:val="1"/>
                <w:bCs w:val="1"/>
                <w:color w:val="auto"/>
                <w:w w:val="84"/>
              </w:rPr>
              <w:t>to</w:t>
            </w:r>
          </w:p>
        </w:tc>
      </w:tr>
      <w:tr>
        <w:trPr>
          <w:trHeight w:val="179"/>
        </w:trPr>
        <w:tc>
          <w:tcPr>
            <w:tcW w:w="7400" w:type="dxa"/>
            <w:vAlign w:val="bottom"/>
            <w:gridSpan w:val="4"/>
          </w:tcPr>
          <w:p>
            <w:pPr>
              <w:ind w:left="40"/>
              <w:spacing w:after="0"/>
              <w:rPr>
                <w:sz w:val="20"/>
                <w:szCs w:val="20"/>
                <w:color w:val="auto"/>
              </w:rPr>
            </w:pPr>
            <w:r>
              <w:rPr>
                <w:rFonts w:ascii="Arial" w:cs="Arial" w:eastAsia="Arial" w:hAnsi="Arial"/>
                <w:sz w:val="15"/>
                <w:szCs w:val="15"/>
                <w:b w:val="1"/>
                <w:bCs w:val="1"/>
                <w:color w:val="auto"/>
              </w:rPr>
              <w:t>Line of Busines</w:t>
            </w:r>
          </w:p>
        </w:tc>
        <w:tc>
          <w:tcPr>
            <w:tcW w:w="260" w:type="dxa"/>
            <w:vAlign w:val="bottom"/>
          </w:tcPr>
          <w:p>
            <w:pPr>
              <w:spacing w:after="0"/>
              <w:rPr>
                <w:sz w:val="15"/>
                <w:szCs w:val="15"/>
                <w:color w:val="auto"/>
              </w:rPr>
            </w:pPr>
          </w:p>
        </w:tc>
        <w:tc>
          <w:tcPr>
            <w:tcW w:w="1220" w:type="dxa"/>
            <w:vAlign w:val="bottom"/>
          </w:tcPr>
          <w:p>
            <w:pPr>
              <w:jc w:val="center"/>
              <w:ind w:right="255"/>
              <w:spacing w:after="0"/>
              <w:rPr>
                <w:sz w:val="20"/>
                <w:szCs w:val="20"/>
                <w:color w:val="auto"/>
              </w:rPr>
            </w:pPr>
            <w:r>
              <w:rPr>
                <w:rFonts w:ascii="Arial" w:cs="Arial" w:eastAsia="Arial" w:hAnsi="Arial"/>
                <w:sz w:val="15"/>
                <w:szCs w:val="15"/>
                <w:b w:val="1"/>
                <w:bCs w:val="1"/>
                <w:color w:val="auto"/>
                <w:w w:val="86"/>
              </w:rPr>
              <w:t>June 30, 2019</w:t>
            </w:r>
          </w:p>
        </w:tc>
        <w:tc>
          <w:tcPr>
            <w:tcW w:w="160" w:type="dxa"/>
            <w:vAlign w:val="bottom"/>
          </w:tcPr>
          <w:p>
            <w:pPr>
              <w:spacing w:after="0"/>
              <w:rPr>
                <w:sz w:val="15"/>
                <w:szCs w:val="15"/>
                <w:color w:val="auto"/>
              </w:rPr>
            </w:pPr>
          </w:p>
        </w:tc>
        <w:tc>
          <w:tcPr>
            <w:tcW w:w="1220" w:type="dxa"/>
            <w:vAlign w:val="bottom"/>
          </w:tcPr>
          <w:p>
            <w:pPr>
              <w:jc w:val="center"/>
              <w:ind w:right="215"/>
              <w:spacing w:after="0"/>
              <w:rPr>
                <w:sz w:val="20"/>
                <w:szCs w:val="20"/>
                <w:color w:val="auto"/>
              </w:rPr>
            </w:pPr>
            <w:r>
              <w:rPr>
                <w:rFonts w:ascii="Arial" w:cs="Arial" w:eastAsia="Arial" w:hAnsi="Arial"/>
                <w:sz w:val="15"/>
                <w:szCs w:val="15"/>
                <w:b w:val="1"/>
                <w:bCs w:val="1"/>
                <w:color w:val="auto"/>
                <w:w w:val="86"/>
              </w:rPr>
              <w:t>June 30, 2018</w:t>
            </w:r>
          </w:p>
        </w:tc>
        <w:tc>
          <w:tcPr>
            <w:tcW w:w="1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June 30, 2017</w:t>
            </w:r>
          </w:p>
        </w:tc>
      </w:tr>
      <w:tr>
        <w:trPr>
          <w:trHeight w:val="238"/>
        </w:trPr>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6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74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0"/>
        </w:trPr>
        <w:tc>
          <w:tcPr>
            <w:tcW w:w="102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6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7400" w:type="dxa"/>
            <w:vAlign w:val="bottom"/>
            <w:gridSpan w:val="4"/>
          </w:tcPr>
          <w:p>
            <w:pPr>
              <w:spacing w:after="0"/>
              <w:rPr>
                <w:sz w:val="20"/>
                <w:szCs w:val="20"/>
                <w:color w:val="auto"/>
              </w:rPr>
            </w:pPr>
            <w:r>
              <w:rPr>
                <w:rFonts w:ascii="Arial" w:cs="Arial" w:eastAsia="Arial" w:hAnsi="Arial"/>
                <w:sz w:val="17"/>
                <w:szCs w:val="17"/>
                <w:color w:val="auto"/>
              </w:rPr>
              <w:t>Homeowners, dwelling fire and canine legal liability</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740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Quota share treaty:</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7400" w:type="dxa"/>
            <w:vAlign w:val="bottom"/>
            <w:gridSpan w:val="4"/>
          </w:tcPr>
          <w:p>
            <w:pPr>
              <w:ind w:left="360"/>
              <w:spacing w:after="0"/>
              <w:rPr>
                <w:sz w:val="20"/>
                <w:szCs w:val="20"/>
                <w:color w:val="auto"/>
              </w:rPr>
            </w:pPr>
            <w:r>
              <w:rPr>
                <w:rFonts w:ascii="Arial" w:cs="Arial" w:eastAsia="Arial" w:hAnsi="Arial"/>
                <w:sz w:val="17"/>
                <w:szCs w:val="17"/>
                <w:color w:val="auto"/>
              </w:rPr>
              <w:t>Percent ceded</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8"/>
                <w:szCs w:val="18"/>
                <w:color w:val="auto"/>
              </w:rPr>
            </w:pPr>
          </w:p>
        </w:tc>
      </w:tr>
      <w:tr>
        <w:trPr>
          <w:trHeight w:val="212"/>
        </w:trPr>
        <w:tc>
          <w:tcPr>
            <w:tcW w:w="740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Risk retained</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900,000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500,000</w:t>
            </w:r>
          </w:p>
        </w:tc>
        <w:tc>
          <w:tcPr>
            <w:tcW w:w="20" w:type="dxa"/>
            <w:vAlign w:val="bottom"/>
          </w:tcPr>
          <w:p>
            <w:pPr>
              <w:spacing w:after="0"/>
              <w:rPr>
                <w:sz w:val="18"/>
                <w:szCs w:val="18"/>
                <w:color w:val="auto"/>
              </w:rPr>
            </w:pPr>
          </w:p>
        </w:tc>
      </w:tr>
      <w:tr>
        <w:trPr>
          <w:trHeight w:val="212"/>
        </w:trPr>
        <w:tc>
          <w:tcPr>
            <w:tcW w:w="7400" w:type="dxa"/>
            <w:vAlign w:val="bottom"/>
            <w:gridSpan w:val="4"/>
          </w:tcPr>
          <w:p>
            <w:pPr>
              <w:ind w:left="36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833,333</w:t>
            </w:r>
          </w:p>
        </w:tc>
        <w:tc>
          <w:tcPr>
            <w:tcW w:w="20" w:type="dxa"/>
            <w:vAlign w:val="bottom"/>
          </w:tcPr>
          <w:p>
            <w:pPr>
              <w:spacing w:after="0"/>
              <w:rPr>
                <w:sz w:val="18"/>
                <w:szCs w:val="18"/>
                <w:color w:val="auto"/>
              </w:rPr>
            </w:pPr>
          </w:p>
        </w:tc>
      </w:tr>
      <w:tr>
        <w:trPr>
          <w:trHeight w:val="212"/>
        </w:trPr>
        <w:tc>
          <w:tcPr>
            <w:tcW w:w="740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Excess of loss coverage and facultative facility above quota share coverage (1)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9,000,000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9,000,000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3,666,667</w:t>
            </w:r>
          </w:p>
        </w:tc>
        <w:tc>
          <w:tcPr>
            <w:tcW w:w="20" w:type="dxa"/>
            <w:vAlign w:val="bottom"/>
          </w:tcPr>
          <w:p>
            <w:pPr>
              <w:spacing w:after="0"/>
              <w:rPr>
                <w:sz w:val="18"/>
                <w:szCs w:val="18"/>
                <w:color w:val="auto"/>
              </w:rPr>
            </w:pPr>
          </w:p>
        </w:tc>
      </w:tr>
      <w:tr>
        <w:trPr>
          <w:trHeight w:val="212"/>
        </w:trPr>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255"/>
              <w:spacing w:after="0"/>
              <w:rPr>
                <w:sz w:val="20"/>
                <w:szCs w:val="20"/>
                <w:color w:val="auto"/>
              </w:rPr>
            </w:pPr>
            <w:r>
              <w:rPr>
                <w:rFonts w:ascii="Arial" w:cs="Arial" w:eastAsia="Arial" w:hAnsi="Arial"/>
                <w:sz w:val="17"/>
                <w:szCs w:val="17"/>
                <w:color w:val="auto"/>
                <w:w w:val="95"/>
              </w:rPr>
              <w:t>in excess of</w:t>
            </w:r>
          </w:p>
        </w:tc>
        <w:tc>
          <w:tcPr>
            <w:tcW w:w="1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Arial" w:cs="Arial" w:eastAsia="Arial" w:hAnsi="Arial"/>
                <w:sz w:val="17"/>
                <w:szCs w:val="17"/>
                <w:color w:val="auto"/>
              </w:rPr>
              <w:t>in excess of</w:t>
            </w:r>
          </w:p>
        </w:tc>
        <w:tc>
          <w:tcPr>
            <w:tcW w:w="180" w:type="dxa"/>
            <w:vAlign w:val="bottom"/>
          </w:tcPr>
          <w:p>
            <w:pPr>
              <w:spacing w:after="0"/>
              <w:rPr>
                <w:sz w:val="18"/>
                <w:szCs w:val="18"/>
                <w:color w:val="auto"/>
              </w:rPr>
            </w:pPr>
          </w:p>
        </w:tc>
        <w:tc>
          <w:tcPr>
            <w:tcW w:w="1120" w:type="dxa"/>
            <w:vAlign w:val="bottom"/>
          </w:tcPr>
          <w:p>
            <w:pPr>
              <w:jc w:val="right"/>
              <w:ind w:right="175"/>
              <w:spacing w:after="0"/>
              <w:rPr>
                <w:sz w:val="20"/>
                <w:szCs w:val="20"/>
                <w:color w:val="auto"/>
              </w:rPr>
            </w:pPr>
            <w:r>
              <w:rPr>
                <w:rFonts w:ascii="Arial" w:cs="Arial" w:eastAsia="Arial" w:hAnsi="Arial"/>
                <w:sz w:val="17"/>
                <w:szCs w:val="17"/>
                <w:color w:val="auto"/>
                <w:w w:val="93"/>
              </w:rPr>
              <w:t>in excess of</w:t>
            </w:r>
          </w:p>
        </w:tc>
        <w:tc>
          <w:tcPr>
            <w:tcW w:w="20" w:type="dxa"/>
            <w:vAlign w:val="bottom"/>
          </w:tcPr>
          <w:p>
            <w:pPr>
              <w:spacing w:after="0"/>
              <w:rPr>
                <w:sz w:val="18"/>
                <w:szCs w:val="18"/>
                <w:color w:val="auto"/>
              </w:rPr>
            </w:pPr>
          </w:p>
        </w:tc>
      </w:tr>
      <w:tr>
        <w:trPr>
          <w:trHeight w:val="212"/>
        </w:trPr>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833,333</w:t>
            </w:r>
          </w:p>
        </w:tc>
        <w:tc>
          <w:tcPr>
            <w:tcW w:w="20" w:type="dxa"/>
            <w:vAlign w:val="bottom"/>
          </w:tcPr>
          <w:p>
            <w:pPr>
              <w:spacing w:after="0"/>
              <w:rPr>
                <w:sz w:val="18"/>
                <w:szCs w:val="18"/>
                <w:color w:val="auto"/>
              </w:rPr>
            </w:pPr>
          </w:p>
        </w:tc>
      </w:tr>
      <w:tr>
        <w:trPr>
          <w:trHeight w:val="212"/>
        </w:trPr>
        <w:tc>
          <w:tcPr>
            <w:tcW w:w="7400" w:type="dxa"/>
            <w:vAlign w:val="bottom"/>
            <w:gridSpan w:val="4"/>
          </w:tcPr>
          <w:p>
            <w:pPr>
              <w:ind w:left="200"/>
              <w:spacing w:after="0"/>
              <w:rPr>
                <w:sz w:val="20"/>
                <w:szCs w:val="20"/>
                <w:color w:val="auto"/>
              </w:rPr>
            </w:pPr>
            <w:r>
              <w:rPr>
                <w:rFonts w:ascii="Arial" w:cs="Arial" w:eastAsia="Arial" w:hAnsi="Arial"/>
                <w:sz w:val="17"/>
                <w:szCs w:val="17"/>
                <w:color w:val="auto"/>
              </w:rPr>
              <w:t>Total reinsurance coverage per occurrence</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9,100,000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9,200,000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4,000,000</w:t>
            </w:r>
          </w:p>
        </w:tc>
        <w:tc>
          <w:tcPr>
            <w:tcW w:w="20" w:type="dxa"/>
            <w:vAlign w:val="bottom"/>
          </w:tcPr>
          <w:p>
            <w:pPr>
              <w:spacing w:after="0"/>
              <w:rPr>
                <w:sz w:val="18"/>
                <w:szCs w:val="18"/>
                <w:color w:val="auto"/>
              </w:rPr>
            </w:pPr>
          </w:p>
        </w:tc>
      </w:tr>
      <w:tr>
        <w:trPr>
          <w:trHeight w:val="212"/>
        </w:trPr>
        <w:tc>
          <w:tcPr>
            <w:tcW w:w="740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Losses per occurrence subject to reinsurance coverage</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4,500,000</w:t>
            </w:r>
          </w:p>
        </w:tc>
        <w:tc>
          <w:tcPr>
            <w:tcW w:w="20" w:type="dxa"/>
            <w:vAlign w:val="bottom"/>
          </w:tcPr>
          <w:p>
            <w:pPr>
              <w:spacing w:after="0"/>
              <w:rPr>
                <w:sz w:val="18"/>
                <w:szCs w:val="18"/>
                <w:color w:val="auto"/>
              </w:rPr>
            </w:pPr>
          </w:p>
        </w:tc>
      </w:tr>
      <w:tr>
        <w:trPr>
          <w:trHeight w:val="237"/>
        </w:trPr>
        <w:tc>
          <w:tcPr>
            <w:tcW w:w="7400" w:type="dxa"/>
            <w:vAlign w:val="bottom"/>
            <w:gridSpan w:val="4"/>
          </w:tcPr>
          <w:p>
            <w:pPr>
              <w:ind w:left="200"/>
              <w:spacing w:after="0"/>
              <w:rPr>
                <w:sz w:val="20"/>
                <w:szCs w:val="20"/>
                <w:color w:val="auto"/>
              </w:rPr>
            </w:pPr>
            <w:r>
              <w:rPr>
                <w:rFonts w:ascii="Arial" w:cs="Arial" w:eastAsia="Arial" w:hAnsi="Arial"/>
                <w:sz w:val="17"/>
                <w:szCs w:val="17"/>
                <w:color w:val="auto"/>
              </w:rPr>
              <w:t>Expiration date</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June 30, 2019</w:t>
            </w:r>
          </w:p>
        </w:tc>
        <w:tc>
          <w:tcPr>
            <w:tcW w:w="160" w:type="dxa"/>
            <w:vAlign w:val="bottom"/>
          </w:tcPr>
          <w:p>
            <w:pPr>
              <w:spacing w:after="0"/>
              <w:rPr>
                <w:sz w:val="20"/>
                <w:szCs w:val="20"/>
                <w:color w:val="auto"/>
              </w:rPr>
            </w:pPr>
          </w:p>
        </w:tc>
        <w:tc>
          <w:tcPr>
            <w:tcW w:w="1220" w:type="dxa"/>
            <w:vAlign w:val="bottom"/>
          </w:tcPr>
          <w:p>
            <w:pPr>
              <w:ind w:left="40"/>
              <w:spacing w:after="0"/>
              <w:rPr>
                <w:sz w:val="20"/>
                <w:szCs w:val="20"/>
                <w:color w:val="auto"/>
              </w:rPr>
            </w:pPr>
            <w:r>
              <w:rPr>
                <w:rFonts w:ascii="Arial" w:cs="Arial" w:eastAsia="Arial" w:hAnsi="Arial"/>
                <w:sz w:val="17"/>
                <w:szCs w:val="17"/>
                <w:color w:val="auto"/>
              </w:rPr>
              <w:t>June 30, 2019</w:t>
            </w:r>
          </w:p>
        </w:tc>
        <w:tc>
          <w:tcPr>
            <w:tcW w:w="18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7"/>
                <w:szCs w:val="17"/>
                <w:color w:val="auto"/>
              </w:rPr>
              <w:t>June 30, 2017</w:t>
            </w:r>
          </w:p>
        </w:tc>
      </w:tr>
      <w:tr>
        <w:trPr>
          <w:trHeight w:val="213"/>
        </w:trPr>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7400" w:type="dxa"/>
            <w:vAlign w:val="bottom"/>
            <w:gridSpan w:val="4"/>
          </w:tcPr>
          <w:p>
            <w:pPr>
              <w:ind w:left="40"/>
              <w:spacing w:after="0"/>
              <w:rPr>
                <w:sz w:val="20"/>
                <w:szCs w:val="20"/>
                <w:color w:val="auto"/>
              </w:rPr>
            </w:pPr>
            <w:r>
              <w:rPr>
                <w:rFonts w:ascii="Arial" w:cs="Arial" w:eastAsia="Arial" w:hAnsi="Arial"/>
                <w:sz w:val="17"/>
                <w:szCs w:val="17"/>
                <w:color w:val="auto"/>
              </w:rPr>
              <w:t>Personal Umbrella</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740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Quota share treaty: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7400" w:type="dxa"/>
            <w:vAlign w:val="bottom"/>
            <w:gridSpan w:val="4"/>
          </w:tcPr>
          <w:p>
            <w:pPr>
              <w:ind w:left="360"/>
              <w:spacing w:after="0"/>
              <w:rPr>
                <w:sz w:val="20"/>
                <w:szCs w:val="20"/>
                <w:color w:val="auto"/>
              </w:rPr>
            </w:pPr>
            <w:r>
              <w:rPr>
                <w:rFonts w:ascii="Arial" w:cs="Arial" w:eastAsia="Arial" w:hAnsi="Arial"/>
                <w:sz w:val="17"/>
                <w:szCs w:val="17"/>
                <w:color w:val="auto"/>
              </w:rPr>
              <w:t>Percent ceded - first $1,000,000 of coverage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r>
      <w:tr>
        <w:trPr>
          <w:trHeight w:val="212"/>
        </w:trPr>
        <w:tc>
          <w:tcPr>
            <w:tcW w:w="740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Percent ceded - excess of $1,000,000 dollars of coverage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r>
      <w:tr>
        <w:trPr>
          <w:trHeight w:val="212"/>
        </w:trPr>
        <w:tc>
          <w:tcPr>
            <w:tcW w:w="7400" w:type="dxa"/>
            <w:vAlign w:val="bottom"/>
            <w:gridSpan w:val="4"/>
          </w:tcPr>
          <w:p>
            <w:pPr>
              <w:ind w:left="360"/>
              <w:spacing w:after="0"/>
              <w:rPr>
                <w:sz w:val="20"/>
                <w:szCs w:val="20"/>
                <w:color w:val="auto"/>
              </w:rPr>
            </w:pPr>
            <w:r>
              <w:rPr>
                <w:rFonts w:ascii="Arial" w:cs="Arial" w:eastAsia="Arial" w:hAnsi="Arial"/>
                <w:sz w:val="17"/>
                <w:szCs w:val="17"/>
                <w:color w:val="auto"/>
              </w:rPr>
              <w:t>Risk retained</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100,000</w:t>
            </w:r>
          </w:p>
        </w:tc>
        <w:tc>
          <w:tcPr>
            <w:tcW w:w="20" w:type="dxa"/>
            <w:vAlign w:val="bottom"/>
          </w:tcPr>
          <w:p>
            <w:pPr>
              <w:spacing w:after="0"/>
              <w:rPr>
                <w:sz w:val="18"/>
                <w:szCs w:val="18"/>
                <w:color w:val="auto"/>
              </w:rPr>
            </w:pPr>
          </w:p>
        </w:tc>
      </w:tr>
      <w:tr>
        <w:trPr>
          <w:trHeight w:val="212"/>
        </w:trPr>
        <w:tc>
          <w:tcPr>
            <w:tcW w:w="740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Total reinsurance coverage per occurrence</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4,900,000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4,900,000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4,900,000</w:t>
            </w:r>
          </w:p>
        </w:tc>
        <w:tc>
          <w:tcPr>
            <w:tcW w:w="20" w:type="dxa"/>
            <w:vAlign w:val="bottom"/>
          </w:tcPr>
          <w:p>
            <w:pPr>
              <w:spacing w:after="0"/>
              <w:rPr>
                <w:sz w:val="18"/>
                <w:szCs w:val="18"/>
                <w:color w:val="auto"/>
              </w:rPr>
            </w:pPr>
          </w:p>
        </w:tc>
      </w:tr>
      <w:tr>
        <w:trPr>
          <w:trHeight w:val="212"/>
        </w:trPr>
        <w:tc>
          <w:tcPr>
            <w:tcW w:w="7400" w:type="dxa"/>
            <w:vAlign w:val="bottom"/>
            <w:gridSpan w:val="4"/>
          </w:tcPr>
          <w:p>
            <w:pPr>
              <w:ind w:left="36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5,000,000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5,000,000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5,000,000</w:t>
            </w:r>
          </w:p>
        </w:tc>
        <w:tc>
          <w:tcPr>
            <w:tcW w:w="20" w:type="dxa"/>
            <w:vAlign w:val="bottom"/>
          </w:tcPr>
          <w:p>
            <w:pPr>
              <w:spacing w:after="0"/>
              <w:rPr>
                <w:sz w:val="18"/>
                <w:szCs w:val="18"/>
                <w:color w:val="auto"/>
              </w:rPr>
            </w:pPr>
          </w:p>
        </w:tc>
      </w:tr>
      <w:tr>
        <w:trPr>
          <w:trHeight w:val="238"/>
        </w:trPr>
        <w:tc>
          <w:tcPr>
            <w:tcW w:w="740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Expiration date</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8"/>
              </w:rPr>
              <w:t>June 30, 2019</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June 30, 2018</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30, 2017</w:t>
            </w:r>
          </w:p>
        </w:tc>
        <w:tc>
          <w:tcPr>
            <w:tcW w:w="20" w:type="dxa"/>
            <w:vAlign w:val="bottom"/>
          </w:tcPr>
          <w:p>
            <w:pPr>
              <w:spacing w:after="0"/>
              <w:rPr>
                <w:sz w:val="20"/>
                <w:szCs w:val="20"/>
                <w:color w:val="auto"/>
              </w:rPr>
            </w:pPr>
          </w:p>
        </w:tc>
      </w:tr>
      <w:tr>
        <w:trPr>
          <w:trHeight w:val="212"/>
        </w:trPr>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2"/>
        </w:trPr>
        <w:tc>
          <w:tcPr>
            <w:tcW w:w="7400" w:type="dxa"/>
            <w:vAlign w:val="bottom"/>
            <w:gridSpan w:val="4"/>
            <w:shd w:val="clear" w:color="auto" w:fill="CCEEFF"/>
          </w:tcPr>
          <w:p>
            <w:pPr>
              <w:spacing w:after="0" w:line="172" w:lineRule="exact"/>
              <w:rPr>
                <w:sz w:val="20"/>
                <w:szCs w:val="20"/>
                <w:color w:val="auto"/>
              </w:rPr>
            </w:pPr>
            <w:r>
              <w:rPr>
                <w:rFonts w:ascii="Arial" w:cs="Arial" w:eastAsia="Arial" w:hAnsi="Arial"/>
                <w:sz w:val="17"/>
                <w:szCs w:val="17"/>
                <w:color w:val="auto"/>
              </w:rPr>
              <w:t>Commercial Lines:</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40"/>
        </w:trPr>
        <w:tc>
          <w:tcPr>
            <w:tcW w:w="102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6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7400" w:type="dxa"/>
            <w:vAlign w:val="bottom"/>
            <w:gridSpan w:val="4"/>
          </w:tcPr>
          <w:p>
            <w:pPr>
              <w:ind w:left="40"/>
              <w:spacing w:after="0"/>
              <w:rPr>
                <w:sz w:val="20"/>
                <w:szCs w:val="20"/>
                <w:color w:val="auto"/>
              </w:rPr>
            </w:pPr>
            <w:r>
              <w:rPr>
                <w:rFonts w:ascii="Arial" w:cs="Arial" w:eastAsia="Arial" w:hAnsi="Arial"/>
                <w:sz w:val="17"/>
                <w:szCs w:val="17"/>
                <w:color w:val="auto"/>
              </w:rPr>
              <w:t>General liability commercial policies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740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Quota share treaty</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right="255"/>
              <w:spacing w:after="0"/>
              <w:rPr>
                <w:sz w:val="20"/>
                <w:szCs w:val="20"/>
                <w:color w:val="auto"/>
              </w:rPr>
            </w:pPr>
            <w:r>
              <w:rPr>
                <w:rFonts w:ascii="Arial" w:cs="Arial" w:eastAsia="Arial" w:hAnsi="Arial"/>
                <w:sz w:val="17"/>
                <w:szCs w:val="17"/>
                <w:color w:val="auto"/>
                <w:w w:val="88"/>
              </w:rPr>
              <w:t>None</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right="235"/>
              <w:spacing w:after="0"/>
              <w:rPr>
                <w:sz w:val="20"/>
                <w:szCs w:val="20"/>
                <w:color w:val="auto"/>
              </w:rPr>
            </w:pPr>
            <w:r>
              <w:rPr>
                <w:rFonts w:ascii="Arial" w:cs="Arial" w:eastAsia="Arial" w:hAnsi="Arial"/>
                <w:sz w:val="17"/>
                <w:szCs w:val="17"/>
                <w:color w:val="auto"/>
                <w:w w:val="93"/>
              </w:rPr>
              <w:t>None</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w w:val="88"/>
              </w:rPr>
              <w:t>None</w:t>
            </w:r>
          </w:p>
        </w:tc>
        <w:tc>
          <w:tcPr>
            <w:tcW w:w="20" w:type="dxa"/>
            <w:vAlign w:val="bottom"/>
          </w:tcPr>
          <w:p>
            <w:pPr>
              <w:spacing w:after="0"/>
              <w:rPr>
                <w:sz w:val="20"/>
                <w:szCs w:val="20"/>
                <w:color w:val="auto"/>
              </w:rPr>
            </w:pPr>
          </w:p>
        </w:tc>
      </w:tr>
      <w:tr>
        <w:trPr>
          <w:trHeight w:val="212"/>
        </w:trPr>
        <w:tc>
          <w:tcPr>
            <w:tcW w:w="7400" w:type="dxa"/>
            <w:vAlign w:val="bottom"/>
            <w:gridSpan w:val="4"/>
          </w:tcPr>
          <w:p>
            <w:pPr>
              <w:ind w:left="200"/>
              <w:spacing w:after="0"/>
              <w:rPr>
                <w:sz w:val="20"/>
                <w:szCs w:val="20"/>
                <w:color w:val="auto"/>
              </w:rPr>
            </w:pPr>
            <w:r>
              <w:rPr>
                <w:rFonts w:ascii="Arial" w:cs="Arial" w:eastAsia="Arial" w:hAnsi="Arial"/>
                <w:sz w:val="17"/>
                <w:szCs w:val="17"/>
                <w:color w:val="auto"/>
              </w:rPr>
              <w:t>Risk retained</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750,000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750,000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500,000</w:t>
            </w:r>
          </w:p>
        </w:tc>
        <w:tc>
          <w:tcPr>
            <w:tcW w:w="20" w:type="dxa"/>
            <w:vAlign w:val="bottom"/>
          </w:tcPr>
          <w:p>
            <w:pPr>
              <w:spacing w:after="0"/>
              <w:rPr>
                <w:sz w:val="18"/>
                <w:szCs w:val="18"/>
                <w:color w:val="auto"/>
              </w:rPr>
            </w:pPr>
          </w:p>
        </w:tc>
      </w:tr>
      <w:tr>
        <w:trPr>
          <w:trHeight w:val="212"/>
        </w:trPr>
        <w:tc>
          <w:tcPr>
            <w:tcW w:w="740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Excess of loss coverage above risk retained</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3,750,000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3,750,000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4,000,000</w:t>
            </w:r>
          </w:p>
        </w:tc>
        <w:tc>
          <w:tcPr>
            <w:tcW w:w="20" w:type="dxa"/>
            <w:vAlign w:val="bottom"/>
          </w:tcPr>
          <w:p>
            <w:pPr>
              <w:spacing w:after="0"/>
              <w:rPr>
                <w:sz w:val="18"/>
                <w:szCs w:val="18"/>
                <w:color w:val="auto"/>
              </w:rPr>
            </w:pPr>
          </w:p>
        </w:tc>
      </w:tr>
      <w:tr>
        <w:trPr>
          <w:trHeight w:val="212"/>
        </w:trPr>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255"/>
              <w:spacing w:after="0"/>
              <w:rPr>
                <w:sz w:val="20"/>
                <w:szCs w:val="20"/>
                <w:color w:val="auto"/>
              </w:rPr>
            </w:pPr>
            <w:r>
              <w:rPr>
                <w:rFonts w:ascii="Arial" w:cs="Arial" w:eastAsia="Arial" w:hAnsi="Arial"/>
                <w:sz w:val="17"/>
                <w:szCs w:val="17"/>
                <w:color w:val="auto"/>
                <w:w w:val="95"/>
              </w:rPr>
              <w:t>in excess of</w:t>
            </w:r>
          </w:p>
        </w:tc>
        <w:tc>
          <w:tcPr>
            <w:tcW w:w="1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Arial" w:cs="Arial" w:eastAsia="Arial" w:hAnsi="Arial"/>
                <w:sz w:val="17"/>
                <w:szCs w:val="17"/>
                <w:color w:val="auto"/>
              </w:rPr>
              <w:t>in excess of</w:t>
            </w:r>
          </w:p>
        </w:tc>
        <w:tc>
          <w:tcPr>
            <w:tcW w:w="180" w:type="dxa"/>
            <w:vAlign w:val="bottom"/>
          </w:tcPr>
          <w:p>
            <w:pPr>
              <w:spacing w:after="0"/>
              <w:rPr>
                <w:sz w:val="18"/>
                <w:szCs w:val="18"/>
                <w:color w:val="auto"/>
              </w:rPr>
            </w:pPr>
          </w:p>
        </w:tc>
        <w:tc>
          <w:tcPr>
            <w:tcW w:w="1120" w:type="dxa"/>
            <w:vAlign w:val="bottom"/>
          </w:tcPr>
          <w:p>
            <w:pPr>
              <w:jc w:val="right"/>
              <w:ind w:right="175"/>
              <w:spacing w:after="0"/>
              <w:rPr>
                <w:sz w:val="20"/>
                <w:szCs w:val="20"/>
                <w:color w:val="auto"/>
              </w:rPr>
            </w:pPr>
            <w:r>
              <w:rPr>
                <w:rFonts w:ascii="Arial" w:cs="Arial" w:eastAsia="Arial" w:hAnsi="Arial"/>
                <w:sz w:val="17"/>
                <w:szCs w:val="17"/>
                <w:color w:val="auto"/>
                <w:w w:val="93"/>
              </w:rPr>
              <w:t>in excess of</w:t>
            </w:r>
          </w:p>
        </w:tc>
        <w:tc>
          <w:tcPr>
            <w:tcW w:w="20" w:type="dxa"/>
            <w:vAlign w:val="bottom"/>
          </w:tcPr>
          <w:p>
            <w:pPr>
              <w:spacing w:after="0"/>
              <w:rPr>
                <w:sz w:val="18"/>
                <w:szCs w:val="18"/>
                <w:color w:val="auto"/>
              </w:rPr>
            </w:pPr>
          </w:p>
        </w:tc>
      </w:tr>
      <w:tr>
        <w:trPr>
          <w:trHeight w:val="212"/>
        </w:trPr>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750,000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750,000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500,000</w:t>
            </w:r>
          </w:p>
        </w:tc>
        <w:tc>
          <w:tcPr>
            <w:tcW w:w="20" w:type="dxa"/>
            <w:vAlign w:val="bottom"/>
          </w:tcPr>
          <w:p>
            <w:pPr>
              <w:spacing w:after="0"/>
              <w:rPr>
                <w:sz w:val="18"/>
                <w:szCs w:val="18"/>
                <w:color w:val="auto"/>
              </w:rPr>
            </w:pPr>
          </w:p>
        </w:tc>
      </w:tr>
      <w:tr>
        <w:trPr>
          <w:trHeight w:val="212"/>
        </w:trPr>
        <w:tc>
          <w:tcPr>
            <w:tcW w:w="7400" w:type="dxa"/>
            <w:vAlign w:val="bottom"/>
            <w:gridSpan w:val="4"/>
          </w:tcPr>
          <w:p>
            <w:pPr>
              <w:ind w:left="200"/>
              <w:spacing w:after="0"/>
              <w:rPr>
                <w:sz w:val="20"/>
                <w:szCs w:val="20"/>
                <w:color w:val="auto"/>
              </w:rPr>
            </w:pPr>
            <w:r>
              <w:rPr>
                <w:rFonts w:ascii="Arial" w:cs="Arial" w:eastAsia="Arial" w:hAnsi="Arial"/>
                <w:sz w:val="17"/>
                <w:szCs w:val="17"/>
                <w:color w:val="auto"/>
              </w:rPr>
              <w:t>Total reinsurance coverage per occurrence</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3,750,000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3,750,000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4,000,000</w:t>
            </w:r>
          </w:p>
        </w:tc>
        <w:tc>
          <w:tcPr>
            <w:tcW w:w="20" w:type="dxa"/>
            <w:vAlign w:val="bottom"/>
          </w:tcPr>
          <w:p>
            <w:pPr>
              <w:spacing w:after="0"/>
              <w:rPr>
                <w:sz w:val="18"/>
                <w:szCs w:val="18"/>
                <w:color w:val="auto"/>
              </w:rPr>
            </w:pPr>
          </w:p>
        </w:tc>
      </w:tr>
      <w:tr>
        <w:trPr>
          <w:trHeight w:val="212"/>
        </w:trPr>
        <w:tc>
          <w:tcPr>
            <w:tcW w:w="740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Losses per occurrence subject to reinsurance coverage</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4,500,000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4,500,000</w:t>
            </w:r>
          </w:p>
        </w:tc>
        <w:tc>
          <w:tcPr>
            <w:tcW w:w="20" w:type="dxa"/>
            <w:vAlign w:val="bottom"/>
          </w:tcPr>
          <w:p>
            <w:pPr>
              <w:spacing w:after="0"/>
              <w:rPr>
                <w:sz w:val="18"/>
                <w:szCs w:val="18"/>
                <w:color w:val="auto"/>
              </w:rPr>
            </w:pPr>
          </w:p>
        </w:tc>
      </w:tr>
      <w:tr>
        <w:trPr>
          <w:trHeight w:val="212"/>
        </w:trPr>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740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Commercial Umbrella</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7400" w:type="dxa"/>
            <w:vAlign w:val="bottom"/>
            <w:gridSpan w:val="4"/>
          </w:tcPr>
          <w:p>
            <w:pPr>
              <w:ind w:left="200"/>
              <w:spacing w:after="0"/>
              <w:rPr>
                <w:sz w:val="20"/>
                <w:szCs w:val="20"/>
                <w:color w:val="auto"/>
              </w:rPr>
            </w:pPr>
            <w:r>
              <w:rPr>
                <w:rFonts w:ascii="Arial" w:cs="Arial" w:eastAsia="Arial" w:hAnsi="Arial"/>
                <w:sz w:val="17"/>
                <w:szCs w:val="17"/>
                <w:color w:val="auto"/>
              </w:rPr>
              <w:t>Quota share treaty: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740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Percent ceded - first $1,000,000 of coverage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r>
      <w:tr>
        <w:trPr>
          <w:trHeight w:val="212"/>
        </w:trPr>
        <w:tc>
          <w:tcPr>
            <w:tcW w:w="7400" w:type="dxa"/>
            <w:vAlign w:val="bottom"/>
            <w:gridSpan w:val="4"/>
          </w:tcPr>
          <w:p>
            <w:pPr>
              <w:ind w:left="360"/>
              <w:spacing w:after="0"/>
              <w:rPr>
                <w:sz w:val="20"/>
                <w:szCs w:val="20"/>
                <w:color w:val="auto"/>
              </w:rPr>
            </w:pPr>
            <w:r>
              <w:rPr>
                <w:rFonts w:ascii="Arial" w:cs="Arial" w:eastAsia="Arial" w:hAnsi="Arial"/>
                <w:sz w:val="17"/>
                <w:szCs w:val="17"/>
                <w:color w:val="auto"/>
              </w:rPr>
              <w:t>Percent ceded - excess of $1,000,000 of coverage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r>
      <w:tr>
        <w:trPr>
          <w:trHeight w:val="212"/>
        </w:trPr>
        <w:tc>
          <w:tcPr>
            <w:tcW w:w="740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Risk retained</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100,000</w:t>
            </w:r>
          </w:p>
        </w:tc>
        <w:tc>
          <w:tcPr>
            <w:tcW w:w="20" w:type="dxa"/>
            <w:vAlign w:val="bottom"/>
          </w:tcPr>
          <w:p>
            <w:pPr>
              <w:spacing w:after="0"/>
              <w:rPr>
                <w:sz w:val="18"/>
                <w:szCs w:val="18"/>
                <w:color w:val="auto"/>
              </w:rPr>
            </w:pPr>
          </w:p>
        </w:tc>
      </w:tr>
      <w:tr>
        <w:trPr>
          <w:trHeight w:val="212"/>
        </w:trPr>
        <w:tc>
          <w:tcPr>
            <w:tcW w:w="7400" w:type="dxa"/>
            <w:vAlign w:val="bottom"/>
            <w:gridSpan w:val="4"/>
          </w:tcPr>
          <w:p>
            <w:pPr>
              <w:ind w:left="360"/>
              <w:spacing w:after="0"/>
              <w:rPr>
                <w:sz w:val="20"/>
                <w:szCs w:val="20"/>
                <w:color w:val="auto"/>
              </w:rPr>
            </w:pPr>
            <w:r>
              <w:rPr>
                <w:rFonts w:ascii="Arial" w:cs="Arial" w:eastAsia="Arial" w:hAnsi="Arial"/>
                <w:sz w:val="17"/>
                <w:szCs w:val="17"/>
                <w:color w:val="auto"/>
              </w:rPr>
              <w:t>Total reinsurance coverage per occurrence</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4,900,000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4,900,000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4,900,000</w:t>
            </w:r>
          </w:p>
        </w:tc>
        <w:tc>
          <w:tcPr>
            <w:tcW w:w="20" w:type="dxa"/>
            <w:vAlign w:val="bottom"/>
          </w:tcPr>
          <w:p>
            <w:pPr>
              <w:spacing w:after="0"/>
              <w:rPr>
                <w:sz w:val="18"/>
                <w:szCs w:val="18"/>
                <w:color w:val="auto"/>
              </w:rPr>
            </w:pPr>
          </w:p>
        </w:tc>
      </w:tr>
      <w:tr>
        <w:trPr>
          <w:trHeight w:val="212"/>
        </w:trPr>
        <w:tc>
          <w:tcPr>
            <w:tcW w:w="740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5,000,000</w:t>
            </w:r>
          </w:p>
        </w:tc>
        <w:tc>
          <w:tcPr>
            <w:tcW w:w="20" w:type="dxa"/>
            <w:vAlign w:val="bottom"/>
          </w:tcPr>
          <w:p>
            <w:pPr>
              <w:spacing w:after="0"/>
              <w:rPr>
                <w:sz w:val="18"/>
                <w:szCs w:val="18"/>
                <w:color w:val="auto"/>
              </w:rPr>
            </w:pPr>
          </w:p>
        </w:tc>
      </w:tr>
      <w:tr>
        <w:trPr>
          <w:trHeight w:val="237"/>
        </w:trPr>
        <w:tc>
          <w:tcPr>
            <w:tcW w:w="7400" w:type="dxa"/>
            <w:vAlign w:val="bottom"/>
            <w:gridSpan w:val="4"/>
          </w:tcPr>
          <w:p>
            <w:pPr>
              <w:ind w:left="200"/>
              <w:spacing w:after="0"/>
              <w:rPr>
                <w:sz w:val="20"/>
                <w:szCs w:val="20"/>
                <w:color w:val="auto"/>
              </w:rPr>
            </w:pPr>
            <w:r>
              <w:rPr>
                <w:rFonts w:ascii="Arial" w:cs="Arial" w:eastAsia="Arial" w:hAnsi="Arial"/>
                <w:sz w:val="17"/>
                <w:szCs w:val="17"/>
                <w:color w:val="auto"/>
              </w:rPr>
              <w:t>Expiration date</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June 30, 2019</w:t>
            </w:r>
          </w:p>
        </w:tc>
        <w:tc>
          <w:tcPr>
            <w:tcW w:w="160" w:type="dxa"/>
            <w:vAlign w:val="bottom"/>
          </w:tcPr>
          <w:p>
            <w:pPr>
              <w:spacing w:after="0"/>
              <w:rPr>
                <w:sz w:val="20"/>
                <w:szCs w:val="20"/>
                <w:color w:val="auto"/>
              </w:rPr>
            </w:pPr>
          </w:p>
        </w:tc>
        <w:tc>
          <w:tcPr>
            <w:tcW w:w="1220" w:type="dxa"/>
            <w:vAlign w:val="bottom"/>
          </w:tcPr>
          <w:p>
            <w:pPr>
              <w:ind w:left="40"/>
              <w:spacing w:after="0"/>
              <w:rPr>
                <w:sz w:val="20"/>
                <w:szCs w:val="20"/>
                <w:color w:val="auto"/>
              </w:rPr>
            </w:pPr>
            <w:r>
              <w:rPr>
                <w:rFonts w:ascii="Arial" w:cs="Arial" w:eastAsia="Arial" w:hAnsi="Arial"/>
                <w:sz w:val="17"/>
                <w:szCs w:val="17"/>
                <w:color w:val="auto"/>
              </w:rPr>
              <w:t>June 30, 2018</w:t>
            </w:r>
          </w:p>
        </w:tc>
        <w:tc>
          <w:tcPr>
            <w:tcW w:w="18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7"/>
                <w:szCs w:val="17"/>
                <w:color w:val="auto"/>
              </w:rPr>
              <w:t>June 30, 2017</w:t>
            </w:r>
          </w:p>
        </w:tc>
      </w:tr>
      <w:tr>
        <w:trPr>
          <w:trHeight w:val="213"/>
        </w:trPr>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2"/>
        </w:trPr>
        <w:tc>
          <w:tcPr>
            <w:tcW w:w="7400" w:type="dxa"/>
            <w:vAlign w:val="bottom"/>
            <w:gridSpan w:val="4"/>
          </w:tcPr>
          <w:p>
            <w:pPr>
              <w:spacing w:after="0" w:line="172" w:lineRule="exact"/>
              <w:rPr>
                <w:sz w:val="20"/>
                <w:szCs w:val="20"/>
                <w:color w:val="auto"/>
              </w:rPr>
            </w:pPr>
            <w:r>
              <w:rPr>
                <w:rFonts w:ascii="Arial" w:cs="Arial" w:eastAsia="Arial" w:hAnsi="Arial"/>
                <w:sz w:val="17"/>
                <w:szCs w:val="17"/>
                <w:color w:val="auto"/>
              </w:rPr>
              <w:t>Catastrophe Reinsurance: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
        </w:trPr>
        <w:tc>
          <w:tcPr>
            <w:tcW w:w="1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740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Initial loss subject to personal lines quota share treaty</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5,000,000</w:t>
            </w:r>
          </w:p>
        </w:tc>
        <w:tc>
          <w:tcPr>
            <w:tcW w:w="20" w:type="dxa"/>
            <w:vAlign w:val="bottom"/>
          </w:tcPr>
          <w:p>
            <w:pPr>
              <w:spacing w:after="0"/>
              <w:rPr>
                <w:sz w:val="19"/>
                <w:szCs w:val="19"/>
                <w:color w:val="auto"/>
              </w:rPr>
            </w:pPr>
          </w:p>
        </w:tc>
      </w:tr>
      <w:tr>
        <w:trPr>
          <w:trHeight w:val="212"/>
        </w:trPr>
        <w:tc>
          <w:tcPr>
            <w:tcW w:w="7400" w:type="dxa"/>
            <w:vAlign w:val="bottom"/>
            <w:gridSpan w:val="4"/>
          </w:tcPr>
          <w:p>
            <w:pPr>
              <w:ind w:left="200"/>
              <w:spacing w:after="0"/>
              <w:rPr>
                <w:sz w:val="20"/>
                <w:szCs w:val="20"/>
                <w:color w:val="auto"/>
              </w:rPr>
            </w:pPr>
            <w:r>
              <w:rPr>
                <w:rFonts w:ascii="Arial" w:cs="Arial" w:eastAsia="Arial" w:hAnsi="Arial"/>
                <w:sz w:val="17"/>
                <w:szCs w:val="17"/>
                <w:color w:val="auto"/>
              </w:rPr>
              <w:t>Risk retained per catastrophe occurrence (2)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4,500,000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3,000,000</w:t>
            </w:r>
          </w:p>
        </w:tc>
        <w:tc>
          <w:tcPr>
            <w:tcW w:w="20" w:type="dxa"/>
            <w:vAlign w:val="bottom"/>
          </w:tcPr>
          <w:p>
            <w:pPr>
              <w:spacing w:after="0"/>
              <w:rPr>
                <w:sz w:val="18"/>
                <w:szCs w:val="18"/>
                <w:color w:val="auto"/>
              </w:rPr>
            </w:pPr>
          </w:p>
        </w:tc>
      </w:tr>
      <w:tr>
        <w:trPr>
          <w:trHeight w:val="212"/>
        </w:trPr>
        <w:tc>
          <w:tcPr>
            <w:tcW w:w="740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Catastrophe loss coverage in excess of quota share coverage (3) (4)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445,000,000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315,000,000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247,000,000</w:t>
            </w:r>
          </w:p>
        </w:tc>
        <w:tc>
          <w:tcPr>
            <w:tcW w:w="20" w:type="dxa"/>
            <w:vAlign w:val="bottom"/>
          </w:tcPr>
          <w:p>
            <w:pPr>
              <w:spacing w:after="0"/>
              <w:rPr>
                <w:sz w:val="18"/>
                <w:szCs w:val="18"/>
                <w:color w:val="auto"/>
              </w:rPr>
            </w:pPr>
          </w:p>
        </w:tc>
      </w:tr>
      <w:tr>
        <w:trPr>
          <w:trHeight w:val="217"/>
        </w:trPr>
        <w:tc>
          <w:tcPr>
            <w:tcW w:w="7400" w:type="dxa"/>
            <w:vAlign w:val="bottom"/>
            <w:gridSpan w:val="4"/>
          </w:tcPr>
          <w:p>
            <w:pPr>
              <w:ind w:left="200"/>
              <w:spacing w:after="0"/>
              <w:rPr>
                <w:sz w:val="20"/>
                <w:szCs w:val="20"/>
                <w:color w:val="auto"/>
              </w:rPr>
            </w:pPr>
            <w:r>
              <w:rPr>
                <w:rFonts w:ascii="Arial" w:cs="Arial" w:eastAsia="Arial" w:hAnsi="Arial"/>
                <w:sz w:val="17"/>
                <w:szCs w:val="17"/>
                <w:color w:val="auto"/>
              </w:rPr>
              <w:t>Reinstatement premium protection (5)</w:t>
            </w:r>
          </w:p>
        </w:tc>
        <w:tc>
          <w:tcPr>
            <w:tcW w:w="260" w:type="dxa"/>
            <w:vAlign w:val="bottom"/>
          </w:tcPr>
          <w:p>
            <w:pPr>
              <w:spacing w:after="0"/>
              <w:rPr>
                <w:sz w:val="18"/>
                <w:szCs w:val="18"/>
                <w:color w:val="auto"/>
              </w:rPr>
            </w:pPr>
          </w:p>
        </w:tc>
        <w:tc>
          <w:tcPr>
            <w:tcW w:w="1220" w:type="dxa"/>
            <w:vAlign w:val="bottom"/>
          </w:tcPr>
          <w:p>
            <w:pPr>
              <w:jc w:val="center"/>
              <w:ind w:right="255"/>
              <w:spacing w:after="0"/>
              <w:rPr>
                <w:sz w:val="20"/>
                <w:szCs w:val="20"/>
                <w:color w:val="auto"/>
              </w:rPr>
            </w:pPr>
            <w:r>
              <w:rPr>
                <w:rFonts w:ascii="Arial" w:cs="Arial" w:eastAsia="Arial" w:hAnsi="Arial"/>
                <w:sz w:val="17"/>
                <w:szCs w:val="17"/>
                <w:color w:val="auto"/>
                <w:w w:val="81"/>
              </w:rPr>
              <w:t>Yes</w:t>
            </w:r>
          </w:p>
        </w:tc>
        <w:tc>
          <w:tcPr>
            <w:tcW w:w="160" w:type="dxa"/>
            <w:vAlign w:val="bottom"/>
          </w:tcPr>
          <w:p>
            <w:pPr>
              <w:spacing w:after="0"/>
              <w:rPr>
                <w:sz w:val="18"/>
                <w:szCs w:val="18"/>
                <w:color w:val="auto"/>
              </w:rPr>
            </w:pPr>
          </w:p>
        </w:tc>
        <w:tc>
          <w:tcPr>
            <w:tcW w:w="1220" w:type="dxa"/>
            <w:vAlign w:val="bottom"/>
          </w:tcPr>
          <w:p>
            <w:pPr>
              <w:jc w:val="right"/>
              <w:ind w:right="535"/>
              <w:spacing w:after="0"/>
              <w:rPr>
                <w:sz w:val="20"/>
                <w:szCs w:val="20"/>
                <w:color w:val="auto"/>
              </w:rPr>
            </w:pPr>
            <w:r>
              <w:rPr>
                <w:rFonts w:ascii="Arial" w:cs="Arial" w:eastAsia="Arial" w:hAnsi="Arial"/>
                <w:sz w:val="17"/>
                <w:szCs w:val="17"/>
                <w:color w:val="auto"/>
              </w:rPr>
              <w:t>Yes</w:t>
            </w:r>
          </w:p>
        </w:tc>
        <w:tc>
          <w:tcPr>
            <w:tcW w:w="180" w:type="dxa"/>
            <w:vAlign w:val="bottom"/>
          </w:tcPr>
          <w:p>
            <w:pPr>
              <w:spacing w:after="0"/>
              <w:rPr>
                <w:sz w:val="18"/>
                <w:szCs w:val="18"/>
                <w:color w:val="auto"/>
              </w:rPr>
            </w:pPr>
          </w:p>
        </w:tc>
        <w:tc>
          <w:tcPr>
            <w:tcW w:w="1120" w:type="dxa"/>
            <w:vAlign w:val="bottom"/>
          </w:tcPr>
          <w:p>
            <w:pPr>
              <w:jc w:val="center"/>
              <w:ind w:right="115"/>
              <w:spacing w:after="0"/>
              <w:rPr>
                <w:sz w:val="20"/>
                <w:szCs w:val="20"/>
                <w:color w:val="auto"/>
              </w:rPr>
            </w:pPr>
            <w:r>
              <w:rPr>
                <w:rFonts w:ascii="Arial" w:cs="Arial" w:eastAsia="Arial" w:hAnsi="Arial"/>
                <w:sz w:val="17"/>
                <w:szCs w:val="17"/>
                <w:color w:val="auto"/>
                <w:w w:val="81"/>
              </w:rPr>
              <w:t>Yes</w:t>
            </w:r>
          </w:p>
        </w:tc>
        <w:tc>
          <w:tcPr>
            <w:tcW w:w="20" w:type="dxa"/>
            <w:vAlign w:val="bottom"/>
          </w:tcPr>
          <w:p>
            <w:pPr>
              <w:spacing w:after="0"/>
              <w:rPr>
                <w:sz w:val="18"/>
                <w:szCs w:val="18"/>
                <w:color w:val="auto"/>
              </w:rPr>
            </w:pPr>
          </w:p>
        </w:tc>
      </w:tr>
    </w:tbl>
    <w:p>
      <w:pPr>
        <w:spacing w:after="0" w:line="224" w:lineRule="exact"/>
        <w:rPr>
          <w:sz w:val="20"/>
          <w:szCs w:val="20"/>
          <w:color w:val="auto"/>
        </w:rPr>
      </w:pPr>
    </w:p>
    <w:p>
      <w:pPr>
        <w:ind w:left="320" w:right="20" w:hanging="314"/>
        <w:spacing w:after="0" w:line="263"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ind w:left="320" w:hanging="314"/>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6" w:lineRule="exact"/>
        <w:rPr>
          <w:rFonts w:ascii="Arial" w:cs="Arial" w:eastAsia="Arial" w:hAnsi="Arial"/>
          <w:sz w:val="17"/>
          <w:szCs w:val="17"/>
          <w:color w:val="auto"/>
        </w:rPr>
      </w:pPr>
    </w:p>
    <w:p>
      <w:pPr>
        <w:ind w:left="320" w:right="20" w:hanging="314"/>
        <w:spacing w:after="0" w:line="260"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ind w:left="320" w:hanging="314"/>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Effective July 1, 2018, the top $50,000,000 layer of catastrophe reinsurance coverage has a two year term expiring on June 30, 2020.</w:t>
      </w:r>
    </w:p>
    <w:p>
      <w:pPr>
        <w:spacing w:after="0" w:line="16" w:lineRule="exact"/>
        <w:rPr>
          <w:rFonts w:ascii="Arial" w:cs="Arial" w:eastAsia="Arial" w:hAnsi="Arial"/>
          <w:sz w:val="17"/>
          <w:szCs w:val="17"/>
          <w:color w:val="auto"/>
        </w:rPr>
      </w:pPr>
    </w:p>
    <w:p>
      <w:pPr>
        <w:ind w:left="320" w:right="2700" w:hanging="314"/>
        <w:spacing w:after="0" w:line="322" w:lineRule="auto"/>
        <w:tabs>
          <w:tab w:leader="none" w:pos="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Effective July 1, 2016, reinstatement premium protection for $20,000,000 of catastrophe coverage in excess of $5,000,000. Effective July 1, 2017, reinstatement premium protection for $145,000,000 of catastrophe coverage in excess of $5,000,000. Effective July 1, 2018, reinstatement premium protection for $210,000,000 of catastrophe coverage in excess of $5,000,000.</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80"/>
          </w:cols>
          <w:pgMar w:left="160" w:top="470" w:right="15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The single maximum risks per occurrence to which the Company is subject under the treaties effective July 1, 2018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Treaty</w:t>
            </w:r>
          </w:p>
        </w:tc>
        <w:tc>
          <w:tcPr>
            <w:tcW w:w="100" w:type="dxa"/>
            <w:vAlign w:val="bottom"/>
            <w:vMerge w:val="restart"/>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508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rPr>
              <w:t>July 1, 2018 - June 30, 2019</w:t>
            </w:r>
          </w:p>
        </w:tc>
        <w:tc>
          <w:tcPr>
            <w:tcW w:w="0" w:type="dxa"/>
            <w:vAlign w:val="bottom"/>
          </w:tcPr>
          <w:p>
            <w:pPr>
              <w:spacing w:after="0"/>
              <w:rPr>
                <w:sz w:val="1"/>
                <w:szCs w:val="1"/>
                <w:color w:val="auto"/>
              </w:rPr>
            </w:pPr>
          </w:p>
        </w:tc>
      </w:tr>
      <w:tr>
        <w:trPr>
          <w:trHeight w:val="165"/>
        </w:trPr>
        <w:tc>
          <w:tcPr>
            <w:tcW w:w="32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120" w:type="dxa"/>
            <w:vAlign w:val="bottom"/>
            <w:tcBorders>
              <w:bottom w:val="single" w:sz="8" w:color="auto"/>
            </w:tcBorders>
          </w:tcPr>
          <w:p>
            <w:pPr>
              <w:jc w:val="center"/>
              <w:ind w:left="895"/>
              <w:spacing w:after="0" w:line="159" w:lineRule="exact"/>
              <w:rPr>
                <w:sz w:val="20"/>
                <w:szCs w:val="20"/>
                <w:color w:val="auto"/>
              </w:rPr>
            </w:pPr>
            <w:r>
              <w:rPr>
                <w:rFonts w:ascii="Arial" w:cs="Arial" w:eastAsia="Arial" w:hAnsi="Arial"/>
                <w:sz w:val="15"/>
                <w:szCs w:val="15"/>
                <w:b w:val="1"/>
                <w:bCs w:val="1"/>
                <w:color w:val="auto"/>
                <w:w w:val="87"/>
              </w:rPr>
              <w:t>Extent of Loss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b w:val="1"/>
                <w:bCs w:val="1"/>
                <w:color w:val="auto"/>
                <w:w w:val="88"/>
              </w:rPr>
              <w:t>Risk Retained</w:t>
            </w:r>
          </w:p>
        </w:tc>
        <w:tc>
          <w:tcPr>
            <w:tcW w:w="0" w:type="dxa"/>
            <w:vAlign w:val="bottom"/>
          </w:tcPr>
          <w:p>
            <w:pPr>
              <w:spacing w:after="0"/>
              <w:rPr>
                <w:sz w:val="1"/>
                <w:szCs w:val="1"/>
                <w:color w:val="auto"/>
              </w:rPr>
            </w:pPr>
          </w:p>
        </w:tc>
      </w:tr>
      <w:tr>
        <w:trPr>
          <w:trHeight w:val="212"/>
        </w:trPr>
        <w:tc>
          <w:tcPr>
            <w:tcW w:w="33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Personal Lines (1)</w:t>
            </w:r>
          </w:p>
        </w:tc>
        <w:tc>
          <w:tcPr>
            <w:tcW w:w="3120" w:type="dxa"/>
            <w:vAlign w:val="bottom"/>
            <w:shd w:val="clear" w:color="auto" w:fill="CCEEFF"/>
          </w:tcPr>
          <w:p>
            <w:pPr>
              <w:jc w:val="center"/>
              <w:ind w:left="915"/>
              <w:spacing w:after="0"/>
              <w:rPr>
                <w:sz w:val="20"/>
                <w:szCs w:val="20"/>
                <w:color w:val="auto"/>
              </w:rPr>
            </w:pPr>
            <w:r>
              <w:rPr>
                <w:rFonts w:ascii="Arial" w:cs="Arial" w:eastAsia="Arial" w:hAnsi="Arial"/>
                <w:sz w:val="17"/>
                <w:szCs w:val="17"/>
                <w:color w:val="auto"/>
                <w:w w:val="95"/>
              </w:rPr>
              <w:t>Initial $1,000,000</w:t>
            </w:r>
          </w:p>
        </w:tc>
        <w:tc>
          <w:tcPr>
            <w:tcW w:w="508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0"/>
              </w:rPr>
              <w:t>$900,000</w:t>
            </w: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jc w:val="center"/>
              <w:ind w:left="895"/>
              <w:spacing w:after="0"/>
              <w:rPr>
                <w:sz w:val="20"/>
                <w:szCs w:val="20"/>
                <w:color w:val="auto"/>
              </w:rPr>
            </w:pPr>
            <w:r>
              <w:rPr>
                <w:rFonts w:ascii="Arial" w:cs="Arial" w:eastAsia="Arial" w:hAnsi="Arial"/>
                <w:sz w:val="17"/>
                <w:szCs w:val="17"/>
                <w:color w:val="auto"/>
                <w:w w:val="91"/>
              </w:rPr>
              <w:t>$1,000,000 - $10,000,000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7"/>
                <w:szCs w:val="17"/>
                <w:color w:val="auto"/>
                <w:w w:val="94"/>
              </w:rPr>
              <w:t>None(2)</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jc w:val="center"/>
              <w:ind w:left="915"/>
              <w:spacing w:after="0"/>
              <w:rPr>
                <w:sz w:val="20"/>
                <w:szCs w:val="20"/>
                <w:color w:val="auto"/>
              </w:rPr>
            </w:pPr>
            <w:r>
              <w:rPr>
                <w:rFonts w:ascii="Arial" w:cs="Arial" w:eastAsia="Arial" w:hAnsi="Arial"/>
                <w:sz w:val="17"/>
                <w:szCs w:val="17"/>
                <w:color w:val="auto"/>
                <w:w w:val="91"/>
              </w:rPr>
              <w:t>Over $10,000,000</w:t>
            </w:r>
          </w:p>
        </w:tc>
        <w:tc>
          <w:tcPr>
            <w:tcW w:w="508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Personal Umbrella</w:t>
            </w:r>
          </w:p>
        </w:tc>
        <w:tc>
          <w:tcPr>
            <w:tcW w:w="3120" w:type="dxa"/>
            <w:vAlign w:val="bottom"/>
            <w:shd w:val="clear" w:color="auto" w:fill="CCEEFF"/>
          </w:tcPr>
          <w:p>
            <w:pPr>
              <w:jc w:val="center"/>
              <w:ind w:left="915"/>
              <w:spacing w:after="0"/>
              <w:rPr>
                <w:sz w:val="20"/>
                <w:szCs w:val="20"/>
                <w:color w:val="auto"/>
              </w:rPr>
            </w:pPr>
            <w:r>
              <w:rPr>
                <w:rFonts w:ascii="Arial" w:cs="Arial" w:eastAsia="Arial" w:hAnsi="Arial"/>
                <w:sz w:val="17"/>
                <w:szCs w:val="17"/>
                <w:color w:val="auto"/>
                <w:w w:val="95"/>
              </w:rPr>
              <w:t>Initial $1,000,000</w:t>
            </w:r>
          </w:p>
        </w:tc>
        <w:tc>
          <w:tcPr>
            <w:tcW w:w="508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0"/>
              </w:rPr>
              <w:t>$100,000</w:t>
            </w: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jc w:val="center"/>
              <w:ind w:left="915"/>
              <w:spacing w:after="0"/>
              <w:rPr>
                <w:sz w:val="20"/>
                <w:szCs w:val="20"/>
                <w:color w:val="auto"/>
              </w:rPr>
            </w:pPr>
            <w:r>
              <w:rPr>
                <w:rFonts w:ascii="Arial" w:cs="Arial" w:eastAsia="Arial" w:hAnsi="Arial"/>
                <w:sz w:val="17"/>
                <w:szCs w:val="17"/>
                <w:color w:val="auto"/>
                <w:w w:val="90"/>
              </w:rPr>
              <w:t>$1,000,000 - $5,000,000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jc w:val="center"/>
              <w:ind w:left="915"/>
              <w:spacing w:after="0"/>
              <w:rPr>
                <w:sz w:val="20"/>
                <w:szCs w:val="20"/>
                <w:color w:val="auto"/>
              </w:rPr>
            </w:pPr>
            <w:r>
              <w:rPr>
                <w:rFonts w:ascii="Arial" w:cs="Arial" w:eastAsia="Arial" w:hAnsi="Arial"/>
                <w:sz w:val="17"/>
                <w:szCs w:val="17"/>
                <w:color w:val="auto"/>
                <w:w w:val="91"/>
              </w:rPr>
              <w:t>Over $5,000,000</w:t>
            </w:r>
          </w:p>
        </w:tc>
        <w:tc>
          <w:tcPr>
            <w:tcW w:w="508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Commercial Lines</w:t>
            </w:r>
          </w:p>
        </w:tc>
        <w:tc>
          <w:tcPr>
            <w:tcW w:w="3120" w:type="dxa"/>
            <w:vAlign w:val="bottom"/>
            <w:shd w:val="clear" w:color="auto" w:fill="CCEEFF"/>
          </w:tcPr>
          <w:p>
            <w:pPr>
              <w:jc w:val="center"/>
              <w:ind w:left="895"/>
              <w:spacing w:after="0"/>
              <w:rPr>
                <w:sz w:val="20"/>
                <w:szCs w:val="20"/>
                <w:color w:val="auto"/>
              </w:rPr>
            </w:pPr>
            <w:r>
              <w:rPr>
                <w:rFonts w:ascii="Arial" w:cs="Arial" w:eastAsia="Arial" w:hAnsi="Arial"/>
                <w:sz w:val="17"/>
                <w:szCs w:val="17"/>
                <w:color w:val="auto"/>
                <w:w w:val="95"/>
              </w:rPr>
              <w:t>Initial $750,000</w:t>
            </w:r>
          </w:p>
        </w:tc>
        <w:tc>
          <w:tcPr>
            <w:tcW w:w="508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0"/>
              </w:rPr>
              <w:t>$750,000</w:t>
            </w: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jc w:val="center"/>
              <w:ind w:left="915"/>
              <w:spacing w:after="0"/>
              <w:rPr>
                <w:sz w:val="20"/>
                <w:szCs w:val="20"/>
                <w:color w:val="auto"/>
              </w:rPr>
            </w:pPr>
            <w:r>
              <w:rPr>
                <w:rFonts w:ascii="Arial" w:cs="Arial" w:eastAsia="Arial" w:hAnsi="Arial"/>
                <w:sz w:val="17"/>
                <w:szCs w:val="17"/>
                <w:color w:val="auto"/>
                <w:w w:val="91"/>
              </w:rPr>
              <w:t>$750,000 - $4,500,000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7"/>
                <w:szCs w:val="17"/>
                <w:color w:val="auto"/>
                <w:w w:val="94"/>
              </w:rPr>
              <w:t>None(3)</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jc w:val="center"/>
              <w:ind w:left="915"/>
              <w:spacing w:after="0"/>
              <w:rPr>
                <w:sz w:val="20"/>
                <w:szCs w:val="20"/>
                <w:color w:val="auto"/>
              </w:rPr>
            </w:pPr>
            <w:r>
              <w:rPr>
                <w:rFonts w:ascii="Arial" w:cs="Arial" w:eastAsia="Arial" w:hAnsi="Arial"/>
                <w:sz w:val="17"/>
                <w:szCs w:val="17"/>
                <w:color w:val="auto"/>
                <w:w w:val="91"/>
              </w:rPr>
              <w:t>Over $4,500,000</w:t>
            </w:r>
          </w:p>
        </w:tc>
        <w:tc>
          <w:tcPr>
            <w:tcW w:w="508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Commercial Umbrella</w:t>
            </w:r>
          </w:p>
        </w:tc>
        <w:tc>
          <w:tcPr>
            <w:tcW w:w="3120" w:type="dxa"/>
            <w:vAlign w:val="bottom"/>
            <w:shd w:val="clear" w:color="auto" w:fill="CCEEFF"/>
          </w:tcPr>
          <w:p>
            <w:pPr>
              <w:jc w:val="center"/>
              <w:ind w:left="915"/>
              <w:spacing w:after="0"/>
              <w:rPr>
                <w:sz w:val="20"/>
                <w:szCs w:val="20"/>
                <w:color w:val="auto"/>
              </w:rPr>
            </w:pPr>
            <w:r>
              <w:rPr>
                <w:rFonts w:ascii="Arial" w:cs="Arial" w:eastAsia="Arial" w:hAnsi="Arial"/>
                <w:sz w:val="17"/>
                <w:szCs w:val="17"/>
                <w:color w:val="auto"/>
                <w:w w:val="95"/>
              </w:rPr>
              <w:t>Initial $1,000,000</w:t>
            </w:r>
          </w:p>
        </w:tc>
        <w:tc>
          <w:tcPr>
            <w:tcW w:w="508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0"/>
              </w:rPr>
              <w:t>$100,000</w:t>
            </w: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jc w:val="center"/>
              <w:ind w:left="915"/>
              <w:spacing w:after="0"/>
              <w:rPr>
                <w:sz w:val="20"/>
                <w:szCs w:val="20"/>
                <w:color w:val="auto"/>
              </w:rPr>
            </w:pPr>
            <w:r>
              <w:rPr>
                <w:rFonts w:ascii="Arial" w:cs="Arial" w:eastAsia="Arial" w:hAnsi="Arial"/>
                <w:sz w:val="17"/>
                <w:szCs w:val="17"/>
                <w:color w:val="auto"/>
                <w:w w:val="90"/>
              </w:rPr>
              <w:t>$1,000,000 - $5,000,000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jc w:val="center"/>
              <w:ind w:left="915"/>
              <w:spacing w:after="0"/>
              <w:rPr>
                <w:sz w:val="20"/>
                <w:szCs w:val="20"/>
                <w:color w:val="auto"/>
              </w:rPr>
            </w:pPr>
            <w:r>
              <w:rPr>
                <w:rFonts w:ascii="Arial" w:cs="Arial" w:eastAsia="Arial" w:hAnsi="Arial"/>
                <w:sz w:val="17"/>
                <w:szCs w:val="17"/>
                <w:color w:val="auto"/>
                <w:w w:val="91"/>
              </w:rPr>
              <w:t>Over $5,000,000</w:t>
            </w:r>
          </w:p>
        </w:tc>
        <w:tc>
          <w:tcPr>
            <w:tcW w:w="508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Catastrophe (4)</w:t>
            </w:r>
          </w:p>
        </w:tc>
        <w:tc>
          <w:tcPr>
            <w:tcW w:w="3120" w:type="dxa"/>
            <w:vAlign w:val="bottom"/>
            <w:shd w:val="clear" w:color="auto" w:fill="CCEEFF"/>
          </w:tcPr>
          <w:p>
            <w:pPr>
              <w:jc w:val="center"/>
              <w:ind w:left="915"/>
              <w:spacing w:after="0"/>
              <w:rPr>
                <w:sz w:val="20"/>
                <w:szCs w:val="20"/>
                <w:color w:val="auto"/>
              </w:rPr>
            </w:pPr>
            <w:r>
              <w:rPr>
                <w:rFonts w:ascii="Arial" w:cs="Arial" w:eastAsia="Arial" w:hAnsi="Arial"/>
                <w:sz w:val="17"/>
                <w:szCs w:val="17"/>
                <w:color w:val="auto"/>
                <w:w w:val="95"/>
              </w:rPr>
              <w:t>Initial $5,000,000</w:t>
            </w:r>
          </w:p>
        </w:tc>
        <w:tc>
          <w:tcPr>
            <w:tcW w:w="5080" w:type="dxa"/>
            <w:vAlign w:val="bottom"/>
            <w:gridSpan w:val="3"/>
            <w:shd w:val="clear" w:color="auto" w:fill="CCEEFF"/>
          </w:tcPr>
          <w:p>
            <w:pPr>
              <w:jc w:val="center"/>
              <w:ind w:left="975"/>
              <w:spacing w:after="0"/>
              <w:rPr>
                <w:sz w:val="20"/>
                <w:szCs w:val="20"/>
                <w:color w:val="auto"/>
              </w:rPr>
            </w:pPr>
            <w:r>
              <w:rPr>
                <w:rFonts w:ascii="Arial" w:cs="Arial" w:eastAsia="Arial" w:hAnsi="Arial"/>
                <w:sz w:val="17"/>
                <w:szCs w:val="17"/>
                <w:color w:val="auto"/>
                <w:w w:val="91"/>
              </w:rPr>
              <w:t>$4,500,000</w:t>
            </w: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jc w:val="center"/>
              <w:ind w:left="895"/>
              <w:spacing w:after="0"/>
              <w:rPr>
                <w:sz w:val="20"/>
                <w:szCs w:val="20"/>
                <w:color w:val="auto"/>
              </w:rPr>
            </w:pPr>
            <w:r>
              <w:rPr>
                <w:rFonts w:ascii="Arial" w:cs="Arial" w:eastAsia="Arial" w:hAnsi="Arial"/>
                <w:sz w:val="17"/>
                <w:szCs w:val="17"/>
                <w:color w:val="auto"/>
                <w:w w:val="91"/>
              </w:rPr>
              <w:t>$5,000,000 - $450,000,000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jc w:val="center"/>
              <w:ind w:left="895"/>
              <w:spacing w:after="0"/>
              <w:rPr>
                <w:sz w:val="20"/>
                <w:szCs w:val="20"/>
                <w:color w:val="auto"/>
              </w:rPr>
            </w:pPr>
            <w:r>
              <w:rPr>
                <w:rFonts w:ascii="Arial" w:cs="Arial" w:eastAsia="Arial" w:hAnsi="Arial"/>
                <w:sz w:val="17"/>
                <w:szCs w:val="17"/>
                <w:color w:val="auto"/>
                <w:w w:val="92"/>
              </w:rPr>
              <w:t>Over $450,000,000</w:t>
            </w:r>
          </w:p>
        </w:tc>
        <w:tc>
          <w:tcPr>
            <w:tcW w:w="508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bl>
    <w:p>
      <w:pPr>
        <w:ind w:left="320" w:hanging="314"/>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Treaty for July 1, 2018 – June 30, 2019 is a two year treaty with expiration date of June 30, 2019.</w:t>
      </w:r>
    </w:p>
    <w:p>
      <w:pPr>
        <w:spacing w:after="0" w:line="13" w:lineRule="exact"/>
        <w:rPr>
          <w:rFonts w:ascii="Arial" w:cs="Arial" w:eastAsia="Arial" w:hAnsi="Arial"/>
          <w:sz w:val="17"/>
          <w:szCs w:val="17"/>
          <w:color w:val="auto"/>
        </w:rPr>
      </w:pPr>
    </w:p>
    <w:p>
      <w:pPr>
        <w:ind w:left="320" w:hanging="314"/>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6" w:lineRule="exact"/>
        <w:rPr>
          <w:rFonts w:ascii="Arial" w:cs="Arial" w:eastAsia="Arial" w:hAnsi="Arial"/>
          <w:sz w:val="17"/>
          <w:szCs w:val="17"/>
          <w:color w:val="auto"/>
        </w:rPr>
      </w:pPr>
    </w:p>
    <w:p>
      <w:pPr>
        <w:ind w:left="320" w:hanging="314"/>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6" w:lineRule="exact"/>
        <w:rPr>
          <w:rFonts w:ascii="Arial" w:cs="Arial" w:eastAsia="Arial" w:hAnsi="Arial"/>
          <w:sz w:val="17"/>
          <w:szCs w:val="17"/>
          <w:color w:val="auto"/>
        </w:rPr>
      </w:pPr>
    </w:p>
    <w:p>
      <w:pPr>
        <w:ind w:left="320" w:hanging="314"/>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The single maximum risks per occurrence to which the Company is subject under the treaty years shown below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2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8"/>
              </w:rPr>
              <w:t>Treaty</w:t>
            </w:r>
          </w:p>
        </w:tc>
        <w:tc>
          <w:tcPr>
            <w:tcW w:w="4760" w:type="dxa"/>
            <w:vAlign w:val="bottom"/>
            <w:gridSpan w:val="3"/>
          </w:tcPr>
          <w:p>
            <w:pPr>
              <w:ind w:left="1460"/>
              <w:spacing w:after="0"/>
              <w:rPr>
                <w:sz w:val="20"/>
                <w:szCs w:val="20"/>
                <w:color w:val="auto"/>
              </w:rPr>
            </w:pPr>
            <w:r>
              <w:rPr>
                <w:rFonts w:ascii="Arial" w:cs="Arial" w:eastAsia="Arial" w:hAnsi="Arial"/>
                <w:sz w:val="15"/>
                <w:szCs w:val="15"/>
                <w:b w:val="1"/>
                <w:bCs w:val="1"/>
                <w:color w:val="auto"/>
              </w:rPr>
              <w:t>July 1, 2017 - June 30, 2018</w:t>
            </w:r>
          </w:p>
        </w:tc>
        <w:tc>
          <w:tcPr>
            <w:tcW w:w="4600" w:type="dxa"/>
            <w:vAlign w:val="bottom"/>
            <w:gridSpan w:val="2"/>
          </w:tcPr>
          <w:p>
            <w:pPr>
              <w:jc w:val="right"/>
              <w:ind w:right="1327"/>
              <w:spacing w:after="0"/>
              <w:rPr>
                <w:sz w:val="20"/>
                <w:szCs w:val="20"/>
                <w:color w:val="auto"/>
              </w:rPr>
            </w:pPr>
            <w:r>
              <w:rPr>
                <w:rFonts w:ascii="Arial" w:cs="Arial" w:eastAsia="Arial" w:hAnsi="Arial"/>
                <w:sz w:val="15"/>
                <w:szCs w:val="15"/>
                <w:b w:val="1"/>
                <w:bCs w:val="1"/>
                <w:color w:val="auto"/>
              </w:rPr>
              <w:t>July 1, 2016 - June 30, 2017</w:t>
            </w:r>
          </w:p>
        </w:tc>
        <w:tc>
          <w:tcPr>
            <w:tcW w:w="0" w:type="dxa"/>
            <w:vAlign w:val="bottom"/>
          </w:tcPr>
          <w:p>
            <w:pPr>
              <w:spacing w:after="0"/>
              <w:rPr>
                <w:sz w:val="1"/>
                <w:szCs w:val="1"/>
                <w:color w:val="auto"/>
              </w:rPr>
            </w:pPr>
          </w:p>
        </w:tc>
      </w:tr>
      <w:tr>
        <w:trPr>
          <w:trHeight w:val="165"/>
        </w:trPr>
        <w:tc>
          <w:tcPr>
            <w:tcW w:w="2200" w:type="dxa"/>
            <w:vAlign w:val="bottom"/>
            <w:tcBorders>
              <w:bottom w:val="single" w:sz="8" w:color="auto"/>
            </w:tcBorders>
            <w:vMerge w:val="continue"/>
          </w:tcPr>
          <w:p>
            <w:pPr>
              <w:spacing w:after="0"/>
              <w:rPr>
                <w:sz w:val="14"/>
                <w:szCs w:val="14"/>
                <w:color w:val="auto"/>
              </w:rPr>
            </w:pPr>
          </w:p>
        </w:tc>
        <w:tc>
          <w:tcPr>
            <w:tcW w:w="2500" w:type="dxa"/>
            <w:vAlign w:val="bottom"/>
            <w:tcBorders>
              <w:top w:val="single" w:sz="8" w:color="auto"/>
              <w:bottom w:val="single" w:sz="8" w:color="auto"/>
            </w:tcBorders>
          </w:tcPr>
          <w:p>
            <w:pPr>
              <w:jc w:val="center"/>
              <w:ind w:right="67"/>
              <w:spacing w:after="0" w:line="159" w:lineRule="exact"/>
              <w:rPr>
                <w:sz w:val="20"/>
                <w:szCs w:val="20"/>
                <w:color w:val="auto"/>
              </w:rPr>
            </w:pPr>
            <w:r>
              <w:rPr>
                <w:rFonts w:ascii="Arial" w:cs="Arial" w:eastAsia="Arial" w:hAnsi="Arial"/>
                <w:sz w:val="15"/>
                <w:szCs w:val="15"/>
                <w:b w:val="1"/>
                <w:bCs w:val="1"/>
                <w:color w:val="auto"/>
                <w:w w:val="85"/>
              </w:rPr>
              <w:t>Range of Loss</w:t>
            </w:r>
          </w:p>
        </w:tc>
        <w:tc>
          <w:tcPr>
            <w:tcW w:w="2140" w:type="dxa"/>
            <w:vAlign w:val="bottom"/>
            <w:tcBorders>
              <w:top w:val="single" w:sz="8" w:color="auto"/>
              <w:bottom w:val="single" w:sz="8" w:color="auto"/>
            </w:tcBorders>
          </w:tcPr>
          <w:p>
            <w:pPr>
              <w:jc w:val="right"/>
              <w:ind w:right="647"/>
              <w:spacing w:after="0" w:line="159" w:lineRule="exact"/>
              <w:rPr>
                <w:sz w:val="20"/>
                <w:szCs w:val="20"/>
                <w:color w:val="auto"/>
              </w:rPr>
            </w:pPr>
            <w:r>
              <w:rPr>
                <w:rFonts w:ascii="Arial" w:cs="Arial" w:eastAsia="Arial" w:hAnsi="Arial"/>
                <w:sz w:val="15"/>
                <w:szCs w:val="15"/>
                <w:b w:val="1"/>
                <w:bCs w:val="1"/>
                <w:color w:val="auto"/>
              </w:rPr>
              <w:t>Risk Retained</w:t>
            </w:r>
          </w:p>
        </w:tc>
        <w:tc>
          <w:tcPr>
            <w:tcW w:w="120" w:type="dxa"/>
            <w:vAlign w:val="bottom"/>
          </w:tcPr>
          <w:p>
            <w:pPr>
              <w:spacing w:after="0"/>
              <w:rPr>
                <w:sz w:val="14"/>
                <w:szCs w:val="14"/>
                <w:color w:val="auto"/>
              </w:rPr>
            </w:pPr>
          </w:p>
        </w:tc>
        <w:tc>
          <w:tcPr>
            <w:tcW w:w="2480" w:type="dxa"/>
            <w:vAlign w:val="bottom"/>
            <w:tcBorders>
              <w:top w:val="single" w:sz="8" w:color="auto"/>
              <w:bottom w:val="single" w:sz="8" w:color="auto"/>
            </w:tcBorders>
          </w:tcPr>
          <w:p>
            <w:pPr>
              <w:jc w:val="center"/>
              <w:ind w:right="67"/>
              <w:spacing w:after="0" w:line="159" w:lineRule="exact"/>
              <w:rPr>
                <w:sz w:val="20"/>
                <w:szCs w:val="20"/>
                <w:color w:val="auto"/>
              </w:rPr>
            </w:pPr>
            <w:r>
              <w:rPr>
                <w:rFonts w:ascii="Arial" w:cs="Arial" w:eastAsia="Arial" w:hAnsi="Arial"/>
                <w:sz w:val="15"/>
                <w:szCs w:val="15"/>
                <w:b w:val="1"/>
                <w:bCs w:val="1"/>
                <w:color w:val="auto"/>
                <w:w w:val="83"/>
              </w:rPr>
              <w:t>Range of Loss</w:t>
            </w:r>
          </w:p>
        </w:tc>
        <w:tc>
          <w:tcPr>
            <w:tcW w:w="2120" w:type="dxa"/>
            <w:vAlign w:val="bottom"/>
            <w:tcBorders>
              <w:top w:val="single" w:sz="8" w:color="auto"/>
              <w:bottom w:val="single" w:sz="8" w:color="auto"/>
            </w:tcBorders>
          </w:tcPr>
          <w:p>
            <w:pPr>
              <w:jc w:val="right"/>
              <w:ind w:right="607"/>
              <w:spacing w:after="0" w:line="159" w:lineRule="exact"/>
              <w:rPr>
                <w:sz w:val="20"/>
                <w:szCs w:val="20"/>
                <w:color w:val="auto"/>
              </w:rPr>
            </w:pPr>
            <w:r>
              <w:rPr>
                <w:rFonts w:ascii="Arial" w:cs="Arial" w:eastAsia="Arial" w:hAnsi="Arial"/>
                <w:sz w:val="15"/>
                <w:szCs w:val="15"/>
                <w:b w:val="1"/>
                <w:bCs w:val="1"/>
                <w:color w:val="auto"/>
              </w:rPr>
              <w:t>Risk Retained</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87"/>
              </w:rPr>
              <w:t>Personal Lines (1)</w:t>
            </w:r>
          </w:p>
        </w:tc>
        <w:tc>
          <w:tcPr>
            <w:tcW w:w="250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90"/>
              </w:rPr>
              <w:t>Initial $1,000,000</w:t>
            </w:r>
          </w:p>
        </w:tc>
        <w:tc>
          <w:tcPr>
            <w:tcW w:w="214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9"/>
              </w:rPr>
              <w:t>$800,000</w:t>
            </w:r>
          </w:p>
        </w:tc>
        <w:tc>
          <w:tcPr>
            <w:tcW w:w="120" w:type="dxa"/>
            <w:vAlign w:val="bottom"/>
            <w:shd w:val="clear" w:color="auto" w:fill="CCEEFF"/>
          </w:tcPr>
          <w:p>
            <w:pPr>
              <w:spacing w:after="0"/>
              <w:rPr>
                <w:sz w:val="13"/>
                <w:szCs w:val="13"/>
                <w:color w:val="auto"/>
              </w:rPr>
            </w:pPr>
          </w:p>
        </w:tc>
        <w:tc>
          <w:tcPr>
            <w:tcW w:w="248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92"/>
              </w:rPr>
              <w:t>Initial $833,333</w:t>
            </w:r>
          </w:p>
        </w:tc>
        <w:tc>
          <w:tcPr>
            <w:tcW w:w="212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6"/>
              </w:rPr>
              <w:t>$500,000</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500" w:type="dxa"/>
            <w:vAlign w:val="bottom"/>
          </w:tcPr>
          <w:p>
            <w:pPr>
              <w:jc w:val="center"/>
              <w:ind w:right="87"/>
              <w:spacing w:after="0" w:line="159" w:lineRule="exact"/>
              <w:rPr>
                <w:sz w:val="20"/>
                <w:szCs w:val="20"/>
                <w:color w:val="auto"/>
              </w:rPr>
            </w:pPr>
            <w:r>
              <w:rPr>
                <w:rFonts w:ascii="Arial" w:cs="Arial" w:eastAsia="Arial" w:hAnsi="Arial"/>
                <w:sz w:val="15"/>
                <w:szCs w:val="15"/>
                <w:color w:val="auto"/>
                <w:w w:val="87"/>
              </w:rPr>
              <w:t>$1,000,000 - $10,000,000</w:t>
            </w:r>
          </w:p>
        </w:tc>
        <w:tc>
          <w:tcPr>
            <w:tcW w:w="2260" w:type="dxa"/>
            <w:vAlign w:val="bottom"/>
            <w:gridSpan w:val="2"/>
          </w:tcPr>
          <w:p>
            <w:pPr>
              <w:jc w:val="center"/>
              <w:ind w:right="260"/>
              <w:spacing w:after="0" w:line="159" w:lineRule="exact"/>
              <w:rPr>
                <w:sz w:val="20"/>
                <w:szCs w:val="20"/>
                <w:color w:val="auto"/>
              </w:rPr>
            </w:pPr>
            <w:r>
              <w:rPr>
                <w:rFonts w:ascii="Arial" w:cs="Arial" w:eastAsia="Arial" w:hAnsi="Arial"/>
                <w:sz w:val="15"/>
                <w:szCs w:val="15"/>
                <w:color w:val="auto"/>
                <w:w w:val="88"/>
              </w:rPr>
              <w:t>None(2)</w:t>
            </w:r>
          </w:p>
        </w:tc>
        <w:tc>
          <w:tcPr>
            <w:tcW w:w="2480" w:type="dxa"/>
            <w:vAlign w:val="bottom"/>
          </w:tcPr>
          <w:p>
            <w:pPr>
              <w:jc w:val="center"/>
              <w:ind w:right="107"/>
              <w:spacing w:after="0" w:line="159" w:lineRule="exact"/>
              <w:rPr>
                <w:sz w:val="20"/>
                <w:szCs w:val="20"/>
                <w:color w:val="auto"/>
              </w:rPr>
            </w:pPr>
            <w:r>
              <w:rPr>
                <w:rFonts w:ascii="Arial" w:cs="Arial" w:eastAsia="Arial" w:hAnsi="Arial"/>
                <w:sz w:val="15"/>
                <w:szCs w:val="15"/>
                <w:color w:val="auto"/>
                <w:w w:val="88"/>
              </w:rPr>
              <w:t>$833,333 - $4,500,000</w:t>
            </w:r>
          </w:p>
        </w:tc>
        <w:tc>
          <w:tcPr>
            <w:tcW w:w="2120" w:type="dxa"/>
            <w:vAlign w:val="bottom"/>
          </w:tcPr>
          <w:p>
            <w:pPr>
              <w:jc w:val="center"/>
              <w:ind w:right="67"/>
              <w:spacing w:after="0" w:line="159" w:lineRule="exact"/>
              <w:rPr>
                <w:sz w:val="20"/>
                <w:szCs w:val="20"/>
                <w:color w:val="auto"/>
              </w:rPr>
            </w:pPr>
            <w:r>
              <w:rPr>
                <w:rFonts w:ascii="Arial" w:cs="Arial" w:eastAsia="Arial" w:hAnsi="Arial"/>
                <w:sz w:val="15"/>
                <w:szCs w:val="15"/>
                <w:color w:val="auto"/>
                <w:w w:val="92"/>
              </w:rPr>
              <w:t>None(3)</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50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6"/>
              </w:rPr>
              <w:t>Over $10,000,000</w:t>
            </w:r>
          </w:p>
        </w:tc>
        <w:tc>
          <w:tcPr>
            <w:tcW w:w="2140" w:type="dxa"/>
            <w:vAlign w:val="bottom"/>
            <w:shd w:val="clear" w:color="auto" w:fill="CCEEFF"/>
          </w:tcPr>
          <w:p>
            <w:pPr>
              <w:jc w:val="right"/>
              <w:ind w:right="847"/>
              <w:spacing w:after="0" w:line="159" w:lineRule="exact"/>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3"/>
                <w:szCs w:val="13"/>
                <w:color w:val="auto"/>
              </w:rPr>
            </w:pPr>
          </w:p>
        </w:tc>
        <w:tc>
          <w:tcPr>
            <w:tcW w:w="248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7"/>
              </w:rPr>
              <w:t>Over $4,500,000</w:t>
            </w:r>
          </w:p>
        </w:tc>
        <w:tc>
          <w:tcPr>
            <w:tcW w:w="2120" w:type="dxa"/>
            <w:vAlign w:val="bottom"/>
            <w:shd w:val="clear" w:color="auto" w:fill="CCEEFF"/>
          </w:tcPr>
          <w:p>
            <w:pPr>
              <w:jc w:val="right"/>
              <w:ind w:right="827"/>
              <w:spacing w:after="0" w:line="159"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87"/>
              </w:rPr>
              <w:t>Personal Umbrella</w:t>
            </w:r>
          </w:p>
        </w:tc>
        <w:tc>
          <w:tcPr>
            <w:tcW w:w="250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90"/>
              </w:rPr>
              <w:t>Initial $1,000,000</w:t>
            </w:r>
          </w:p>
        </w:tc>
        <w:tc>
          <w:tcPr>
            <w:tcW w:w="214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9"/>
              </w:rPr>
              <w:t>$100,000</w:t>
            </w:r>
          </w:p>
        </w:tc>
        <w:tc>
          <w:tcPr>
            <w:tcW w:w="120" w:type="dxa"/>
            <w:vAlign w:val="bottom"/>
            <w:shd w:val="clear" w:color="auto" w:fill="CCEEFF"/>
          </w:tcPr>
          <w:p>
            <w:pPr>
              <w:spacing w:after="0"/>
              <w:rPr>
                <w:sz w:val="13"/>
                <w:szCs w:val="13"/>
                <w:color w:val="auto"/>
              </w:rPr>
            </w:pPr>
          </w:p>
        </w:tc>
        <w:tc>
          <w:tcPr>
            <w:tcW w:w="2480" w:type="dxa"/>
            <w:vAlign w:val="bottom"/>
            <w:shd w:val="clear" w:color="auto" w:fill="CCEEFF"/>
          </w:tcPr>
          <w:p>
            <w:pPr>
              <w:jc w:val="center"/>
              <w:ind w:right="87"/>
              <w:spacing w:after="0" w:line="159" w:lineRule="exact"/>
              <w:rPr>
                <w:sz w:val="20"/>
                <w:szCs w:val="20"/>
                <w:color w:val="auto"/>
              </w:rPr>
            </w:pPr>
            <w:r>
              <w:rPr>
                <w:rFonts w:ascii="Arial" w:cs="Arial" w:eastAsia="Arial" w:hAnsi="Arial"/>
                <w:sz w:val="15"/>
                <w:szCs w:val="15"/>
                <w:color w:val="auto"/>
                <w:w w:val="90"/>
              </w:rPr>
              <w:t>Initial $1,000,000</w:t>
            </w:r>
          </w:p>
        </w:tc>
        <w:tc>
          <w:tcPr>
            <w:tcW w:w="212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6"/>
              </w:rPr>
              <w:t>$100,000</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500" w:type="dxa"/>
            <w:vAlign w:val="bottom"/>
          </w:tcPr>
          <w:p>
            <w:pPr>
              <w:jc w:val="center"/>
              <w:ind w:right="107"/>
              <w:spacing w:after="0" w:line="159" w:lineRule="exact"/>
              <w:rPr>
                <w:sz w:val="20"/>
                <w:szCs w:val="20"/>
                <w:color w:val="auto"/>
              </w:rPr>
            </w:pPr>
            <w:r>
              <w:rPr>
                <w:rFonts w:ascii="Arial" w:cs="Arial" w:eastAsia="Arial" w:hAnsi="Arial"/>
                <w:sz w:val="15"/>
                <w:szCs w:val="15"/>
                <w:color w:val="auto"/>
                <w:w w:val="88"/>
              </w:rPr>
              <w:t>$1,000,000 - $5,000,000</w:t>
            </w:r>
          </w:p>
        </w:tc>
        <w:tc>
          <w:tcPr>
            <w:tcW w:w="2260" w:type="dxa"/>
            <w:vAlign w:val="bottom"/>
            <w:gridSpan w:val="2"/>
          </w:tcPr>
          <w:p>
            <w:pPr>
              <w:ind w:left="840"/>
              <w:spacing w:after="0" w:line="159" w:lineRule="exact"/>
              <w:rPr>
                <w:sz w:val="20"/>
                <w:szCs w:val="20"/>
                <w:color w:val="auto"/>
              </w:rPr>
            </w:pPr>
            <w:r>
              <w:rPr>
                <w:rFonts w:ascii="Arial" w:cs="Arial" w:eastAsia="Arial" w:hAnsi="Arial"/>
                <w:sz w:val="15"/>
                <w:szCs w:val="15"/>
                <w:color w:val="auto"/>
              </w:rPr>
              <w:t>None</w:t>
            </w:r>
          </w:p>
        </w:tc>
        <w:tc>
          <w:tcPr>
            <w:tcW w:w="2480" w:type="dxa"/>
            <w:vAlign w:val="bottom"/>
          </w:tcPr>
          <w:p>
            <w:pPr>
              <w:jc w:val="center"/>
              <w:ind w:right="107"/>
              <w:spacing w:after="0" w:line="159" w:lineRule="exact"/>
              <w:rPr>
                <w:sz w:val="20"/>
                <w:szCs w:val="20"/>
                <w:color w:val="auto"/>
              </w:rPr>
            </w:pPr>
            <w:r>
              <w:rPr>
                <w:rFonts w:ascii="Arial" w:cs="Arial" w:eastAsia="Arial" w:hAnsi="Arial"/>
                <w:sz w:val="15"/>
                <w:szCs w:val="15"/>
                <w:color w:val="auto"/>
                <w:w w:val="86"/>
              </w:rPr>
              <w:t>$1,000,000 - $5,000,000</w:t>
            </w:r>
          </w:p>
        </w:tc>
        <w:tc>
          <w:tcPr>
            <w:tcW w:w="2120" w:type="dxa"/>
            <w:vAlign w:val="bottom"/>
          </w:tcPr>
          <w:p>
            <w:pPr>
              <w:jc w:val="right"/>
              <w:ind w:right="887"/>
              <w:spacing w:after="0" w:line="159"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50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9"/>
              </w:rPr>
              <w:t>Over $5,000,000</w:t>
            </w:r>
          </w:p>
        </w:tc>
        <w:tc>
          <w:tcPr>
            <w:tcW w:w="2140" w:type="dxa"/>
            <w:vAlign w:val="bottom"/>
            <w:shd w:val="clear" w:color="auto" w:fill="CCEEFF"/>
          </w:tcPr>
          <w:p>
            <w:pPr>
              <w:jc w:val="right"/>
              <w:ind w:right="847"/>
              <w:spacing w:after="0" w:line="159" w:lineRule="exact"/>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3"/>
                <w:szCs w:val="13"/>
                <w:color w:val="auto"/>
              </w:rPr>
            </w:pPr>
          </w:p>
        </w:tc>
        <w:tc>
          <w:tcPr>
            <w:tcW w:w="248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7"/>
              </w:rPr>
              <w:t>Over $5,000,000</w:t>
            </w:r>
          </w:p>
        </w:tc>
        <w:tc>
          <w:tcPr>
            <w:tcW w:w="2120" w:type="dxa"/>
            <w:vAlign w:val="bottom"/>
            <w:shd w:val="clear" w:color="auto" w:fill="CCEEFF"/>
          </w:tcPr>
          <w:p>
            <w:pPr>
              <w:jc w:val="right"/>
              <w:ind w:right="827"/>
              <w:spacing w:after="0" w:line="159"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89"/>
              </w:rPr>
              <w:t>Commercial Lines</w:t>
            </w:r>
          </w:p>
        </w:tc>
        <w:tc>
          <w:tcPr>
            <w:tcW w:w="250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90"/>
              </w:rPr>
              <w:t>Initial $750,000</w:t>
            </w:r>
          </w:p>
        </w:tc>
        <w:tc>
          <w:tcPr>
            <w:tcW w:w="214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9"/>
              </w:rPr>
              <w:t>$750,000</w:t>
            </w:r>
          </w:p>
        </w:tc>
        <w:tc>
          <w:tcPr>
            <w:tcW w:w="120" w:type="dxa"/>
            <w:vAlign w:val="bottom"/>
            <w:shd w:val="clear" w:color="auto" w:fill="CCEEFF"/>
          </w:tcPr>
          <w:p>
            <w:pPr>
              <w:spacing w:after="0"/>
              <w:rPr>
                <w:sz w:val="13"/>
                <w:szCs w:val="13"/>
                <w:color w:val="auto"/>
              </w:rPr>
            </w:pPr>
          </w:p>
        </w:tc>
        <w:tc>
          <w:tcPr>
            <w:tcW w:w="248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92"/>
              </w:rPr>
              <w:t>Initial $500,000</w:t>
            </w:r>
          </w:p>
        </w:tc>
        <w:tc>
          <w:tcPr>
            <w:tcW w:w="212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6"/>
              </w:rPr>
              <w:t>$500,000</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500" w:type="dxa"/>
            <w:vAlign w:val="bottom"/>
          </w:tcPr>
          <w:p>
            <w:pPr>
              <w:jc w:val="center"/>
              <w:ind w:right="107"/>
              <w:spacing w:after="0" w:line="159" w:lineRule="exact"/>
              <w:rPr>
                <w:sz w:val="20"/>
                <w:szCs w:val="20"/>
                <w:color w:val="auto"/>
              </w:rPr>
            </w:pPr>
            <w:r>
              <w:rPr>
                <w:rFonts w:ascii="Arial" w:cs="Arial" w:eastAsia="Arial" w:hAnsi="Arial"/>
                <w:sz w:val="15"/>
                <w:szCs w:val="15"/>
                <w:color w:val="auto"/>
                <w:w w:val="87"/>
              </w:rPr>
              <w:t>$750,000 - $4,500,000</w:t>
            </w:r>
          </w:p>
        </w:tc>
        <w:tc>
          <w:tcPr>
            <w:tcW w:w="2260" w:type="dxa"/>
            <w:vAlign w:val="bottom"/>
            <w:gridSpan w:val="2"/>
          </w:tcPr>
          <w:p>
            <w:pPr>
              <w:jc w:val="center"/>
              <w:ind w:right="260"/>
              <w:spacing w:after="0" w:line="159" w:lineRule="exact"/>
              <w:rPr>
                <w:sz w:val="20"/>
                <w:szCs w:val="20"/>
                <w:color w:val="auto"/>
              </w:rPr>
            </w:pPr>
            <w:r>
              <w:rPr>
                <w:rFonts w:ascii="Arial" w:cs="Arial" w:eastAsia="Arial" w:hAnsi="Arial"/>
                <w:sz w:val="15"/>
                <w:szCs w:val="15"/>
                <w:color w:val="auto"/>
                <w:w w:val="88"/>
              </w:rPr>
              <w:t>None(3)</w:t>
            </w:r>
          </w:p>
        </w:tc>
        <w:tc>
          <w:tcPr>
            <w:tcW w:w="2480" w:type="dxa"/>
            <w:vAlign w:val="bottom"/>
          </w:tcPr>
          <w:p>
            <w:pPr>
              <w:jc w:val="center"/>
              <w:ind w:right="107"/>
              <w:spacing w:after="0" w:line="159" w:lineRule="exact"/>
              <w:rPr>
                <w:sz w:val="20"/>
                <w:szCs w:val="20"/>
                <w:color w:val="auto"/>
              </w:rPr>
            </w:pPr>
            <w:r>
              <w:rPr>
                <w:rFonts w:ascii="Arial" w:cs="Arial" w:eastAsia="Arial" w:hAnsi="Arial"/>
                <w:sz w:val="15"/>
                <w:szCs w:val="15"/>
                <w:color w:val="auto"/>
                <w:w w:val="88"/>
              </w:rPr>
              <w:t>$500,000 - $4,500,000</w:t>
            </w:r>
          </w:p>
        </w:tc>
        <w:tc>
          <w:tcPr>
            <w:tcW w:w="2120" w:type="dxa"/>
            <w:vAlign w:val="bottom"/>
          </w:tcPr>
          <w:p>
            <w:pPr>
              <w:jc w:val="right"/>
              <w:ind w:right="827"/>
              <w:spacing w:after="0" w:line="159" w:lineRule="exact"/>
              <w:rPr>
                <w:sz w:val="20"/>
                <w:szCs w:val="20"/>
                <w:color w:val="auto"/>
              </w:rPr>
            </w:pPr>
            <w:r>
              <w:rPr>
                <w:rFonts w:ascii="Arial" w:cs="Arial" w:eastAsia="Arial" w:hAnsi="Arial"/>
                <w:sz w:val="15"/>
                <w:szCs w:val="15"/>
                <w:color w:val="auto"/>
              </w:rPr>
              <w:t>None(3)</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50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9"/>
              </w:rPr>
              <w:t>Over $4,500,000</w:t>
            </w:r>
          </w:p>
        </w:tc>
        <w:tc>
          <w:tcPr>
            <w:tcW w:w="2140" w:type="dxa"/>
            <w:vAlign w:val="bottom"/>
            <w:shd w:val="clear" w:color="auto" w:fill="CCEEFF"/>
          </w:tcPr>
          <w:p>
            <w:pPr>
              <w:jc w:val="right"/>
              <w:ind w:right="847"/>
              <w:spacing w:after="0" w:line="159" w:lineRule="exact"/>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3"/>
                <w:szCs w:val="13"/>
                <w:color w:val="auto"/>
              </w:rPr>
            </w:pPr>
          </w:p>
        </w:tc>
        <w:tc>
          <w:tcPr>
            <w:tcW w:w="248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7"/>
              </w:rPr>
              <w:t>Over $4,500,000</w:t>
            </w:r>
          </w:p>
        </w:tc>
        <w:tc>
          <w:tcPr>
            <w:tcW w:w="2120" w:type="dxa"/>
            <w:vAlign w:val="bottom"/>
            <w:shd w:val="clear" w:color="auto" w:fill="CCEEFF"/>
          </w:tcPr>
          <w:p>
            <w:pPr>
              <w:jc w:val="right"/>
              <w:ind w:right="827"/>
              <w:spacing w:after="0" w:line="159"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90"/>
              </w:rPr>
              <w:t>Commercial Umbrella</w:t>
            </w:r>
          </w:p>
        </w:tc>
        <w:tc>
          <w:tcPr>
            <w:tcW w:w="250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90"/>
              </w:rPr>
              <w:t>Initial $1,000,000</w:t>
            </w:r>
          </w:p>
        </w:tc>
        <w:tc>
          <w:tcPr>
            <w:tcW w:w="214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9"/>
              </w:rPr>
              <w:t>$100,000</w:t>
            </w:r>
          </w:p>
        </w:tc>
        <w:tc>
          <w:tcPr>
            <w:tcW w:w="120" w:type="dxa"/>
            <w:vAlign w:val="bottom"/>
            <w:shd w:val="clear" w:color="auto" w:fill="CCEEFF"/>
          </w:tcPr>
          <w:p>
            <w:pPr>
              <w:spacing w:after="0"/>
              <w:rPr>
                <w:sz w:val="13"/>
                <w:szCs w:val="13"/>
                <w:color w:val="auto"/>
              </w:rPr>
            </w:pPr>
          </w:p>
        </w:tc>
        <w:tc>
          <w:tcPr>
            <w:tcW w:w="2480" w:type="dxa"/>
            <w:vAlign w:val="bottom"/>
            <w:shd w:val="clear" w:color="auto" w:fill="CCEEFF"/>
          </w:tcPr>
          <w:p>
            <w:pPr>
              <w:jc w:val="center"/>
              <w:ind w:right="87"/>
              <w:spacing w:after="0" w:line="159" w:lineRule="exact"/>
              <w:rPr>
                <w:sz w:val="20"/>
                <w:szCs w:val="20"/>
                <w:color w:val="auto"/>
              </w:rPr>
            </w:pPr>
            <w:r>
              <w:rPr>
                <w:rFonts w:ascii="Arial" w:cs="Arial" w:eastAsia="Arial" w:hAnsi="Arial"/>
                <w:sz w:val="15"/>
                <w:szCs w:val="15"/>
                <w:color w:val="auto"/>
                <w:w w:val="90"/>
              </w:rPr>
              <w:t>Initial $1,000,000</w:t>
            </w:r>
          </w:p>
        </w:tc>
        <w:tc>
          <w:tcPr>
            <w:tcW w:w="212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6"/>
              </w:rPr>
              <w:t>$100,000</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500" w:type="dxa"/>
            <w:vAlign w:val="bottom"/>
          </w:tcPr>
          <w:p>
            <w:pPr>
              <w:jc w:val="center"/>
              <w:ind w:right="107"/>
              <w:spacing w:after="0" w:line="159" w:lineRule="exact"/>
              <w:rPr>
                <w:sz w:val="20"/>
                <w:szCs w:val="20"/>
                <w:color w:val="auto"/>
              </w:rPr>
            </w:pPr>
            <w:r>
              <w:rPr>
                <w:rFonts w:ascii="Arial" w:cs="Arial" w:eastAsia="Arial" w:hAnsi="Arial"/>
                <w:sz w:val="15"/>
                <w:szCs w:val="15"/>
                <w:color w:val="auto"/>
                <w:w w:val="88"/>
              </w:rPr>
              <w:t>$1,000,000 - $5,000,000</w:t>
            </w:r>
          </w:p>
        </w:tc>
        <w:tc>
          <w:tcPr>
            <w:tcW w:w="2260" w:type="dxa"/>
            <w:vAlign w:val="bottom"/>
            <w:gridSpan w:val="2"/>
          </w:tcPr>
          <w:p>
            <w:pPr>
              <w:ind w:left="840"/>
              <w:spacing w:after="0" w:line="159" w:lineRule="exact"/>
              <w:rPr>
                <w:sz w:val="20"/>
                <w:szCs w:val="20"/>
                <w:color w:val="auto"/>
              </w:rPr>
            </w:pPr>
            <w:r>
              <w:rPr>
                <w:rFonts w:ascii="Arial" w:cs="Arial" w:eastAsia="Arial" w:hAnsi="Arial"/>
                <w:sz w:val="15"/>
                <w:szCs w:val="15"/>
                <w:color w:val="auto"/>
              </w:rPr>
              <w:t>None</w:t>
            </w:r>
          </w:p>
        </w:tc>
        <w:tc>
          <w:tcPr>
            <w:tcW w:w="2480" w:type="dxa"/>
            <w:vAlign w:val="bottom"/>
          </w:tcPr>
          <w:p>
            <w:pPr>
              <w:jc w:val="center"/>
              <w:ind w:right="107"/>
              <w:spacing w:after="0" w:line="159" w:lineRule="exact"/>
              <w:rPr>
                <w:sz w:val="20"/>
                <w:szCs w:val="20"/>
                <w:color w:val="auto"/>
              </w:rPr>
            </w:pPr>
            <w:r>
              <w:rPr>
                <w:rFonts w:ascii="Arial" w:cs="Arial" w:eastAsia="Arial" w:hAnsi="Arial"/>
                <w:sz w:val="15"/>
                <w:szCs w:val="15"/>
                <w:color w:val="auto"/>
                <w:w w:val="86"/>
              </w:rPr>
              <w:t>$1,000,000 - $5,000,000</w:t>
            </w:r>
          </w:p>
        </w:tc>
        <w:tc>
          <w:tcPr>
            <w:tcW w:w="2120" w:type="dxa"/>
            <w:vAlign w:val="bottom"/>
          </w:tcPr>
          <w:p>
            <w:pPr>
              <w:jc w:val="right"/>
              <w:ind w:right="887"/>
              <w:spacing w:after="0" w:line="159"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50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9"/>
              </w:rPr>
              <w:t>Over $5,000,000</w:t>
            </w:r>
          </w:p>
        </w:tc>
        <w:tc>
          <w:tcPr>
            <w:tcW w:w="2140" w:type="dxa"/>
            <w:vAlign w:val="bottom"/>
            <w:shd w:val="clear" w:color="auto" w:fill="CCEEFF"/>
          </w:tcPr>
          <w:p>
            <w:pPr>
              <w:jc w:val="right"/>
              <w:ind w:right="847"/>
              <w:spacing w:after="0" w:line="159" w:lineRule="exact"/>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3"/>
                <w:szCs w:val="13"/>
                <w:color w:val="auto"/>
              </w:rPr>
            </w:pPr>
          </w:p>
        </w:tc>
        <w:tc>
          <w:tcPr>
            <w:tcW w:w="248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7"/>
              </w:rPr>
              <w:t>Over $5,000,000</w:t>
            </w:r>
          </w:p>
        </w:tc>
        <w:tc>
          <w:tcPr>
            <w:tcW w:w="2120" w:type="dxa"/>
            <w:vAlign w:val="bottom"/>
            <w:shd w:val="clear" w:color="auto" w:fill="CCEEFF"/>
          </w:tcPr>
          <w:p>
            <w:pPr>
              <w:jc w:val="right"/>
              <w:ind w:right="827"/>
              <w:spacing w:after="0" w:line="159"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86"/>
              </w:rPr>
              <w:t>Catastrophe (4)</w:t>
            </w:r>
          </w:p>
        </w:tc>
        <w:tc>
          <w:tcPr>
            <w:tcW w:w="250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90"/>
              </w:rPr>
              <w:t>Initial $5,000,000</w:t>
            </w:r>
          </w:p>
        </w:tc>
        <w:tc>
          <w:tcPr>
            <w:tcW w:w="214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5"/>
              </w:rPr>
              <w:t>$4,000,000</w:t>
            </w:r>
          </w:p>
        </w:tc>
        <w:tc>
          <w:tcPr>
            <w:tcW w:w="120" w:type="dxa"/>
            <w:vAlign w:val="bottom"/>
            <w:shd w:val="clear" w:color="auto" w:fill="CCEEFF"/>
          </w:tcPr>
          <w:p>
            <w:pPr>
              <w:spacing w:after="0"/>
              <w:rPr>
                <w:sz w:val="13"/>
                <w:szCs w:val="13"/>
                <w:color w:val="auto"/>
              </w:rPr>
            </w:pPr>
          </w:p>
        </w:tc>
        <w:tc>
          <w:tcPr>
            <w:tcW w:w="2480" w:type="dxa"/>
            <w:vAlign w:val="bottom"/>
            <w:shd w:val="clear" w:color="auto" w:fill="CCEEFF"/>
          </w:tcPr>
          <w:p>
            <w:pPr>
              <w:jc w:val="center"/>
              <w:ind w:right="87"/>
              <w:spacing w:after="0" w:line="159" w:lineRule="exact"/>
              <w:rPr>
                <w:sz w:val="20"/>
                <w:szCs w:val="20"/>
                <w:color w:val="auto"/>
              </w:rPr>
            </w:pPr>
            <w:r>
              <w:rPr>
                <w:rFonts w:ascii="Arial" w:cs="Arial" w:eastAsia="Arial" w:hAnsi="Arial"/>
                <w:sz w:val="15"/>
                <w:szCs w:val="15"/>
                <w:color w:val="auto"/>
                <w:w w:val="90"/>
              </w:rPr>
              <w:t>Initial $5,000,000</w:t>
            </w:r>
          </w:p>
        </w:tc>
        <w:tc>
          <w:tcPr>
            <w:tcW w:w="212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7"/>
              </w:rPr>
              <w:t>$3,000,000</w:t>
            </w: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500" w:type="dxa"/>
            <w:vAlign w:val="bottom"/>
          </w:tcPr>
          <w:p>
            <w:pPr>
              <w:jc w:val="center"/>
              <w:ind w:right="87"/>
              <w:spacing w:after="0" w:line="159" w:lineRule="exact"/>
              <w:rPr>
                <w:sz w:val="20"/>
                <w:szCs w:val="20"/>
                <w:color w:val="auto"/>
              </w:rPr>
            </w:pPr>
            <w:r>
              <w:rPr>
                <w:rFonts w:ascii="Arial" w:cs="Arial" w:eastAsia="Arial" w:hAnsi="Arial"/>
                <w:sz w:val="15"/>
                <w:szCs w:val="15"/>
                <w:color w:val="auto"/>
                <w:w w:val="87"/>
              </w:rPr>
              <w:t>$5,000,000 - $320,000,000</w:t>
            </w:r>
          </w:p>
        </w:tc>
        <w:tc>
          <w:tcPr>
            <w:tcW w:w="2260" w:type="dxa"/>
            <w:vAlign w:val="bottom"/>
            <w:gridSpan w:val="2"/>
          </w:tcPr>
          <w:p>
            <w:pPr>
              <w:ind w:left="840"/>
              <w:spacing w:after="0" w:line="159" w:lineRule="exact"/>
              <w:rPr>
                <w:sz w:val="20"/>
                <w:szCs w:val="20"/>
                <w:color w:val="auto"/>
              </w:rPr>
            </w:pPr>
            <w:r>
              <w:rPr>
                <w:rFonts w:ascii="Arial" w:cs="Arial" w:eastAsia="Arial" w:hAnsi="Arial"/>
                <w:sz w:val="15"/>
                <w:szCs w:val="15"/>
                <w:color w:val="auto"/>
              </w:rPr>
              <w:t>None</w:t>
            </w:r>
          </w:p>
        </w:tc>
        <w:tc>
          <w:tcPr>
            <w:tcW w:w="2480" w:type="dxa"/>
            <w:vAlign w:val="bottom"/>
          </w:tcPr>
          <w:p>
            <w:pPr>
              <w:jc w:val="center"/>
              <w:ind w:right="107"/>
              <w:spacing w:after="0" w:line="159" w:lineRule="exact"/>
              <w:rPr>
                <w:sz w:val="20"/>
                <w:szCs w:val="20"/>
                <w:color w:val="auto"/>
              </w:rPr>
            </w:pPr>
            <w:r>
              <w:rPr>
                <w:rFonts w:ascii="Arial" w:cs="Arial" w:eastAsia="Arial" w:hAnsi="Arial"/>
                <w:sz w:val="15"/>
                <w:szCs w:val="15"/>
                <w:color w:val="auto"/>
                <w:w w:val="87"/>
              </w:rPr>
              <w:t>$5,000,000 - $252,000,000</w:t>
            </w:r>
          </w:p>
        </w:tc>
        <w:tc>
          <w:tcPr>
            <w:tcW w:w="2120" w:type="dxa"/>
            <w:vAlign w:val="bottom"/>
          </w:tcPr>
          <w:p>
            <w:pPr>
              <w:jc w:val="right"/>
              <w:ind w:right="887"/>
              <w:spacing w:after="0" w:line="159"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spacing w:after="0"/>
              <w:rPr>
                <w:sz w:val="13"/>
                <w:szCs w:val="13"/>
                <w:color w:val="auto"/>
              </w:rPr>
            </w:pPr>
          </w:p>
        </w:tc>
        <w:tc>
          <w:tcPr>
            <w:tcW w:w="250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7"/>
              </w:rPr>
              <w:t>Over $320,000,000</w:t>
            </w:r>
          </w:p>
        </w:tc>
        <w:tc>
          <w:tcPr>
            <w:tcW w:w="2140" w:type="dxa"/>
            <w:vAlign w:val="bottom"/>
            <w:shd w:val="clear" w:color="auto" w:fill="CCEEFF"/>
          </w:tcPr>
          <w:p>
            <w:pPr>
              <w:jc w:val="right"/>
              <w:ind w:right="847"/>
              <w:spacing w:after="0" w:line="159" w:lineRule="exact"/>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3"/>
                <w:szCs w:val="13"/>
                <w:color w:val="auto"/>
              </w:rPr>
            </w:pPr>
          </w:p>
        </w:tc>
        <w:tc>
          <w:tcPr>
            <w:tcW w:w="2480" w:type="dxa"/>
            <w:vAlign w:val="bottom"/>
            <w:shd w:val="clear" w:color="auto" w:fill="CCEEFF"/>
          </w:tcPr>
          <w:p>
            <w:pPr>
              <w:jc w:val="center"/>
              <w:ind w:right="67"/>
              <w:spacing w:after="0" w:line="159" w:lineRule="exact"/>
              <w:rPr>
                <w:sz w:val="20"/>
                <w:szCs w:val="20"/>
                <w:color w:val="auto"/>
              </w:rPr>
            </w:pPr>
            <w:r>
              <w:rPr>
                <w:rFonts w:ascii="Arial" w:cs="Arial" w:eastAsia="Arial" w:hAnsi="Arial"/>
                <w:sz w:val="15"/>
                <w:szCs w:val="15"/>
                <w:color w:val="auto"/>
                <w:w w:val="88"/>
              </w:rPr>
              <w:t>Over $252,000,000</w:t>
            </w:r>
          </w:p>
        </w:tc>
        <w:tc>
          <w:tcPr>
            <w:tcW w:w="2120" w:type="dxa"/>
            <w:vAlign w:val="bottom"/>
            <w:shd w:val="clear" w:color="auto" w:fill="CCEEFF"/>
          </w:tcPr>
          <w:p>
            <w:pPr>
              <w:jc w:val="right"/>
              <w:ind w:right="827"/>
              <w:spacing w:after="0" w:line="159"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20" w:hanging="314"/>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Treaty for July 1, 2017 – June 30, 2018 is a two year treaty with expiration date of June 30, 2019.</w:t>
      </w:r>
    </w:p>
    <w:p>
      <w:pPr>
        <w:spacing w:after="0" w:line="21" w:lineRule="exact"/>
        <w:rPr>
          <w:rFonts w:ascii="Arial" w:cs="Arial" w:eastAsia="Arial" w:hAnsi="Arial"/>
          <w:sz w:val="17"/>
          <w:szCs w:val="17"/>
          <w:color w:val="auto"/>
        </w:rPr>
      </w:pPr>
    </w:p>
    <w:p>
      <w:pPr>
        <w:ind w:left="320" w:hanging="314"/>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6" w:lineRule="exact"/>
        <w:rPr>
          <w:rFonts w:ascii="Arial" w:cs="Arial" w:eastAsia="Arial" w:hAnsi="Arial"/>
          <w:sz w:val="17"/>
          <w:szCs w:val="17"/>
          <w:color w:val="auto"/>
        </w:rPr>
      </w:pPr>
    </w:p>
    <w:p>
      <w:pPr>
        <w:ind w:left="320" w:hanging="314"/>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6" w:lineRule="exact"/>
        <w:rPr>
          <w:rFonts w:ascii="Arial" w:cs="Arial" w:eastAsia="Arial" w:hAnsi="Arial"/>
          <w:sz w:val="17"/>
          <w:szCs w:val="17"/>
          <w:color w:val="auto"/>
        </w:rPr>
      </w:pPr>
    </w:p>
    <w:p>
      <w:pPr>
        <w:ind w:left="320" w:hanging="314"/>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estimated ultimate treaty year loss ratios (“Loss Ratio(s)”) for treaties in effect for the three months and nine months ended September 30, 2018 are attributable to contracts for the 2017/2019 Treaty. The Company’s estimated ultimate treaty year Loss Ratios for treaties in effect for the three months and nine months ended September 30, 2017 are attributable to contracts for the 2017/2019 Treaty and 2016/2017 Treaty.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30" w:name="page31"/>
    <w:bookmarkEnd w:id="30"/>
    <w:p>
      <w:pPr>
        <w:ind w:left="640"/>
        <w:spacing w:after="0"/>
        <w:rPr>
          <w:sz w:val="20"/>
          <w:szCs w:val="20"/>
          <w:color w:val="auto"/>
        </w:rPr>
      </w:pPr>
      <w:r>
        <w:rPr>
          <w:rFonts w:ascii="Arial" w:cs="Arial" w:eastAsia="Arial" w:hAnsi="Arial"/>
          <w:sz w:val="17"/>
          <w:szCs w:val="17"/>
          <w:i w:val="1"/>
          <w:iCs w:val="1"/>
          <w:color w:val="auto"/>
        </w:rPr>
        <w:t>Treaty in effect for the three months and nine months ended September 30, 2018</w:t>
      </w:r>
    </w:p>
    <w:p>
      <w:pPr>
        <w:spacing w:after="0" w:line="228" w:lineRule="exact"/>
        <w:rPr>
          <w:sz w:val="20"/>
          <w:szCs w:val="20"/>
          <w:color w:val="auto"/>
        </w:rPr>
      </w:pPr>
    </w:p>
    <w:p>
      <w:pPr>
        <w:jc w:val="both"/>
        <w:ind w:left="640"/>
        <w:spacing w:after="0" w:line="282" w:lineRule="auto"/>
        <w:rPr>
          <w:sz w:val="20"/>
          <w:szCs w:val="20"/>
          <w:color w:val="auto"/>
        </w:rPr>
      </w:pPr>
      <w:r>
        <w:rPr>
          <w:rFonts w:ascii="Arial" w:cs="Arial" w:eastAsia="Arial" w:hAnsi="Arial"/>
          <w:sz w:val="16"/>
          <w:szCs w:val="16"/>
          <w:color w:val="auto"/>
        </w:rPr>
        <w:t>Under the 2017/2019 Treaty, the Company receives an upfront fixed provisional rate that is subject to a sliding scale contingent adjustment based upon Loss Ratio. Under this arrangement, the Company earns and earned provisional ceding commissions that are subject to later adjustment dependent on changes to the estimated Loss Ratio for the 2017/2019 Treaty. The Company’s Loss Ratios for the period July 1, 2018 through September 30, 2018 attributable to the 2017/2019 Treaty were consistent with the contractual Loss Ratio at which provisional ceding commissions were earned, and therefore no contingent commission adjustment was recorded for the three months ended September 30, 2018. The Company’s Loss Ratios for the period July 1, 2017 through June 30, 2018 attributable to the 2017/2019 Treaty were higher than the contractual Loss Ratio at which provisional ceding commissions were earned. Accordingly, for the six months ended June 30, 2018, the Company incurred negative contingent ceding commissions as a result of the estimated Loss Ratio for the 2017/2019 Treaty, which reduced contingent ceding commissions earned.</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Treaty in effect for the three months and nine months ended September 30, 2017</w:t>
      </w:r>
    </w:p>
    <w:p>
      <w:pPr>
        <w:spacing w:after="0" w:line="228" w:lineRule="exact"/>
        <w:rPr>
          <w:sz w:val="20"/>
          <w:szCs w:val="20"/>
          <w:color w:val="auto"/>
        </w:rPr>
      </w:pPr>
    </w:p>
    <w:p>
      <w:pPr>
        <w:jc w:val="both"/>
        <w:ind w:left="640"/>
        <w:spacing w:after="0" w:line="285" w:lineRule="auto"/>
        <w:rPr>
          <w:sz w:val="20"/>
          <w:szCs w:val="20"/>
          <w:color w:val="auto"/>
        </w:rPr>
      </w:pPr>
      <w:r>
        <w:rPr>
          <w:rFonts w:ascii="Arial" w:cs="Arial" w:eastAsia="Arial" w:hAnsi="Arial"/>
          <w:sz w:val="16"/>
          <w:szCs w:val="16"/>
          <w:color w:val="auto"/>
        </w:rPr>
        <w:t>Under the 2017/2019 and 2016/2017 Treaty, the Company received an upfront fixed provisional rate that was subject to a sliding scale contingent adjustment based upon Loss Ratio. Under this arrangement, the Company earned provisional ceding commissions that were subject to later adjustment dependent on changes to the estimated Loss Ratio for the 2016/2017 Treaty. The Company’s Loss Ratios for the period July 1, 2017 through September 30, 2017 (attributable to the 2017/2019 Treaty), and from July 1, 2016 through June 30, 2017 (attributable to the 2016/2017 Treaty) were consistent with the contractual Loss Ratio at which the provisional ceding commissions were earned and therefore no contingent commission adjustments were recorded for the three months and nine months ended September 30, 2017 with respect to these treaties.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treaties that were in effect for the three months and nine months ended September 30, 2018 and 2017, the Loss Ratios from prior years’ treaties are subject to change as incurred losses from those periods increase or decrease, resulting in an increase or decrease in the commission rate and contingent ceding commissions earned.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Ceding commission revenue consists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0" w:type="dxa"/>
            <w:vAlign w:val="bottom"/>
            <w:gridSpan w:val="3"/>
          </w:tcPr>
          <w:p>
            <w:pPr>
              <w:jc w:val="right"/>
              <w:ind w:right="677"/>
              <w:spacing w:after="0"/>
              <w:rPr>
                <w:sz w:val="20"/>
                <w:szCs w:val="20"/>
                <w:color w:val="auto"/>
              </w:rPr>
            </w:pPr>
            <w:r>
              <w:rPr>
                <w:rFonts w:ascii="Arial" w:cs="Arial" w:eastAsia="Arial" w:hAnsi="Arial"/>
                <w:sz w:val="15"/>
                <w:szCs w:val="15"/>
                <w:b w:val="1"/>
                <w:bCs w:val="1"/>
                <w:color w:val="auto"/>
              </w:rPr>
              <w:t>Three months ended</w:t>
            </w:r>
          </w:p>
        </w:tc>
        <w:tc>
          <w:tcPr>
            <w:tcW w:w="340" w:type="dxa"/>
            <w:vAlign w:val="bottom"/>
          </w:tcPr>
          <w:p>
            <w:pPr>
              <w:spacing w:after="0"/>
              <w:rPr>
                <w:sz w:val="16"/>
                <w:szCs w:val="16"/>
                <w:color w:val="auto"/>
              </w:rPr>
            </w:pPr>
          </w:p>
        </w:tc>
        <w:tc>
          <w:tcPr>
            <w:tcW w:w="2400" w:type="dxa"/>
            <w:vAlign w:val="bottom"/>
            <w:gridSpan w:val="3"/>
          </w:tcPr>
          <w:p>
            <w:pPr>
              <w:jc w:val="right"/>
              <w:ind w:right="677"/>
              <w:spacing w:after="0"/>
              <w:rPr>
                <w:sz w:val="20"/>
                <w:szCs w:val="20"/>
                <w:color w:val="auto"/>
              </w:rPr>
            </w:pPr>
            <w:r>
              <w:rPr>
                <w:rFonts w:ascii="Arial" w:cs="Arial" w:eastAsia="Arial" w:hAnsi="Arial"/>
                <w:sz w:val="15"/>
                <w:szCs w:val="15"/>
                <w:b w:val="1"/>
                <w:bCs w:val="1"/>
                <w:color w:val="auto"/>
              </w:rPr>
              <w:t>Nine months ended</w:t>
            </w:r>
          </w:p>
        </w:tc>
      </w:tr>
      <w:tr>
        <w:trPr>
          <w:trHeight w:val="179"/>
        </w:trPr>
        <w:tc>
          <w:tcPr>
            <w:tcW w:w="60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165"/>
        </w:trPr>
        <w:tc>
          <w:tcPr>
            <w:tcW w:w="60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1"/>
              <w:spacing w:after="0" w:line="159" w:lineRule="exact"/>
              <w:rPr>
                <w:sz w:val="20"/>
                <w:szCs w:val="20"/>
                <w:color w:val="auto"/>
              </w:rPr>
            </w:pPr>
            <w:r>
              <w:rPr>
                <w:rFonts w:ascii="Arial" w:cs="Arial" w:eastAsia="Arial" w:hAnsi="Arial"/>
                <w:sz w:val="15"/>
                <w:szCs w:val="15"/>
                <w:b w:val="1"/>
                <w:bCs w:val="1"/>
                <w:color w:val="auto"/>
              </w:rPr>
              <w:t>2018</w:t>
            </w: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7"/>
              <w:spacing w:after="0" w:line="159" w:lineRule="exact"/>
              <w:rPr>
                <w:sz w:val="20"/>
                <w:szCs w:val="20"/>
                <w:color w:val="auto"/>
              </w:rPr>
            </w:pPr>
            <w:r>
              <w:rPr>
                <w:rFonts w:ascii="Arial" w:cs="Arial" w:eastAsia="Arial" w:hAnsi="Arial"/>
                <w:sz w:val="15"/>
                <w:szCs w:val="15"/>
                <w:b w:val="1"/>
                <w:bCs w:val="1"/>
                <w:color w:val="auto"/>
                <w:w w:val="95"/>
              </w:rPr>
              <w:t>2017</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1"/>
              <w:spacing w:after="0" w:line="159" w:lineRule="exact"/>
              <w:rPr>
                <w:sz w:val="20"/>
                <w:szCs w:val="20"/>
                <w:color w:val="auto"/>
              </w:rPr>
            </w:pPr>
            <w:r>
              <w:rPr>
                <w:rFonts w:ascii="Arial" w:cs="Arial" w:eastAsia="Arial" w:hAnsi="Arial"/>
                <w:sz w:val="15"/>
                <w:szCs w:val="15"/>
                <w:b w:val="1"/>
                <w:bCs w:val="1"/>
                <w:color w:val="auto"/>
              </w:rPr>
              <w:t>2018</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7"/>
              <w:spacing w:after="0" w:line="159" w:lineRule="exact"/>
              <w:rPr>
                <w:sz w:val="20"/>
                <w:szCs w:val="20"/>
                <w:color w:val="auto"/>
              </w:rPr>
            </w:pPr>
            <w:r>
              <w:rPr>
                <w:rFonts w:ascii="Arial" w:cs="Arial" w:eastAsia="Arial" w:hAnsi="Arial"/>
                <w:sz w:val="15"/>
                <w:szCs w:val="15"/>
                <w:b w:val="1"/>
                <w:bCs w:val="1"/>
                <w:color w:val="auto"/>
              </w:rPr>
              <w:t>2017</w:t>
            </w:r>
          </w:p>
        </w:tc>
      </w:tr>
      <w:tr>
        <w:trPr>
          <w:trHeight w:val="238"/>
        </w:trPr>
        <w:tc>
          <w:tcPr>
            <w:tcW w:w="6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Provisional ceding commissions earned</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1,255,034</w:t>
            </w:r>
          </w:p>
        </w:tc>
        <w:tc>
          <w:tcPr>
            <w:tcW w:w="4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95"/>
              </w:rPr>
              <w:t>1,921,457</w:t>
            </w:r>
          </w:p>
        </w:tc>
        <w:tc>
          <w:tcPr>
            <w:tcW w:w="3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5,468,314</w:t>
            </w:r>
          </w:p>
        </w:tc>
        <w:tc>
          <w:tcPr>
            <w:tcW w:w="4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5"/>
              </w:rPr>
              <w:t>8,689,803</w:t>
            </w:r>
          </w:p>
        </w:tc>
      </w:tr>
      <w:tr>
        <w:trPr>
          <w:trHeight w:val="218"/>
        </w:trPr>
        <w:tc>
          <w:tcPr>
            <w:tcW w:w="6020" w:type="dxa"/>
            <w:vAlign w:val="bottom"/>
          </w:tcPr>
          <w:p>
            <w:pPr>
              <w:ind w:left="40"/>
              <w:spacing w:after="0"/>
              <w:rPr>
                <w:sz w:val="20"/>
                <w:szCs w:val="20"/>
                <w:color w:val="auto"/>
              </w:rPr>
            </w:pPr>
            <w:r>
              <w:rPr>
                <w:rFonts w:ascii="Arial" w:cs="Arial" w:eastAsia="Arial" w:hAnsi="Arial"/>
                <w:sz w:val="17"/>
                <w:szCs w:val="17"/>
                <w:color w:val="auto"/>
              </w:rPr>
              <w:t>Contingent ceding commissions earned</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(210,505)</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(203,847)</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(1,037,459)</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(481,803)</w:t>
            </w:r>
          </w:p>
        </w:tc>
      </w:tr>
      <w:tr>
        <w:trPr>
          <w:trHeight w:val="252"/>
        </w:trPr>
        <w:tc>
          <w:tcPr>
            <w:tcW w:w="6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7"/>
                <w:szCs w:val="17"/>
                <w:color w:val="auto"/>
              </w:rPr>
              <w:t>1,044,529</w:t>
            </w:r>
          </w:p>
        </w:tc>
        <w:tc>
          <w:tcPr>
            <w:tcW w:w="4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95"/>
              </w:rPr>
              <w:t>1,717,610</w:t>
            </w:r>
          </w:p>
        </w:tc>
        <w:tc>
          <w:tcPr>
            <w:tcW w:w="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7"/>
                <w:szCs w:val="17"/>
                <w:color w:val="auto"/>
              </w:rPr>
              <w:t>4,430,855</w:t>
            </w:r>
          </w:p>
        </w:tc>
        <w:tc>
          <w:tcPr>
            <w:tcW w:w="4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95"/>
              </w:rPr>
              <w:t>8,208,000</w:t>
            </w:r>
          </w:p>
        </w:tc>
      </w:tr>
    </w:tbl>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September 30, 2018 and December 31, 2017, net contingent ceding commissions payable to reinsurers under all treaties was approximately $1,205,000 and $1,850,000, respectively, which is recorded in reinsurance balances payable on the accompanying condensed consolidated balance sheets.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Note 7 – Debt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Short-term Debt</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July 2017, KICO became a member of, and invested in, the Federal Home Loan Bank of New York (“FHLBNY”). The aggregate investment in dividend bearing common stock was $18,400 as of September 30, 2018. FHLBNY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December 31 of the previous year and are due and payable within one year of borrowing. The maximum allowable advance as of September 30, 2018 was approximately $9,849,000 based on KICO’s net admitted assets as of December 31, 2017. Advances are limited to the amount of available collateral, which was approximately $5,790,000 as of September 30, 2018. There were no borrowings under this facility during the period ended September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Long-term Debt</w:t>
      </w:r>
    </w:p>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19, 2017, the Company issued $30 million of its 5.50% Senior Unsecured Notes due December 30, 2022 (the “Notes”) in an underwritten public offering. Interest is payable semi-annually in arrears on June 30 and December 30 of each year, beginning on June 30, 2018 at the rate of 5.50% per year from December 19, 2017. The net proceeds of the issuance were $29,121,630, net of discount of $163,200 and transaction costs of $715,170, for an effective yield of 5.67%. The balance of long-term debt as of September 30, 2018 and December 31, 2017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178"/>
              <w:spacing w:after="0"/>
              <w:rPr>
                <w:sz w:val="20"/>
                <w:szCs w:val="20"/>
                <w:color w:val="auto"/>
              </w:rPr>
            </w:pPr>
            <w:r>
              <w:rPr>
                <w:rFonts w:ascii="Arial" w:cs="Arial" w:eastAsia="Arial" w:hAnsi="Arial"/>
                <w:sz w:val="15"/>
                <w:szCs w:val="15"/>
                <w:b w:val="1"/>
                <w:bCs w:val="1"/>
                <w:color w:val="auto"/>
                <w:w w:val="87"/>
              </w:rPr>
              <w:t>September 30,</w:t>
            </w:r>
          </w:p>
        </w:tc>
        <w:tc>
          <w:tcPr>
            <w:tcW w:w="220" w:type="dxa"/>
            <w:vAlign w:val="bottom"/>
          </w:tcPr>
          <w:p>
            <w:pPr>
              <w:spacing w:after="0"/>
              <w:rPr>
                <w:sz w:val="14"/>
                <w:szCs w:val="14"/>
                <w:color w:val="auto"/>
              </w:rPr>
            </w:pPr>
          </w:p>
        </w:tc>
        <w:tc>
          <w:tcPr>
            <w:tcW w:w="1120" w:type="dxa"/>
            <w:vAlign w:val="bottom"/>
          </w:tcPr>
          <w:p>
            <w:pPr>
              <w:jc w:val="right"/>
              <w:ind w:right="158"/>
              <w:spacing w:after="0"/>
              <w:rPr>
                <w:sz w:val="20"/>
                <w:szCs w:val="20"/>
                <w:color w:val="auto"/>
              </w:rPr>
            </w:pPr>
            <w:r>
              <w:rPr>
                <w:rFonts w:ascii="Arial" w:cs="Arial" w:eastAsia="Arial" w:hAnsi="Arial"/>
                <w:sz w:val="15"/>
                <w:szCs w:val="15"/>
                <w:b w:val="1"/>
                <w:bCs w:val="1"/>
                <w:color w:val="auto"/>
                <w:w w:val="88"/>
              </w:rPr>
              <w:t>December 31,</w:t>
            </w:r>
          </w:p>
        </w:tc>
      </w:tr>
      <w:tr>
        <w:trPr>
          <w:trHeight w:val="179"/>
        </w:trPr>
        <w:tc>
          <w:tcPr>
            <w:tcW w:w="8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2017</w:t>
            </w:r>
          </w:p>
        </w:tc>
      </w:tr>
      <w:tr>
        <w:trPr>
          <w:trHeight w:val="238"/>
        </w:trPr>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5.50% Senior Unsecured Notes</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30,000,000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30,000,000</w:t>
            </w: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rPr>
              <w:t>Discount</w:t>
            </w:r>
          </w:p>
        </w:tc>
        <w:tc>
          <w:tcPr>
            <w:tcW w:w="240" w:type="dxa"/>
            <w:vAlign w:val="bottom"/>
          </w:tcPr>
          <w:p>
            <w:pPr>
              <w:spacing w:after="0"/>
              <w:rPr>
                <w:sz w:val="18"/>
                <w:szCs w:val="18"/>
                <w:color w:val="auto"/>
              </w:rPr>
            </w:pP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(137,877)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(162,209)</w:t>
            </w:r>
          </w:p>
        </w:tc>
      </w:tr>
      <w:tr>
        <w:trPr>
          <w:trHeight w:val="21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Issuance costs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(610,917)</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(710,826)</w:t>
            </w: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rPr>
              <w:t>Long-term debt, net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29,251,206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29,126,965</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69" w:right="179" w:bottom="1440" w:gutter="0" w:footer="0" w:header="0"/>
        </w:sectPr>
      </w:pPr>
    </w:p>
    <w:bookmarkStart w:id="32" w:name="page33"/>
    <w:bookmarkEnd w:id="32"/>
    <w:p>
      <w:pPr>
        <w:jc w:val="both"/>
        <w:spacing w:after="0" w:line="273" w:lineRule="auto"/>
        <w:rPr>
          <w:sz w:val="20"/>
          <w:szCs w:val="20"/>
          <w:color w:val="auto"/>
        </w:rPr>
      </w:pPr>
      <w:r>
        <w:rPr>
          <w:rFonts w:ascii="Arial" w:cs="Arial" w:eastAsia="Arial" w:hAnsi="Arial"/>
          <w:sz w:val="17"/>
          <w:szCs w:val="17"/>
          <w:color w:val="auto"/>
        </w:rPr>
        <w:t>On December 20, 2017, the Company used $25,000,000 of the net proceeds from the offering to contribute capital to KICO, to support additional growth. The remainder of the net proceeds will be used for general corporate purposes. A registration statement relating to the debt issued in the offering of the Notes was filed with the SEC and became effective on November 28, 2017.</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Stockholders’ Equity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Public Offering of Common Stock</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31, 2017, the Company closed on an underwritten public offering of 2,500,000 shares of its common stock. On February 14, 2017, the Company closed on the underwriters’ purchase option for an additional 192,500 shares of its common stock. The public offering price for the 2,692,500 shares sold was $12.00 per share. The aggregate net proceeds to the Company were approximately $30,137,000, after deducting underwriting discounts and commissions and other offering expenses in the aggregate amount of approximately $2,173,000.</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 2017, the Company used $23,000,000 of the net proceeds from the offering to contribute capital to its insurance subsidiary, KICO, to support its ratings upgrade plan and additional growth. The remainder of the net proceeds are being used for general corporate purposes. A shelf registration statement relating to the shares sold in the offering was filed with the SEC and became effective on January 19, 2017.</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 and Paid</w:t>
      </w: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Dividends declared and paid on common stock were $3,204,813 and $2,363,993 for the nine months ended September 30, 2018 and 2017, respectively. The Company’s Board of Directors approved a quarterly dividend on November 7, 2018 of $.10 per share payable in cash on December 14, 2018 to stockholders of record as of November 30, 2018 (see Note 13).</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Options</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Pursuant to the Company’s 2014 Equity Participation Plan (the “2014 Plan”) a maximum of 700,000 shares of common stock of the Company are authorized to be issued pursuant to the grant of incentive stock options, non-statutory stock options, stock appreciation rights, restricted stock and stock bonuses. Incentive stock options granted under the 2014 Plan and 2005 Plan expire no later than ten years from the date of grant (except no later than five years for a grant to a 10% stockholder). The Board of Directors or the Compensation Committee determines the expiration date with respect to non-statutory stock options and the vesting provisions for restricted stock granted under the 2014 Plan and 2005 Plan.</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results of operations for the three months ended September 30, 2018 and 2017 include stock-based compensation expense related to stock options totaling approximately $1,000 and $5,000 respectively. The results of operations for the nine months ended September 30, 2018 and 2017 include stock-based compensation expense related to stock options totaling approximately $5,000 and $35,000, respectively. Stock-based compensation expense related to stock options is net of estimated forfeitures of 17% for the three months and nine months ended September 30, 2018 and 2017. Such amounts have been recorded in the condensed consolidated statements of income and comprehensive income within other operating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33" w:name="page34"/>
    <w:bookmarkEnd w:id="33"/>
    <w:p>
      <w:pPr>
        <w:jc w:val="both"/>
        <w:spacing w:after="0" w:line="269" w:lineRule="auto"/>
        <w:rPr>
          <w:sz w:val="20"/>
          <w:szCs w:val="20"/>
          <w:color w:val="auto"/>
        </w:rPr>
      </w:pPr>
      <w:r>
        <w:rPr>
          <w:rFonts w:ascii="Arial" w:cs="Arial" w:eastAsia="Arial" w:hAnsi="Arial"/>
          <w:sz w:val="17"/>
          <w:szCs w:val="17"/>
          <w:color w:val="auto"/>
        </w:rPr>
        <w:t>Stock-based compensation expense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No options were granted during the nine months ended September 30, 2018 and 2017.</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 activity under the Company’s 2014 Plan and 2005 Plan for the nine months ended September 30, 2018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85"/>
              </w:rPr>
              <w:t>Weighted</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9"/>
        </w:trPr>
        <w:tc>
          <w:tcPr>
            <w:tcW w:w="6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84"/>
              </w:rPr>
              <w:t>Average</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6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center"/>
              <w:ind w:right="276"/>
              <w:spacing w:after="0" w:line="159" w:lineRule="exact"/>
              <w:rPr>
                <w:sz w:val="20"/>
                <w:szCs w:val="20"/>
                <w:color w:val="auto"/>
              </w:rPr>
            </w:pPr>
            <w:r>
              <w:rPr>
                <w:rFonts w:ascii="Arial" w:cs="Arial" w:eastAsia="Arial" w:hAnsi="Arial"/>
                <w:sz w:val="15"/>
                <w:szCs w:val="15"/>
                <w:b w:val="1"/>
                <w:bCs w:val="1"/>
                <w:color w:val="auto"/>
                <w:w w:val="88"/>
              </w:rPr>
              <w:t>Weighted</w:t>
            </w:r>
          </w:p>
        </w:tc>
        <w:tc>
          <w:tcPr>
            <w:tcW w:w="130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88"/>
              </w:rPr>
              <w:t>Remaining</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6020" w:type="dxa"/>
            <w:vAlign w:val="bottom"/>
          </w:tcPr>
          <w:p>
            <w:pPr>
              <w:spacing w:after="0"/>
              <w:rPr>
                <w:sz w:val="13"/>
                <w:szCs w:val="13"/>
                <w:color w:val="auto"/>
              </w:rPr>
            </w:pPr>
          </w:p>
        </w:tc>
        <w:tc>
          <w:tcPr>
            <w:tcW w:w="1380" w:type="dxa"/>
            <w:vAlign w:val="bottom"/>
            <w:gridSpan w:val="2"/>
          </w:tcPr>
          <w:p>
            <w:pPr>
              <w:jc w:val="center"/>
              <w:spacing w:after="0" w:line="159" w:lineRule="exact"/>
              <w:rPr>
                <w:sz w:val="20"/>
                <w:szCs w:val="20"/>
                <w:color w:val="auto"/>
              </w:rPr>
            </w:pPr>
            <w:r>
              <w:rPr>
                <w:rFonts w:ascii="Arial" w:cs="Arial" w:eastAsia="Arial" w:hAnsi="Arial"/>
                <w:sz w:val="15"/>
                <w:szCs w:val="15"/>
                <w:b w:val="1"/>
                <w:bCs w:val="1"/>
                <w:color w:val="auto"/>
                <w:w w:val="90"/>
              </w:rPr>
              <w:t>Number of</w:t>
            </w:r>
          </w:p>
        </w:tc>
        <w:tc>
          <w:tcPr>
            <w:tcW w:w="1480" w:type="dxa"/>
            <w:vAlign w:val="bottom"/>
            <w:gridSpan w:val="2"/>
          </w:tcPr>
          <w:p>
            <w:pPr>
              <w:jc w:val="center"/>
              <w:spacing w:after="0" w:line="159" w:lineRule="exact"/>
              <w:rPr>
                <w:sz w:val="20"/>
                <w:szCs w:val="20"/>
                <w:color w:val="auto"/>
              </w:rPr>
            </w:pPr>
            <w:r>
              <w:rPr>
                <w:rFonts w:ascii="Arial" w:cs="Arial" w:eastAsia="Arial" w:hAnsi="Arial"/>
                <w:sz w:val="15"/>
                <w:szCs w:val="15"/>
                <w:b w:val="1"/>
                <w:bCs w:val="1"/>
                <w:color w:val="auto"/>
                <w:w w:val="84"/>
              </w:rPr>
              <w:t>Average Exercise</w:t>
            </w:r>
          </w:p>
        </w:tc>
        <w:tc>
          <w:tcPr>
            <w:tcW w:w="130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91"/>
              </w:rPr>
              <w:t>Contractual</w:t>
            </w:r>
          </w:p>
        </w:tc>
        <w:tc>
          <w:tcPr>
            <w:tcW w:w="240" w:type="dxa"/>
            <w:vAlign w:val="bottom"/>
          </w:tcPr>
          <w:p>
            <w:pPr>
              <w:spacing w:after="0"/>
              <w:rPr>
                <w:sz w:val="13"/>
                <w:szCs w:val="13"/>
                <w:color w:val="auto"/>
              </w:rPr>
            </w:pPr>
          </w:p>
        </w:tc>
        <w:tc>
          <w:tcPr>
            <w:tcW w:w="1140" w:type="dxa"/>
            <w:vAlign w:val="bottom"/>
          </w:tcPr>
          <w:p>
            <w:pPr>
              <w:jc w:val="right"/>
              <w:ind w:right="277"/>
              <w:spacing w:after="0" w:line="159" w:lineRule="exact"/>
              <w:rPr>
                <w:sz w:val="20"/>
                <w:szCs w:val="20"/>
                <w:color w:val="auto"/>
              </w:rPr>
            </w:pPr>
            <w:r>
              <w:rPr>
                <w:rFonts w:ascii="Arial" w:cs="Arial" w:eastAsia="Arial" w:hAnsi="Arial"/>
                <w:sz w:val="15"/>
                <w:szCs w:val="15"/>
                <w:b w:val="1"/>
                <w:bCs w:val="1"/>
                <w:color w:val="auto"/>
              </w:rPr>
              <w:t>Aggregate</w:t>
            </w:r>
          </w:p>
        </w:tc>
      </w:tr>
      <w:tr>
        <w:trPr>
          <w:trHeight w:val="179"/>
        </w:trPr>
        <w:tc>
          <w:tcPr>
            <w:tcW w:w="6020" w:type="dxa"/>
            <w:vAlign w:val="bottom"/>
            <w:tcBorders>
              <w:bottom w:val="single" w:sz="8" w:color="auto"/>
            </w:tcBorders>
          </w:tcPr>
          <w:p>
            <w:pPr>
              <w:ind w:left="2580"/>
              <w:spacing w:after="0"/>
              <w:rPr>
                <w:sz w:val="20"/>
                <w:szCs w:val="20"/>
                <w:color w:val="auto"/>
              </w:rPr>
            </w:pPr>
            <w:r>
              <w:rPr>
                <w:rFonts w:ascii="Arial" w:cs="Arial" w:eastAsia="Arial" w:hAnsi="Arial"/>
                <w:sz w:val="15"/>
                <w:szCs w:val="15"/>
                <w:b w:val="1"/>
                <w:bCs w:val="1"/>
                <w:color w:val="auto"/>
              </w:rPr>
              <w:t>Stock Options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3"/>
              </w:rPr>
              <w:t>Shares</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Price per Share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7"/>
              <w:spacing w:after="0"/>
              <w:rPr>
                <w:sz w:val="20"/>
                <w:szCs w:val="20"/>
                <w:color w:val="auto"/>
              </w:rPr>
            </w:pPr>
            <w:r>
              <w:rPr>
                <w:rFonts w:ascii="Arial" w:cs="Arial" w:eastAsia="Arial" w:hAnsi="Arial"/>
                <w:sz w:val="15"/>
                <w:szCs w:val="15"/>
                <w:b w:val="1"/>
                <w:bCs w:val="1"/>
                <w:color w:val="auto"/>
                <w:w w:val="87"/>
              </w:rPr>
              <w:t>Intrinsic Value</w:t>
            </w:r>
          </w:p>
        </w:tc>
      </w:tr>
      <w:tr>
        <w:trPr>
          <w:trHeight w:val="238"/>
        </w:trPr>
        <w:tc>
          <w:tcPr>
            <w:tcW w:w="60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2"/>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2018</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341,150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6.69</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1.67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4,131,028</w:t>
            </w:r>
          </w:p>
        </w:tc>
      </w:tr>
      <w:tr>
        <w:trPr>
          <w:trHeight w:val="212"/>
        </w:trPr>
        <w:tc>
          <w:tcPr>
            <w:tcW w:w="6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r>
      <w:tr>
        <w:trPr>
          <w:trHeight w:val="212"/>
        </w:trPr>
        <w:tc>
          <w:tcPr>
            <w:tcW w:w="6020" w:type="dxa"/>
            <w:vAlign w:val="bottom"/>
          </w:tcPr>
          <w:p>
            <w:pPr>
              <w:spacing w:after="0"/>
              <w:rPr>
                <w:sz w:val="20"/>
                <w:szCs w:val="20"/>
                <w:color w:val="auto"/>
              </w:rPr>
            </w:pPr>
            <w:r>
              <w:rPr>
                <w:rFonts w:ascii="Arial" w:cs="Arial" w:eastAsia="Arial" w:hAnsi="Arial"/>
                <w:sz w:val="17"/>
                <w:szCs w:val="17"/>
                <w:color w:val="auto"/>
              </w:rPr>
              <w:t>Exercised</w:t>
            </w:r>
          </w:p>
        </w:tc>
        <w:tc>
          <w:tcPr>
            <w:tcW w:w="1320" w:type="dxa"/>
            <w:vAlign w:val="bottom"/>
          </w:tcPr>
          <w:p>
            <w:pPr>
              <w:jc w:val="right"/>
              <w:spacing w:after="0"/>
              <w:rPr>
                <w:sz w:val="20"/>
                <w:szCs w:val="20"/>
                <w:color w:val="auto"/>
              </w:rPr>
            </w:pPr>
            <w:r>
              <w:rPr>
                <w:rFonts w:ascii="Arial" w:cs="Arial" w:eastAsia="Arial" w:hAnsi="Arial"/>
                <w:sz w:val="17"/>
                <w:szCs w:val="17"/>
                <w:color w:val="auto"/>
              </w:rPr>
              <w:t>(175,250)</w:t>
            </w: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6.32</w:t>
            </w:r>
          </w:p>
        </w:tc>
        <w:tc>
          <w:tcPr>
            <w:tcW w:w="130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7"/>
              <w:spacing w:after="0"/>
              <w:rPr>
                <w:sz w:val="20"/>
                <w:szCs w:val="20"/>
                <w:color w:val="auto"/>
              </w:rPr>
            </w:pPr>
            <w:r>
              <w:rPr>
                <w:rFonts w:ascii="Arial" w:cs="Arial" w:eastAsia="Arial" w:hAnsi="Arial"/>
                <w:sz w:val="17"/>
                <w:szCs w:val="17"/>
                <w:color w:val="auto"/>
              </w:rPr>
              <w:t>2,364,143</w:t>
            </w:r>
          </w:p>
        </w:tc>
      </w:tr>
      <w:tr>
        <w:trPr>
          <w:trHeight w:val="218"/>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r>
      <w:tr>
        <w:trPr>
          <w:trHeight w:val="212"/>
        </w:trPr>
        <w:tc>
          <w:tcPr>
            <w:tcW w:w="6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2"/>
        </w:trPr>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Outstanding at September 30, 2018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165,900</w:t>
            </w:r>
          </w:p>
        </w:tc>
        <w:tc>
          <w:tcPr>
            <w:tcW w:w="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7.09</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1.22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1,976,245</w:t>
            </w:r>
          </w:p>
        </w:tc>
      </w:tr>
      <w:tr>
        <w:trPr>
          <w:trHeight w:val="205"/>
        </w:trPr>
        <w:tc>
          <w:tcPr>
            <w:tcW w:w="6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2"/>
        </w:trPr>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Vested and Exercisable at September 30, 2018</w:t>
            </w:r>
          </w:p>
        </w:tc>
        <w:tc>
          <w:tcPr>
            <w:tcW w:w="13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155,900</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7.01</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1.14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1,869,508</w:t>
            </w:r>
          </w:p>
        </w:tc>
      </w:tr>
    </w:tbl>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aggregate intrinsic value of options outstanding and options exercisable at September 30, 2018 is calculated as the difference between the exercise price of the underlying options and the market price of the Company’s common stock for the options that had exercise prices that were lower than the $19.00 closing price of the Company’s common stock on September 30, 2018. The total intrinsic value of options exercised during the nine months ended September 30, 2018 was $2,364,143, determined as of the date of exercise.</w:t>
      </w:r>
    </w:p>
    <w:p>
      <w:pPr>
        <w:spacing w:after="0" w:line="117"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 The Company received cash proceeds of $74,063 from the exercise of options for the purchase of 12,750 shares of common stock during the nine months ended September 30, 2018. The Company received 7,855 shares from the exercise of options under a Share Exchange for the purchase of 30,000 shares of common stock during the nine months ended September 30, 2018. The remaining 132,500 options exercised during the nine months ended September 30, 2018 were Net Exercises, resulting in the issuance of 54,231 shares of common stock. The Company received cash proceeds of $66,517 from the exercise of options for the purchase of 11,750 shares of common stock during the nine months ended September 30, 2017. The remaining 2,750 options exercised during the nine months ended September 30, 2017 were Net Exercises, resulting in the issuance of 1,828 shares of common stock.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34" w:name="page35"/>
    <w:bookmarkEnd w:id="34"/>
    <w:p>
      <w:pPr>
        <w:jc w:val="both"/>
        <w:spacing w:after="0" w:line="287" w:lineRule="auto"/>
        <w:rPr>
          <w:sz w:val="20"/>
          <w:szCs w:val="20"/>
          <w:color w:val="auto"/>
        </w:rPr>
      </w:pPr>
      <w:r>
        <w:rPr>
          <w:rFonts w:ascii="Arial" w:cs="Arial" w:eastAsia="Arial" w:hAnsi="Arial"/>
          <w:sz w:val="17"/>
          <w:szCs w:val="17"/>
          <w:color w:val="auto"/>
        </w:rPr>
        <w:t>As of September 30, 2018, the fair value of unamortized compensation cost related to unvested stock option awards was approximately $2,000. Unamortized compensation cost as of September 30, 2018 is expected to be recognized over a remaining weighted-average vesting period of 0.05 years.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2018, there were 463,034 shares reserved for grants under the 2014 Plan.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Stock Awards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restricted common stock activity under the Company’s 2014 Plan for the nine months ended September 30, 2018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99"/>
              <w:spacing w:after="0"/>
              <w:rPr>
                <w:sz w:val="20"/>
                <w:szCs w:val="20"/>
                <w:color w:val="auto"/>
              </w:rPr>
            </w:pPr>
            <w:r>
              <w:rPr>
                <w:rFonts w:ascii="Arial" w:cs="Arial" w:eastAsia="Arial" w:hAnsi="Arial"/>
                <w:sz w:val="15"/>
                <w:szCs w:val="15"/>
                <w:b w:val="1"/>
                <w:bCs w:val="1"/>
                <w:color w:val="auto"/>
                <w:w w:val="85"/>
              </w:rPr>
              <w:t>Weighted</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9"/>
        </w:trPr>
        <w:tc>
          <w:tcPr>
            <w:tcW w:w="7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19"/>
              <w:spacing w:after="0" w:line="159" w:lineRule="exact"/>
              <w:rPr>
                <w:sz w:val="20"/>
                <w:szCs w:val="20"/>
                <w:color w:val="auto"/>
              </w:rPr>
            </w:pPr>
            <w:r>
              <w:rPr>
                <w:rFonts w:ascii="Arial" w:cs="Arial" w:eastAsia="Arial" w:hAnsi="Arial"/>
                <w:sz w:val="15"/>
                <w:szCs w:val="15"/>
                <w:b w:val="1"/>
                <w:bCs w:val="1"/>
                <w:color w:val="auto"/>
                <w:w w:val="88"/>
              </w:rPr>
              <w:t>Average Grant</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7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gridSpan w:val="2"/>
          </w:tcPr>
          <w:p>
            <w:pPr>
              <w:jc w:val="center"/>
              <w:spacing w:after="0" w:line="159" w:lineRule="exact"/>
              <w:rPr>
                <w:sz w:val="20"/>
                <w:szCs w:val="20"/>
                <w:color w:val="auto"/>
              </w:rPr>
            </w:pPr>
            <w:r>
              <w:rPr>
                <w:rFonts w:ascii="Arial" w:cs="Arial" w:eastAsia="Arial" w:hAnsi="Arial"/>
                <w:sz w:val="15"/>
                <w:szCs w:val="15"/>
                <w:b w:val="1"/>
                <w:bCs w:val="1"/>
                <w:color w:val="auto"/>
                <w:w w:val="90"/>
              </w:rPr>
              <w:t>Date Fair Value</w:t>
            </w:r>
          </w:p>
        </w:tc>
        <w:tc>
          <w:tcPr>
            <w:tcW w:w="240" w:type="dxa"/>
            <w:vAlign w:val="bottom"/>
          </w:tcPr>
          <w:p>
            <w:pPr>
              <w:spacing w:after="0"/>
              <w:rPr>
                <w:sz w:val="13"/>
                <w:szCs w:val="13"/>
                <w:color w:val="auto"/>
              </w:rPr>
            </w:pPr>
          </w:p>
        </w:tc>
        <w:tc>
          <w:tcPr>
            <w:tcW w:w="1140" w:type="dxa"/>
            <w:vAlign w:val="bottom"/>
          </w:tcPr>
          <w:p>
            <w:pPr>
              <w:jc w:val="right"/>
              <w:ind w:right="118"/>
              <w:spacing w:after="0" w:line="159" w:lineRule="exact"/>
              <w:rPr>
                <w:sz w:val="20"/>
                <w:szCs w:val="20"/>
                <w:color w:val="auto"/>
              </w:rPr>
            </w:pPr>
            <w:r>
              <w:rPr>
                <w:rFonts w:ascii="Arial" w:cs="Arial" w:eastAsia="Arial" w:hAnsi="Arial"/>
                <w:sz w:val="15"/>
                <w:szCs w:val="15"/>
                <w:b w:val="1"/>
                <w:bCs w:val="1"/>
                <w:color w:val="auto"/>
                <w:w w:val="86"/>
              </w:rPr>
              <w:t>Aggregate Fair</w:t>
            </w:r>
          </w:p>
        </w:tc>
      </w:tr>
      <w:tr>
        <w:trPr>
          <w:trHeight w:val="179"/>
        </w:trPr>
        <w:tc>
          <w:tcPr>
            <w:tcW w:w="7400" w:type="dxa"/>
            <w:vAlign w:val="bottom"/>
            <w:tcBorders>
              <w:bottom w:val="single" w:sz="8" w:color="auto"/>
            </w:tcBorders>
          </w:tcPr>
          <w:p>
            <w:pPr>
              <w:ind w:left="2940"/>
              <w:spacing w:after="0"/>
              <w:rPr>
                <w:sz w:val="20"/>
                <w:szCs w:val="20"/>
                <w:color w:val="auto"/>
              </w:rPr>
            </w:pPr>
            <w:r>
              <w:rPr>
                <w:rFonts w:ascii="Arial" w:cs="Arial" w:eastAsia="Arial" w:hAnsi="Arial"/>
                <w:sz w:val="15"/>
                <w:szCs w:val="15"/>
                <w:b w:val="1"/>
                <w:bCs w:val="1"/>
                <w:color w:val="auto"/>
              </w:rPr>
              <w:t>Restricted Stock Awards</w:t>
            </w:r>
          </w:p>
        </w:tc>
        <w:tc>
          <w:tcPr>
            <w:tcW w:w="140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9"/>
              <w:spacing w:after="0"/>
              <w:rPr>
                <w:sz w:val="20"/>
                <w:szCs w:val="20"/>
                <w:color w:val="auto"/>
              </w:rPr>
            </w:pPr>
            <w:r>
              <w:rPr>
                <w:rFonts w:ascii="Arial" w:cs="Arial" w:eastAsia="Arial" w:hAnsi="Arial"/>
                <w:sz w:val="15"/>
                <w:szCs w:val="15"/>
                <w:b w:val="1"/>
                <w:bCs w:val="1"/>
                <w:color w:val="auto"/>
                <w:w w:val="89"/>
              </w:rPr>
              <w:t>per Share</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5"/>
                <w:szCs w:val="15"/>
                <w:b w:val="1"/>
                <w:bCs w:val="1"/>
                <w:color w:val="auto"/>
              </w:rPr>
              <w:t>Value</w:t>
            </w:r>
          </w:p>
        </w:tc>
      </w:tr>
      <w:tr>
        <w:trPr>
          <w:trHeight w:val="238"/>
        </w:trPr>
        <w:tc>
          <w:tcPr>
            <w:tcW w:w="7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2"/>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2018</w:t>
            </w: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47,337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14.35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679,180</w:t>
            </w:r>
          </w:p>
        </w:tc>
      </w:tr>
      <w:tr>
        <w:trPr>
          <w:trHeight w:val="212"/>
        </w:trPr>
        <w:tc>
          <w:tcPr>
            <w:tcW w:w="7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90,004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19.09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1,717,958</w:t>
            </w:r>
          </w:p>
        </w:tc>
      </w:tr>
      <w:tr>
        <w:trPr>
          <w:trHeight w:val="212"/>
        </w:trPr>
        <w:tc>
          <w:tcPr>
            <w:tcW w:w="7400" w:type="dxa"/>
            <w:vAlign w:val="bottom"/>
          </w:tcPr>
          <w:p>
            <w:pPr>
              <w:spacing w:after="0"/>
              <w:rPr>
                <w:sz w:val="20"/>
                <w:szCs w:val="20"/>
                <w:color w:val="auto"/>
              </w:rPr>
            </w:pPr>
            <w:r>
              <w:rPr>
                <w:rFonts w:ascii="Arial" w:cs="Arial" w:eastAsia="Arial" w:hAnsi="Arial"/>
                <w:sz w:val="17"/>
                <w:szCs w:val="17"/>
                <w:color w:val="auto"/>
              </w:rPr>
              <w:t>Vested</w:t>
            </w:r>
          </w:p>
        </w:tc>
        <w:tc>
          <w:tcPr>
            <w:tcW w:w="1400" w:type="dxa"/>
            <w:vAlign w:val="bottom"/>
          </w:tcPr>
          <w:p>
            <w:pPr>
              <w:jc w:val="right"/>
              <w:spacing w:after="0"/>
              <w:rPr>
                <w:sz w:val="20"/>
                <w:szCs w:val="20"/>
                <w:color w:val="auto"/>
              </w:rPr>
            </w:pPr>
            <w:r>
              <w:rPr>
                <w:rFonts w:ascii="Arial" w:cs="Arial" w:eastAsia="Arial" w:hAnsi="Arial"/>
                <w:sz w:val="17"/>
                <w:szCs w:val="17"/>
                <w:color w:val="auto"/>
              </w:rPr>
              <w:t>(15,752)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59"/>
              <w:spacing w:after="0"/>
              <w:rPr>
                <w:sz w:val="20"/>
                <w:szCs w:val="20"/>
                <w:color w:val="auto"/>
              </w:rPr>
            </w:pPr>
            <w:r>
              <w:rPr>
                <w:rFonts w:ascii="Arial" w:cs="Arial" w:eastAsia="Arial" w:hAnsi="Arial"/>
                <w:sz w:val="17"/>
                <w:szCs w:val="17"/>
                <w:color w:val="auto"/>
              </w:rPr>
              <w:t>14.07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(221,613)</w:t>
            </w:r>
          </w:p>
        </w:tc>
      </w:tr>
      <w:tr>
        <w:trPr>
          <w:trHeight w:val="218"/>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15.00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(9,960)</w:t>
            </w:r>
          </w:p>
        </w:tc>
      </w:tr>
      <w:tr>
        <w:trPr>
          <w:trHeight w:val="212"/>
        </w:trPr>
        <w:tc>
          <w:tcPr>
            <w:tcW w:w="7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2"/>
        </w:trPr>
        <w:tc>
          <w:tcPr>
            <w:tcW w:w="7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at September 30, 2018</w:t>
            </w:r>
          </w:p>
        </w:tc>
        <w:tc>
          <w:tcPr>
            <w:tcW w:w="14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120,925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17.91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2,165,565</w:t>
            </w:r>
          </w:p>
        </w:tc>
      </w:tr>
    </w:tbl>
    <w:p>
      <w:pPr>
        <w:spacing w:after="0" w:line="20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Fair value was calculated using the closing price of the Company’s common stock on the grant date. For the three months ended September 30, 2018 and 2017, stock-based compensation of approximately $196,000 and $65,000, respectively, for these grants is included in other operating expenses in the condensed consolidated statements of income and comprehensive income. For the nine months ended September 30, 2018 and 2017, stock-based compensation of approximately $477,000 and $163,000, respectively, for these grants is included in other operating expenses in the condensed consolidated statements of income and comprehensive income. These amounts reflect the Company’s accounting expense and do not correspond to the actual value that will be recognized by the directors, executives and employees.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Income Taxes</w:t>
      </w:r>
    </w:p>
    <w:p>
      <w:pPr>
        <w:spacing w:after="0" w:line="2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a various rates depending on whether the temporary differences are subject to federal taxes, state taxes, or both.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35" w:name="page36"/>
    <w:bookmarkEnd w:id="35"/>
    <w:p>
      <w:pPr>
        <w:jc w:val="both"/>
        <w:spacing w:after="0" w:line="266" w:lineRule="auto"/>
        <w:rPr>
          <w:sz w:val="20"/>
          <w:szCs w:val="20"/>
          <w:color w:val="auto"/>
        </w:rPr>
      </w:pPr>
      <w:r>
        <w:rPr>
          <w:rFonts w:ascii="Arial" w:cs="Arial" w:eastAsia="Arial" w:hAnsi="Arial"/>
          <w:sz w:val="17"/>
          <w:szCs w:val="17"/>
          <w:color w:val="auto"/>
        </w:rPr>
        <w:t>On December 22, 2017, the Tax Act was enacted by the U.S. federal government. The Company has accounted for the material impacts of the Tax Act by re-measuring its deferred tax assets/(liabilities) at the 21% enacted tax rate as of December 31, 2017. Upon completion of the 2017 U.S. income tax return in 2018, the Company did not identify any additional re-measurement adjustments to its recorded deferred tax liabilities and the one-time transition tax. The Company will continue to assess its provision for income taxes as future guidance is issued, but does not currently anticipate significant revisions will be necessary. Any such revisions will be treated in accordance with the measurement period guidance outlined in Staff Accounting Bulletin No. 118.</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components of the Company’s deferred tax assets and liabilities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136"/>
              <w:spacing w:after="0"/>
              <w:rPr>
                <w:sz w:val="20"/>
                <w:szCs w:val="20"/>
                <w:color w:val="auto"/>
              </w:rPr>
            </w:pPr>
            <w:r>
              <w:rPr>
                <w:rFonts w:ascii="Arial" w:cs="Arial" w:eastAsia="Arial" w:hAnsi="Arial"/>
                <w:sz w:val="15"/>
                <w:szCs w:val="15"/>
                <w:b w:val="1"/>
                <w:bCs w:val="1"/>
                <w:color w:val="auto"/>
                <w:w w:val="87"/>
              </w:rPr>
              <w:t>September 30,</w:t>
            </w:r>
          </w:p>
        </w:tc>
        <w:tc>
          <w:tcPr>
            <w:tcW w:w="260" w:type="dxa"/>
            <w:vAlign w:val="bottom"/>
          </w:tcPr>
          <w:p>
            <w:pPr>
              <w:spacing w:after="0"/>
              <w:rPr>
                <w:sz w:val="14"/>
                <w:szCs w:val="14"/>
                <w:color w:val="auto"/>
              </w:rPr>
            </w:pPr>
          </w:p>
        </w:tc>
        <w:tc>
          <w:tcPr>
            <w:tcW w:w="1120" w:type="dxa"/>
            <w:vAlign w:val="bottom"/>
          </w:tcPr>
          <w:p>
            <w:pPr>
              <w:jc w:val="right"/>
              <w:ind w:right="156"/>
              <w:spacing w:after="0"/>
              <w:rPr>
                <w:sz w:val="20"/>
                <w:szCs w:val="20"/>
                <w:color w:val="auto"/>
              </w:rPr>
            </w:pPr>
            <w:r>
              <w:rPr>
                <w:rFonts w:ascii="Arial" w:cs="Arial" w:eastAsia="Arial" w:hAnsi="Arial"/>
                <w:sz w:val="15"/>
                <w:szCs w:val="15"/>
                <w:b w:val="1"/>
                <w:bCs w:val="1"/>
                <w:color w:val="auto"/>
                <w:w w:val="88"/>
              </w:rPr>
              <w:t>December 31,</w:t>
            </w:r>
          </w:p>
        </w:tc>
      </w:tr>
      <w:tr>
        <w:trPr>
          <w:trHeight w:val="179"/>
        </w:trPr>
        <w:tc>
          <w:tcPr>
            <w:tcW w:w="8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2017</w:t>
            </w:r>
          </w:p>
        </w:tc>
      </w:tr>
      <w:tr>
        <w:trPr>
          <w:trHeight w:val="238"/>
        </w:trPr>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Deferred tax asset: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2"/>
        </w:trPr>
        <w:tc>
          <w:tcPr>
            <w:tcW w:w="8800" w:type="dxa"/>
            <w:vAlign w:val="bottom"/>
          </w:tcPr>
          <w:p>
            <w:pPr>
              <w:ind w:left="200"/>
              <w:spacing w:after="0"/>
              <w:rPr>
                <w:sz w:val="20"/>
                <w:szCs w:val="20"/>
                <w:color w:val="auto"/>
              </w:rPr>
            </w:pPr>
            <w:r>
              <w:rPr>
                <w:rFonts w:ascii="Arial" w:cs="Arial" w:eastAsia="Arial" w:hAnsi="Arial"/>
                <w:sz w:val="17"/>
                <w:szCs w:val="17"/>
                <w:color w:val="auto"/>
              </w:rPr>
              <w:t>Net operating loss carryovers (1)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6"/>
              <w:spacing w:after="0"/>
              <w:rPr>
                <w:sz w:val="20"/>
                <w:szCs w:val="20"/>
                <w:color w:val="auto"/>
              </w:rPr>
            </w:pPr>
            <w:r>
              <w:rPr>
                <w:rFonts w:ascii="Arial" w:cs="Arial" w:eastAsia="Arial" w:hAnsi="Arial"/>
                <w:sz w:val="17"/>
                <w:szCs w:val="17"/>
                <w:color w:val="auto"/>
              </w:rPr>
              <w:t>87,018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103,655</w:t>
            </w:r>
          </w:p>
        </w:tc>
      </w:tr>
      <w:tr>
        <w:trPr>
          <w:trHeight w:val="212"/>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Claims reserve discount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357,793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300,005</w:t>
            </w:r>
          </w:p>
        </w:tc>
      </w:tr>
      <w:tr>
        <w:trPr>
          <w:trHeight w:val="212"/>
        </w:trPr>
        <w:tc>
          <w:tcPr>
            <w:tcW w:w="8800" w:type="dxa"/>
            <w:vAlign w:val="bottom"/>
          </w:tcPr>
          <w:p>
            <w:pPr>
              <w:ind w:left="200"/>
              <w:spacing w:after="0"/>
              <w:rPr>
                <w:sz w:val="20"/>
                <w:szCs w:val="20"/>
                <w:color w:val="auto"/>
              </w:rPr>
            </w:pPr>
            <w:r>
              <w:rPr>
                <w:rFonts w:ascii="Arial" w:cs="Arial" w:eastAsia="Arial" w:hAnsi="Arial"/>
                <w:sz w:val="17"/>
                <w:szCs w:val="17"/>
                <w:color w:val="auto"/>
              </w:rPr>
              <w:t>Unearned premium</w:t>
            </w:r>
          </w:p>
        </w:tc>
        <w:tc>
          <w:tcPr>
            <w:tcW w:w="24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Arial" w:cs="Arial" w:eastAsia="Arial" w:hAnsi="Arial"/>
                <w:sz w:val="17"/>
                <w:szCs w:val="17"/>
                <w:color w:val="auto"/>
              </w:rPr>
              <w:t>3,048,775</w:t>
            </w:r>
          </w:p>
        </w:tc>
        <w:tc>
          <w:tcPr>
            <w:tcW w:w="26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2,431,301</w:t>
            </w:r>
          </w:p>
        </w:tc>
      </w:tr>
      <w:tr>
        <w:trPr>
          <w:trHeight w:val="212"/>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ceding commission revenue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528,668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895,947</w:t>
            </w:r>
          </w:p>
        </w:tc>
      </w:tr>
      <w:tr>
        <w:trPr>
          <w:trHeight w:val="212"/>
        </w:trPr>
        <w:tc>
          <w:tcPr>
            <w:tcW w:w="8800" w:type="dxa"/>
            <w:vAlign w:val="bottom"/>
          </w:tcPr>
          <w:p>
            <w:pPr>
              <w:ind w:left="200"/>
              <w:spacing w:after="0"/>
              <w:rPr>
                <w:sz w:val="20"/>
                <w:szCs w:val="20"/>
                <w:color w:val="auto"/>
              </w:rPr>
            </w:pPr>
            <w:r>
              <w:rPr>
                <w:rFonts w:ascii="Arial" w:cs="Arial" w:eastAsia="Arial" w:hAnsi="Arial"/>
                <w:sz w:val="17"/>
                <w:szCs w:val="17"/>
                <w:color w:val="auto"/>
              </w:rPr>
              <w:t>Net unrealized loss of securities - available for sale</w:t>
            </w:r>
          </w:p>
        </w:tc>
        <w:tc>
          <w:tcPr>
            <w:tcW w:w="24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Arial" w:cs="Arial" w:eastAsia="Arial" w:hAnsi="Arial"/>
                <w:sz w:val="17"/>
                <w:szCs w:val="17"/>
                <w:color w:val="auto"/>
              </w:rPr>
              <w:t>537,678</w:t>
            </w:r>
          </w:p>
        </w:tc>
        <w:tc>
          <w:tcPr>
            <w:tcW w:w="26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w:t>
            </w:r>
          </w:p>
        </w:tc>
      </w:tr>
      <w:tr>
        <w:trPr>
          <w:trHeight w:val="218"/>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329,273</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382,522</w:t>
            </w:r>
          </w:p>
        </w:tc>
      </w:tr>
      <w:tr>
        <w:trPr>
          <w:trHeight w:val="218"/>
        </w:trPr>
        <w:tc>
          <w:tcPr>
            <w:tcW w:w="8800" w:type="dxa"/>
            <w:vAlign w:val="bottom"/>
          </w:tcPr>
          <w:p>
            <w:pPr>
              <w:ind w:left="40"/>
              <w:spacing w:after="0"/>
              <w:rPr>
                <w:sz w:val="20"/>
                <w:szCs w:val="20"/>
                <w:color w:val="auto"/>
              </w:rPr>
            </w:pPr>
            <w:r>
              <w:rPr>
                <w:rFonts w:ascii="Arial" w:cs="Arial" w:eastAsia="Arial" w:hAnsi="Arial"/>
                <w:sz w:val="17"/>
                <w:szCs w:val="17"/>
                <w:color w:val="auto"/>
              </w:rPr>
              <w:t>Total deferred tax assets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4,889,205</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4,113,430</w:t>
            </w:r>
          </w:p>
        </w:tc>
      </w:tr>
      <w:tr>
        <w:trPr>
          <w:trHeight w:val="212"/>
        </w:trPr>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rPr>
              <w:t>Deferred tax liability:</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Investment in KICO (2)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759,543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759,543</w:t>
            </w:r>
          </w:p>
        </w:tc>
      </w:tr>
      <w:tr>
        <w:trPr>
          <w:trHeight w:val="212"/>
        </w:trPr>
        <w:tc>
          <w:tcPr>
            <w:tcW w:w="8800" w:type="dxa"/>
            <w:vAlign w:val="bottom"/>
          </w:tcPr>
          <w:p>
            <w:pPr>
              <w:ind w:left="200"/>
              <w:spacing w:after="0"/>
              <w:rPr>
                <w:sz w:val="20"/>
                <w:szCs w:val="20"/>
                <w:color w:val="auto"/>
              </w:rPr>
            </w:pPr>
            <w:r>
              <w:rPr>
                <w:rFonts w:ascii="Arial" w:cs="Arial" w:eastAsia="Arial" w:hAnsi="Arial"/>
                <w:sz w:val="17"/>
                <w:szCs w:val="17"/>
                <w:color w:val="auto"/>
              </w:rPr>
              <w:t>Deferred acquisition costs</w:t>
            </w:r>
          </w:p>
        </w:tc>
        <w:tc>
          <w:tcPr>
            <w:tcW w:w="24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Arial" w:cs="Arial" w:eastAsia="Arial" w:hAnsi="Arial"/>
                <w:sz w:val="17"/>
                <w:szCs w:val="17"/>
                <w:color w:val="auto"/>
              </w:rPr>
              <w:t>3,595,882</w:t>
            </w:r>
          </w:p>
        </w:tc>
        <w:tc>
          <w:tcPr>
            <w:tcW w:w="26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3,117,920</w:t>
            </w:r>
          </w:p>
        </w:tc>
      </w:tr>
      <w:tr>
        <w:trPr>
          <w:trHeight w:val="212"/>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Intangibles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158,550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212,100</w:t>
            </w:r>
          </w:p>
        </w:tc>
      </w:tr>
      <w:tr>
        <w:trPr>
          <w:trHeight w:val="212"/>
        </w:trPr>
        <w:tc>
          <w:tcPr>
            <w:tcW w:w="880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8"/>
                <w:szCs w:val="18"/>
                <w:color w:val="auto"/>
              </w:rPr>
            </w:pPr>
          </w:p>
        </w:tc>
        <w:tc>
          <w:tcPr>
            <w:tcW w:w="1140" w:type="dxa"/>
            <w:vAlign w:val="bottom"/>
          </w:tcPr>
          <w:p>
            <w:pPr>
              <w:jc w:val="right"/>
              <w:ind w:right="56"/>
              <w:spacing w:after="0"/>
              <w:rPr>
                <w:sz w:val="20"/>
                <w:szCs w:val="20"/>
                <w:color w:val="auto"/>
              </w:rPr>
            </w:pPr>
            <w:r>
              <w:rPr>
                <w:rFonts w:ascii="Arial" w:cs="Arial" w:eastAsia="Arial" w:hAnsi="Arial"/>
                <w:sz w:val="17"/>
                <w:szCs w:val="17"/>
                <w:color w:val="auto"/>
              </w:rPr>
              <w:t>253,227</w:t>
            </w:r>
          </w:p>
        </w:tc>
        <w:tc>
          <w:tcPr>
            <w:tcW w:w="26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328,735</w:t>
            </w:r>
          </w:p>
        </w:tc>
      </w:tr>
      <w:tr>
        <w:trPr>
          <w:trHeight w:val="218"/>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unrealized gains of securities - available for sale</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295,474</w:t>
            </w:r>
          </w:p>
        </w:tc>
      </w:tr>
      <w:tr>
        <w:trPr>
          <w:trHeight w:val="218"/>
        </w:trPr>
        <w:tc>
          <w:tcPr>
            <w:tcW w:w="8800" w:type="dxa"/>
            <w:vAlign w:val="bottom"/>
          </w:tcPr>
          <w:p>
            <w:pPr>
              <w:ind w:left="40"/>
              <w:spacing w:after="0"/>
              <w:rPr>
                <w:sz w:val="20"/>
                <w:szCs w:val="20"/>
                <w:color w:val="auto"/>
              </w:rPr>
            </w:pPr>
            <w:r>
              <w:rPr>
                <w:rFonts w:ascii="Arial" w:cs="Arial" w:eastAsia="Arial" w:hAnsi="Arial"/>
                <w:sz w:val="17"/>
                <w:szCs w:val="17"/>
                <w:color w:val="auto"/>
              </w:rPr>
              <w:t>Total deferred tax liabilities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4,767,202</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4,713,772</w:t>
            </w:r>
          </w:p>
        </w:tc>
      </w:tr>
      <w:tr>
        <w:trPr>
          <w:trHeight w:val="212"/>
        </w:trPr>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rPr>
              <w:t>Net deferred income tax asset (liability)</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122,003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(600,342)</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  The deferred tax assets from net operating loss carryovers (“NOL”)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178"/>
              <w:spacing w:after="0"/>
              <w:rPr>
                <w:sz w:val="20"/>
                <w:szCs w:val="20"/>
                <w:color w:val="auto"/>
              </w:rPr>
            </w:pPr>
            <w:r>
              <w:rPr>
                <w:rFonts w:ascii="Arial" w:cs="Arial" w:eastAsia="Arial" w:hAnsi="Arial"/>
                <w:sz w:val="15"/>
                <w:szCs w:val="15"/>
                <w:b w:val="1"/>
                <w:bCs w:val="1"/>
                <w:color w:val="auto"/>
                <w:w w:val="85"/>
              </w:rPr>
              <w:t>September 30,</w:t>
            </w:r>
          </w:p>
        </w:tc>
        <w:tc>
          <w:tcPr>
            <w:tcW w:w="240" w:type="dxa"/>
            <w:vAlign w:val="bottom"/>
          </w:tcPr>
          <w:p>
            <w:pPr>
              <w:spacing w:after="0"/>
              <w:rPr>
                <w:sz w:val="15"/>
                <w:szCs w:val="15"/>
                <w:color w:val="auto"/>
              </w:rPr>
            </w:pPr>
          </w:p>
        </w:tc>
        <w:tc>
          <w:tcPr>
            <w:tcW w:w="1120" w:type="dxa"/>
            <w:vAlign w:val="bottom"/>
          </w:tcPr>
          <w:p>
            <w:pPr>
              <w:jc w:val="right"/>
              <w:ind w:right="158"/>
              <w:spacing w:after="0"/>
              <w:rPr>
                <w:sz w:val="20"/>
                <w:szCs w:val="20"/>
                <w:color w:val="auto"/>
              </w:rPr>
            </w:pPr>
            <w:r>
              <w:rPr>
                <w:rFonts w:ascii="Arial" w:cs="Arial" w:eastAsia="Arial" w:hAnsi="Arial"/>
                <w:sz w:val="15"/>
                <w:szCs w:val="15"/>
                <w:b w:val="1"/>
                <w:bCs w:val="1"/>
                <w:color w:val="auto"/>
                <w:w w:val="88"/>
              </w:rPr>
              <w:t>December 31,</w:t>
            </w: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7060" w:type="dxa"/>
            <w:vAlign w:val="bottom"/>
          </w:tcPr>
          <w:p>
            <w:pPr>
              <w:ind w:left="3140"/>
              <w:spacing w:after="0"/>
              <w:rPr>
                <w:sz w:val="20"/>
                <w:szCs w:val="20"/>
                <w:color w:val="auto"/>
              </w:rPr>
            </w:pPr>
            <w:r>
              <w:rPr>
                <w:rFonts w:ascii="Arial" w:cs="Arial" w:eastAsia="Arial" w:hAnsi="Arial"/>
                <w:sz w:val="15"/>
                <w:szCs w:val="15"/>
                <w:b w:val="1"/>
                <w:bCs w:val="1"/>
                <w:color w:val="auto"/>
              </w:rPr>
              <w:t>Type of NOL</w:t>
            </w:r>
          </w:p>
        </w:tc>
        <w:tc>
          <w:tcPr>
            <w:tcW w:w="260" w:type="dxa"/>
            <w:vAlign w:val="bottom"/>
          </w:tcPr>
          <w:p>
            <w:pPr>
              <w:spacing w:after="0"/>
              <w:rPr>
                <w:sz w:val="15"/>
                <w:szCs w:val="15"/>
                <w:color w:val="auto"/>
              </w:rPr>
            </w:pPr>
          </w:p>
        </w:tc>
        <w:tc>
          <w:tcPr>
            <w:tcW w:w="1160" w:type="dxa"/>
            <w:vAlign w:val="bottom"/>
          </w:tcPr>
          <w:p>
            <w:pPr>
              <w:jc w:val="right"/>
              <w:ind w:right="478"/>
              <w:spacing w:after="0"/>
              <w:rPr>
                <w:sz w:val="20"/>
                <w:szCs w:val="20"/>
                <w:color w:val="auto"/>
              </w:rPr>
            </w:pPr>
            <w:r>
              <w:rPr>
                <w:rFonts w:ascii="Arial" w:cs="Arial" w:eastAsia="Arial" w:hAnsi="Arial"/>
                <w:sz w:val="15"/>
                <w:szCs w:val="15"/>
                <w:b w:val="1"/>
                <w:bCs w:val="1"/>
                <w:color w:val="auto"/>
              </w:rPr>
              <w:t>2018</w:t>
            </w:r>
          </w:p>
        </w:tc>
        <w:tc>
          <w:tcPr>
            <w:tcW w:w="240" w:type="dxa"/>
            <w:vAlign w:val="bottom"/>
          </w:tcPr>
          <w:p>
            <w:pPr>
              <w:spacing w:after="0"/>
              <w:rPr>
                <w:sz w:val="15"/>
                <w:szCs w:val="15"/>
                <w:color w:val="auto"/>
              </w:rPr>
            </w:pPr>
          </w:p>
        </w:tc>
        <w:tc>
          <w:tcPr>
            <w:tcW w:w="1120" w:type="dxa"/>
            <w:vAlign w:val="bottom"/>
          </w:tcPr>
          <w:p>
            <w:pPr>
              <w:jc w:val="right"/>
              <w:ind w:right="438"/>
              <w:spacing w:after="0"/>
              <w:rPr>
                <w:sz w:val="20"/>
                <w:szCs w:val="20"/>
                <w:color w:val="auto"/>
              </w:rPr>
            </w:pPr>
            <w:r>
              <w:rPr>
                <w:rFonts w:ascii="Arial" w:cs="Arial" w:eastAsia="Arial" w:hAnsi="Arial"/>
                <w:sz w:val="15"/>
                <w:szCs w:val="15"/>
                <w:b w:val="1"/>
                <w:bCs w:val="1"/>
                <w:color w:val="auto"/>
              </w:rPr>
              <w:t>2017</w:t>
            </w:r>
          </w:p>
        </w:tc>
        <w:tc>
          <w:tcPr>
            <w:tcW w:w="1740" w:type="dxa"/>
            <w:vAlign w:val="bottom"/>
            <w:gridSpan w:val="2"/>
          </w:tcPr>
          <w:p>
            <w:pPr>
              <w:ind w:left="520"/>
              <w:spacing w:after="0"/>
              <w:rPr>
                <w:sz w:val="20"/>
                <w:szCs w:val="20"/>
                <w:color w:val="auto"/>
              </w:rPr>
            </w:pPr>
            <w:r>
              <w:rPr>
                <w:rFonts w:ascii="Arial" w:cs="Arial" w:eastAsia="Arial" w:hAnsi="Arial"/>
                <w:sz w:val="15"/>
                <w:szCs w:val="15"/>
                <w:b w:val="1"/>
                <w:bCs w:val="1"/>
                <w:color w:val="auto"/>
              </w:rPr>
              <w:t>Expiration</w:t>
            </w:r>
          </w:p>
        </w:tc>
      </w:tr>
      <w:tr>
        <w:trPr>
          <w:trHeight w:val="212"/>
        </w:trPr>
        <w:tc>
          <w:tcPr>
            <w:tcW w:w="70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State only (A)</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1,146,036</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824,996</w:t>
            </w:r>
          </w:p>
        </w:tc>
        <w:tc>
          <w:tcPr>
            <w:tcW w:w="17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w w:val="88"/>
              </w:rPr>
              <w:t>December 31, 2038</w:t>
            </w:r>
          </w:p>
        </w:tc>
        <w:tc>
          <w:tcPr>
            <w:tcW w:w="20" w:type="dxa"/>
            <w:vAlign w:val="bottom"/>
          </w:tcPr>
          <w:p>
            <w:pPr>
              <w:spacing w:after="0"/>
              <w:rPr>
                <w:sz w:val="18"/>
                <w:szCs w:val="18"/>
                <w:color w:val="auto"/>
              </w:rPr>
            </w:pPr>
          </w:p>
        </w:tc>
      </w:tr>
      <w:tr>
        <w:trPr>
          <w:trHeight w:val="218"/>
        </w:trPr>
        <w:tc>
          <w:tcPr>
            <w:tcW w:w="7060" w:type="dxa"/>
            <w:vAlign w:val="bottom"/>
          </w:tcPr>
          <w:p>
            <w:pPr>
              <w:ind w:left="40"/>
              <w:spacing w:after="0"/>
              <w:rPr>
                <w:sz w:val="20"/>
                <w:szCs w:val="20"/>
                <w:color w:val="auto"/>
              </w:rPr>
            </w:pPr>
            <w:r>
              <w:rPr>
                <w:rFonts w:ascii="Arial" w:cs="Arial" w:eastAsia="Arial" w:hAnsi="Arial"/>
                <w:sz w:val="17"/>
                <w:szCs w:val="17"/>
                <w:color w:val="auto"/>
              </w:rPr>
              <w:t>Valuation allowance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(1,061,118)</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(725,541)</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7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State only, net of valuation allowance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84,918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99,455</w:t>
            </w:r>
          </w:p>
        </w:tc>
        <w:tc>
          <w:tcPr>
            <w:tcW w:w="1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7060" w:type="dxa"/>
            <w:vAlign w:val="bottom"/>
          </w:tcPr>
          <w:p>
            <w:pPr>
              <w:ind w:left="40"/>
              <w:spacing w:after="0"/>
              <w:rPr>
                <w:sz w:val="20"/>
                <w:szCs w:val="20"/>
                <w:color w:val="auto"/>
              </w:rPr>
            </w:pPr>
            <w:r>
              <w:rPr>
                <w:rFonts w:ascii="Arial" w:cs="Arial" w:eastAsia="Arial" w:hAnsi="Arial"/>
                <w:sz w:val="17"/>
                <w:szCs w:val="17"/>
                <w:color w:val="auto"/>
              </w:rPr>
              <w:t>Amount subject to Annual Limitation, federal only (B)</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2,100</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4,200</w:t>
            </w:r>
          </w:p>
        </w:tc>
        <w:tc>
          <w:tcPr>
            <w:tcW w:w="1720" w:type="dxa"/>
            <w:vAlign w:val="bottom"/>
          </w:tcPr>
          <w:p>
            <w:pPr>
              <w:ind w:left="380"/>
              <w:spacing w:after="0"/>
              <w:rPr>
                <w:sz w:val="20"/>
                <w:szCs w:val="20"/>
                <w:color w:val="auto"/>
              </w:rPr>
            </w:pPr>
            <w:r>
              <w:rPr>
                <w:rFonts w:ascii="Arial" w:cs="Arial" w:eastAsia="Arial" w:hAnsi="Arial"/>
                <w:sz w:val="17"/>
                <w:szCs w:val="17"/>
                <w:color w:val="auto"/>
                <w:w w:val="88"/>
              </w:rPr>
              <w:t>December 31, 2019</w:t>
            </w:r>
          </w:p>
        </w:tc>
        <w:tc>
          <w:tcPr>
            <w:tcW w:w="20" w:type="dxa"/>
            <w:vAlign w:val="bottom"/>
          </w:tcPr>
          <w:p>
            <w:pPr>
              <w:spacing w:after="0"/>
              <w:rPr>
                <w:sz w:val="18"/>
                <w:szCs w:val="18"/>
                <w:color w:val="auto"/>
              </w:rPr>
            </w:pPr>
          </w:p>
        </w:tc>
      </w:tr>
      <w:tr>
        <w:trPr>
          <w:trHeight w:val="252"/>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deferred tax asset from net operating loss carryovers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87,018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103,655</w:t>
            </w:r>
          </w:p>
        </w:tc>
        <w:tc>
          <w:tcPr>
            <w:tcW w:w="17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bl>
    <w:p>
      <w:pPr>
        <w:spacing w:after="0" w:line="203" w:lineRule="exact"/>
        <w:rPr>
          <w:sz w:val="20"/>
          <w:szCs w:val="20"/>
          <w:color w:val="auto"/>
        </w:rPr>
      </w:pPr>
    </w:p>
    <w:p>
      <w:pPr>
        <w:jc w:val="both"/>
        <w:ind w:left="640" w:firstLine="2"/>
        <w:spacing w:after="0" w:line="266" w:lineRule="auto"/>
        <w:tabs>
          <w:tab w:leader="none" w:pos="931" w:val="left"/>
        </w:tabs>
        <w:numPr>
          <w:ilvl w:val="0"/>
          <w:numId w:val="10"/>
        </w:numPr>
        <w:rPr>
          <w:rFonts w:ascii="Arial" w:cs="Arial" w:eastAsia="Arial" w:hAnsi="Arial"/>
          <w:sz w:val="17"/>
          <w:szCs w:val="17"/>
          <w:color w:val="auto"/>
        </w:rPr>
      </w:pPr>
      <w:r>
        <w:rPr>
          <w:rFonts w:ascii="Arial" w:cs="Arial" w:eastAsia="Arial" w:hAnsi="Arial"/>
          <w:sz w:val="17"/>
          <w:szCs w:val="17"/>
          <w:color w:val="auto"/>
        </w:rPr>
        <w:t>Kingstone generates operating losses for state purposes and has prior year NOLs available. The state NOL as of September 30, 2018 and December 31, 2017 was approximately $17,631,000 and $12,692,000, respectively. KICO is not subject to state income taxes. KICO’s state tax obligations are paid through a gross premiums tax, which is included in the condensed consolidated statements of income and comprehensive income within other underwriting expenses. A valuation allowance has been recorded due to the uncertainty of generating enough state taxable income to utilize 100% of the available state NOLs over their remaining lives, which expire between 2027 and 2038.</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36" w:name="page37"/>
    <w:bookmarkEnd w:id="36"/>
    <w:p>
      <w:pPr>
        <w:jc w:val="both"/>
        <w:ind w:left="640" w:firstLine="2"/>
        <w:spacing w:after="0" w:line="273" w:lineRule="auto"/>
        <w:tabs>
          <w:tab w:leader="none" w:pos="9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has an NOL of $10,000 that is subject to Internal Revenue Code Section 382, which places a limitation on the utilization of the federal NOL loss to approximately $10,000 per year (“Annual Limitation”) as a result of a greater than 50% ownership change of the Company in 1999. The loss subject to the Annual Limitation will expire on December 31, 2019.</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  Deferred tax liability – Investment in KICO</w:t>
      </w:r>
    </w:p>
    <w:p>
      <w:pPr>
        <w:spacing w:after="0" w:line="22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had no material unrecognized tax benefit and no adjustments to liabilities or operations were required. There were no interest or penalties related to income taxes that have been accrued or recognized as of and for the nine months ended September 30, 2018 and 2017. If any had been recognized these would have been reported in income tax expense.</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Generally, taxing authorities may examine the Company’s tax returns for the three years from the date of filing. The Company’s tax returns for the years ended December 31, 2014 through December 31, 2017 remain subject to examination. In March 2018, the Company received a notice that its federal income tax return for the year ended December 31, 2016 was selected for examination by the Internal Revenue Service. The final results of this examination are unknown, although management believes that the return, as filed, is fully compliant with applicable tax code.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Earnings Per Common Share</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Basic earnings per common share is computed by dividing income available to common stockholders by the weighted-average number of common shares outstanding. Diluted earnings per common share reflect, in periods in which they have a dilutive effect, the impact of common shares issuable upon exercise of stock options as well as non-vested restricted stock awards. The computation of diluted earnings per common share excludes those options with an exercise price in excess of the average market price of the Company’s common shares during the periods presented. The computation of diluted earnings per common share excludes outstanding options in periods where the exercise of such options would be anti-dilutive.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The reconciliation of the weighted average number of common shares used in the calculation of basic and diluted earnings per common share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20" w:type="dxa"/>
            <w:vAlign w:val="bottom"/>
          </w:tcPr>
          <w:p>
            <w:pPr>
              <w:spacing w:after="0"/>
              <w:rPr>
                <w:sz w:val="14"/>
                <w:szCs w:val="14"/>
                <w:color w:val="auto"/>
              </w:rPr>
            </w:pPr>
          </w:p>
        </w:tc>
        <w:tc>
          <w:tcPr>
            <w:tcW w:w="2940" w:type="dxa"/>
            <w:vAlign w:val="bottom"/>
            <w:gridSpan w:val="2"/>
          </w:tcPr>
          <w:p>
            <w:pPr>
              <w:jc w:val="right"/>
              <w:ind w:right="817"/>
              <w:spacing w:after="0"/>
              <w:rPr>
                <w:sz w:val="20"/>
                <w:szCs w:val="20"/>
                <w:color w:val="auto"/>
              </w:rPr>
            </w:pPr>
            <w:r>
              <w:rPr>
                <w:rFonts w:ascii="Arial" w:cs="Arial" w:eastAsia="Arial" w:hAnsi="Arial"/>
                <w:sz w:val="15"/>
                <w:szCs w:val="15"/>
                <w:b w:val="1"/>
                <w:bCs w:val="1"/>
                <w:color w:val="auto"/>
              </w:rPr>
              <w:t>Three months ended</w:t>
            </w:r>
          </w:p>
        </w:tc>
        <w:tc>
          <w:tcPr>
            <w:tcW w:w="2600" w:type="dxa"/>
            <w:vAlign w:val="bottom"/>
            <w:gridSpan w:val="2"/>
          </w:tcPr>
          <w:p>
            <w:pPr>
              <w:jc w:val="right"/>
              <w:ind w:right="677"/>
              <w:spacing w:after="0"/>
              <w:rPr>
                <w:sz w:val="20"/>
                <w:szCs w:val="20"/>
                <w:color w:val="auto"/>
              </w:rPr>
            </w:pPr>
            <w:r>
              <w:rPr>
                <w:rFonts w:ascii="Arial" w:cs="Arial" w:eastAsia="Arial" w:hAnsi="Arial"/>
                <w:sz w:val="15"/>
                <w:szCs w:val="15"/>
                <w:b w:val="1"/>
                <w:bCs w:val="1"/>
                <w:color w:val="auto"/>
              </w:rPr>
              <w:t>Nine months ended</w:t>
            </w:r>
          </w:p>
        </w:tc>
      </w:tr>
      <w:tr>
        <w:trPr>
          <w:trHeight w:val="179"/>
        </w:trPr>
        <w:tc>
          <w:tcPr>
            <w:tcW w:w="6020" w:type="dxa"/>
            <w:vAlign w:val="bottom"/>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w:t>
            </w:r>
          </w:p>
        </w:tc>
        <w:tc>
          <w:tcPr>
            <w:tcW w:w="10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w:t>
            </w:r>
          </w:p>
        </w:tc>
        <w:tc>
          <w:tcPr>
            <w:tcW w:w="920" w:type="dxa"/>
            <w:vAlign w:val="bottom"/>
            <w:tcBorders>
              <w:bottom w:val="single" w:sz="8" w:color="auto"/>
            </w:tcBorders>
          </w:tcPr>
          <w:p>
            <w:pPr>
              <w:spacing w:after="0"/>
              <w:rPr>
                <w:sz w:val="15"/>
                <w:szCs w:val="15"/>
                <w:color w:val="auto"/>
              </w:rPr>
            </w:pPr>
          </w:p>
        </w:tc>
      </w:tr>
      <w:tr>
        <w:trPr>
          <w:trHeight w:val="165"/>
        </w:trPr>
        <w:tc>
          <w:tcPr>
            <w:tcW w:w="6020" w:type="dxa"/>
            <w:vAlign w:val="bottom"/>
          </w:tcPr>
          <w:p>
            <w:pPr>
              <w:spacing w:after="0"/>
              <w:rPr>
                <w:sz w:val="14"/>
                <w:szCs w:val="14"/>
                <w:color w:val="auto"/>
              </w:rPr>
            </w:pPr>
          </w:p>
        </w:tc>
        <w:tc>
          <w:tcPr>
            <w:tcW w:w="1860" w:type="dxa"/>
            <w:vAlign w:val="bottom"/>
            <w:tcBorders>
              <w:bottom w:val="single" w:sz="8" w:color="auto"/>
            </w:tcBorders>
          </w:tcPr>
          <w:p>
            <w:pPr>
              <w:jc w:val="right"/>
              <w:ind w:right="920"/>
              <w:spacing w:after="0" w:line="159" w:lineRule="exact"/>
              <w:rPr>
                <w:sz w:val="20"/>
                <w:szCs w:val="20"/>
                <w:color w:val="auto"/>
              </w:rPr>
            </w:pPr>
            <w:r>
              <w:rPr>
                <w:rFonts w:ascii="Arial" w:cs="Arial" w:eastAsia="Arial" w:hAnsi="Arial"/>
                <w:sz w:val="15"/>
                <w:szCs w:val="15"/>
                <w:b w:val="1"/>
                <w:bCs w:val="1"/>
                <w:color w:val="auto"/>
              </w:rPr>
              <w:t>2018</w:t>
            </w:r>
          </w:p>
        </w:tc>
        <w:tc>
          <w:tcPr>
            <w:tcW w:w="1080" w:type="dxa"/>
            <w:vAlign w:val="bottom"/>
            <w:tcBorders>
              <w:bottom w:val="single" w:sz="8" w:color="auto"/>
            </w:tcBorders>
          </w:tcPr>
          <w:p>
            <w:pPr>
              <w:jc w:val="right"/>
              <w:ind w:right="617"/>
              <w:spacing w:after="0" w:line="159" w:lineRule="exact"/>
              <w:rPr>
                <w:sz w:val="20"/>
                <w:szCs w:val="20"/>
                <w:color w:val="auto"/>
              </w:rPr>
            </w:pPr>
            <w:r>
              <w:rPr>
                <w:rFonts w:ascii="Arial" w:cs="Arial" w:eastAsia="Arial" w:hAnsi="Arial"/>
                <w:sz w:val="15"/>
                <w:szCs w:val="15"/>
                <w:b w:val="1"/>
                <w:bCs w:val="1"/>
                <w:color w:val="auto"/>
              </w:rPr>
              <w:t>2017</w:t>
            </w:r>
          </w:p>
        </w:tc>
        <w:tc>
          <w:tcPr>
            <w:tcW w:w="1680" w:type="dxa"/>
            <w:vAlign w:val="bottom"/>
            <w:tcBorders>
              <w:bottom w:val="single" w:sz="8" w:color="auto"/>
            </w:tcBorders>
          </w:tcPr>
          <w:p>
            <w:pPr>
              <w:jc w:val="right"/>
              <w:ind w:right="900"/>
              <w:spacing w:after="0" w:line="159" w:lineRule="exact"/>
              <w:rPr>
                <w:sz w:val="20"/>
                <w:szCs w:val="20"/>
                <w:color w:val="auto"/>
              </w:rPr>
            </w:pPr>
            <w:r>
              <w:rPr>
                <w:rFonts w:ascii="Arial" w:cs="Arial" w:eastAsia="Arial" w:hAnsi="Arial"/>
                <w:sz w:val="15"/>
                <w:szCs w:val="15"/>
                <w:b w:val="1"/>
                <w:bCs w:val="1"/>
                <w:color w:val="auto"/>
              </w:rPr>
              <w:t>2018</w:t>
            </w:r>
          </w:p>
        </w:tc>
        <w:tc>
          <w:tcPr>
            <w:tcW w:w="920" w:type="dxa"/>
            <w:vAlign w:val="bottom"/>
            <w:tcBorders>
              <w:bottom w:val="single" w:sz="8" w:color="auto"/>
            </w:tcBorders>
          </w:tcPr>
          <w:p>
            <w:pPr>
              <w:jc w:val="right"/>
              <w:ind w:right="437"/>
              <w:spacing w:after="0" w:line="159" w:lineRule="exact"/>
              <w:rPr>
                <w:sz w:val="20"/>
                <w:szCs w:val="20"/>
                <w:color w:val="auto"/>
              </w:rPr>
            </w:pPr>
            <w:r>
              <w:rPr>
                <w:rFonts w:ascii="Arial" w:cs="Arial" w:eastAsia="Arial" w:hAnsi="Arial"/>
                <w:sz w:val="15"/>
                <w:szCs w:val="15"/>
                <w:b w:val="1"/>
                <w:bCs w:val="1"/>
                <w:color w:val="auto"/>
              </w:rPr>
              <w:t>2017</w:t>
            </w:r>
          </w:p>
        </w:tc>
      </w:tr>
      <w:tr>
        <w:trPr>
          <w:trHeight w:val="238"/>
        </w:trPr>
        <w:tc>
          <w:tcPr>
            <w:tcW w:w="6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number of shares outstanding</w:t>
            </w:r>
          </w:p>
        </w:tc>
        <w:tc>
          <w:tcPr>
            <w:tcW w:w="1860" w:type="dxa"/>
            <w:vAlign w:val="bottom"/>
            <w:shd w:val="clear" w:color="auto" w:fill="CCEEFF"/>
          </w:tcPr>
          <w:p>
            <w:pPr>
              <w:jc w:val="right"/>
              <w:ind w:right="540"/>
              <w:spacing w:after="0"/>
              <w:rPr>
                <w:sz w:val="20"/>
                <w:szCs w:val="20"/>
                <w:color w:val="auto"/>
              </w:rPr>
            </w:pPr>
            <w:r>
              <w:rPr>
                <w:rFonts w:ascii="Arial" w:cs="Arial" w:eastAsia="Arial" w:hAnsi="Arial"/>
                <w:sz w:val="17"/>
                <w:szCs w:val="17"/>
                <w:color w:val="auto"/>
              </w:rPr>
              <w:t>10,681,329</w:t>
            </w:r>
          </w:p>
        </w:tc>
        <w:tc>
          <w:tcPr>
            <w:tcW w:w="108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9"/>
              </w:rPr>
              <w:t>10,626,242</w:t>
            </w:r>
          </w:p>
        </w:tc>
        <w:tc>
          <w:tcPr>
            <w:tcW w:w="168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rPr>
              <w:t>10,672,084</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9"/>
              </w:rPr>
              <w:t>10,307,689</w:t>
            </w:r>
          </w:p>
        </w:tc>
      </w:tr>
      <w:tr>
        <w:trPr>
          <w:trHeight w:val="212"/>
        </w:trPr>
        <w:tc>
          <w:tcPr>
            <w:tcW w:w="6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Effect of dilutive securities, common share equivalents</w:t>
            </w:r>
          </w:p>
        </w:tc>
        <w:tc>
          <w:tcPr>
            <w:tcW w:w="1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Stock options</w:t>
            </w:r>
          </w:p>
        </w:tc>
        <w:tc>
          <w:tcPr>
            <w:tcW w:w="1860" w:type="dxa"/>
            <w:vAlign w:val="bottom"/>
          </w:tcPr>
          <w:p>
            <w:pPr>
              <w:jc w:val="right"/>
              <w:ind w:right="540"/>
              <w:spacing w:after="0"/>
              <w:rPr>
                <w:sz w:val="20"/>
                <w:szCs w:val="20"/>
                <w:color w:val="auto"/>
              </w:rPr>
            </w:pPr>
            <w:r>
              <w:rPr>
                <w:rFonts w:ascii="Arial" w:cs="Arial" w:eastAsia="Arial" w:hAnsi="Arial"/>
                <w:sz w:val="17"/>
                <w:szCs w:val="17"/>
                <w:color w:val="auto"/>
              </w:rPr>
              <w:t>98,749</w:t>
            </w:r>
          </w:p>
        </w:tc>
        <w:tc>
          <w:tcPr>
            <w:tcW w:w="1080" w:type="dxa"/>
            <w:vAlign w:val="bottom"/>
          </w:tcPr>
          <w:p>
            <w:pPr>
              <w:jc w:val="right"/>
              <w:ind w:right="217"/>
              <w:spacing w:after="0"/>
              <w:rPr>
                <w:sz w:val="20"/>
                <w:szCs w:val="20"/>
                <w:color w:val="auto"/>
              </w:rPr>
            </w:pPr>
            <w:r>
              <w:rPr>
                <w:rFonts w:ascii="Arial" w:cs="Arial" w:eastAsia="Arial" w:hAnsi="Arial"/>
                <w:sz w:val="17"/>
                <w:szCs w:val="17"/>
                <w:color w:val="auto"/>
              </w:rPr>
              <w:t>197,133</w:t>
            </w:r>
          </w:p>
        </w:tc>
        <w:tc>
          <w:tcPr>
            <w:tcW w:w="1680" w:type="dxa"/>
            <w:vAlign w:val="bottom"/>
          </w:tcPr>
          <w:p>
            <w:pPr>
              <w:jc w:val="right"/>
              <w:ind w:right="520"/>
              <w:spacing w:after="0"/>
              <w:rPr>
                <w:sz w:val="20"/>
                <w:szCs w:val="20"/>
                <w:color w:val="auto"/>
              </w:rPr>
            </w:pPr>
            <w:r>
              <w:rPr>
                <w:rFonts w:ascii="Arial" w:cs="Arial" w:eastAsia="Arial" w:hAnsi="Arial"/>
                <w:sz w:val="17"/>
                <w:szCs w:val="17"/>
                <w:color w:val="auto"/>
              </w:rPr>
              <w:t>100,628</w:t>
            </w:r>
          </w:p>
        </w:tc>
        <w:tc>
          <w:tcPr>
            <w:tcW w:w="920" w:type="dxa"/>
            <w:vAlign w:val="bottom"/>
          </w:tcPr>
          <w:p>
            <w:pPr>
              <w:jc w:val="right"/>
              <w:ind w:right="57"/>
              <w:spacing w:after="0"/>
              <w:rPr>
                <w:sz w:val="20"/>
                <w:szCs w:val="20"/>
                <w:color w:val="auto"/>
              </w:rPr>
            </w:pPr>
            <w:r>
              <w:rPr>
                <w:rFonts w:ascii="Arial" w:cs="Arial" w:eastAsia="Arial" w:hAnsi="Arial"/>
                <w:sz w:val="17"/>
                <w:szCs w:val="17"/>
                <w:color w:val="auto"/>
              </w:rPr>
              <w:t>189,211</w:t>
            </w:r>
          </w:p>
        </w:tc>
      </w:tr>
      <w:tr>
        <w:trPr>
          <w:trHeight w:val="218"/>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Restricted stock awards</w:t>
            </w:r>
          </w:p>
        </w:tc>
        <w:tc>
          <w:tcPr>
            <w:tcW w:w="186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7"/>
                <w:szCs w:val="17"/>
                <w:color w:val="auto"/>
              </w:rPr>
              <w:t>11,045</w:t>
            </w:r>
          </w:p>
        </w:tc>
        <w:tc>
          <w:tcPr>
            <w:tcW w:w="10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rPr>
              <w:t>9,364</w:t>
            </w:r>
          </w:p>
        </w:tc>
        <w:tc>
          <w:tcPr>
            <w:tcW w:w="168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7"/>
                <w:szCs w:val="17"/>
                <w:color w:val="auto"/>
              </w:rPr>
              <w:t>7,878</w:t>
            </w: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3,372</w:t>
            </w:r>
          </w:p>
        </w:tc>
      </w:tr>
      <w:tr>
        <w:trPr>
          <w:trHeight w:val="212"/>
        </w:trPr>
        <w:tc>
          <w:tcPr>
            <w:tcW w:w="6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number of shares outstanding,</w:t>
            </w:r>
          </w:p>
        </w:tc>
        <w:tc>
          <w:tcPr>
            <w:tcW w:w="1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used for computing diluted earnings per share</w:t>
            </w:r>
          </w:p>
        </w:tc>
        <w:tc>
          <w:tcPr>
            <w:tcW w:w="1860" w:type="dxa"/>
            <w:vAlign w:val="bottom"/>
            <w:tcBorders>
              <w:bottom w:val="single" w:sz="8" w:color="auto"/>
            </w:tcBorders>
          </w:tcPr>
          <w:p>
            <w:pPr>
              <w:jc w:val="right"/>
              <w:ind w:right="540"/>
              <w:spacing w:after="0"/>
              <w:rPr>
                <w:sz w:val="20"/>
                <w:szCs w:val="20"/>
                <w:color w:val="auto"/>
              </w:rPr>
            </w:pPr>
            <w:r>
              <w:rPr>
                <w:rFonts w:ascii="Arial" w:cs="Arial" w:eastAsia="Arial" w:hAnsi="Arial"/>
                <w:sz w:val="17"/>
                <w:szCs w:val="17"/>
                <w:color w:val="auto"/>
              </w:rPr>
              <w:t>10,791,123</w:t>
            </w:r>
          </w:p>
        </w:tc>
        <w:tc>
          <w:tcPr>
            <w:tcW w:w="108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w w:val="89"/>
              </w:rPr>
              <w:t>10,832,739</w:t>
            </w:r>
          </w:p>
        </w:tc>
        <w:tc>
          <w:tcPr>
            <w:tcW w:w="1680" w:type="dxa"/>
            <w:vAlign w:val="bottom"/>
            <w:tcBorders>
              <w:bottom w:val="single" w:sz="8" w:color="auto"/>
            </w:tcBorders>
          </w:tcPr>
          <w:p>
            <w:pPr>
              <w:jc w:val="right"/>
              <w:ind w:right="520"/>
              <w:spacing w:after="0"/>
              <w:rPr>
                <w:sz w:val="20"/>
                <w:szCs w:val="20"/>
                <w:color w:val="auto"/>
              </w:rPr>
            </w:pPr>
            <w:r>
              <w:rPr>
                <w:rFonts w:ascii="Arial" w:cs="Arial" w:eastAsia="Arial" w:hAnsi="Arial"/>
                <w:sz w:val="17"/>
                <w:szCs w:val="17"/>
                <w:color w:val="auto"/>
              </w:rPr>
              <w:t>10,780,590</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9"/>
              </w:rPr>
              <w:t>10,500,272</w:t>
            </w:r>
          </w:p>
        </w:tc>
      </w:tr>
      <w:tr>
        <w:trPr>
          <w:trHeight w:val="20"/>
        </w:trPr>
        <w:tc>
          <w:tcPr>
            <w:tcW w:w="60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Commitments and Contingencies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Litigation</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Office Lease</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is a party to a non-cancellable operating lease, dated March 27, 2015, for its office facility for KICO located in Valley Stream, New York. In June 2016, the Company entered into a lease modification agreement. The original lease had a term of seven years and nine months. The lease modification increased the space occupied by KICO and extended the lease term to seven years and nine months to be measured from the additional premises commencement date. The additional premises commencement date was September 19, 2016, and additional rent was payable beginning March 19, 2017. The original lease commencement date was July 1, 2015 and rent commencement began January 1, 2016.</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base rental costs, occupancy lease agreements generally provide for rent escalations resulting from increased assessments from real estate taxes and other charges. Rent expense under the lease is recognized on a straight-line basis over the lease term. At September 30, 2018, cumulative rent expense exceeded cumulative rent payments by $91,900. This difference is recorded as deferred rent and is included in accounts payable, accrued expenses and other liabilities in the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2018, aggregate future minimum rental commitments under the Company’s modified lease agreement are as follows: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2"/>
        </w:trPr>
        <w:tc>
          <w:tcPr>
            <w:tcW w:w="10180" w:type="dxa"/>
            <w:vAlign w:val="bottom"/>
          </w:tcPr>
          <w:p>
            <w:pPr>
              <w:jc w:val="center"/>
              <w:spacing w:after="0"/>
              <w:rPr>
                <w:sz w:val="20"/>
                <w:szCs w:val="20"/>
                <w:color w:val="auto"/>
              </w:rPr>
            </w:pPr>
            <w:r>
              <w:rPr>
                <w:rFonts w:ascii="Arial" w:cs="Arial" w:eastAsia="Arial" w:hAnsi="Arial"/>
                <w:sz w:val="15"/>
                <w:szCs w:val="15"/>
                <w:b w:val="1"/>
                <w:bCs w:val="1"/>
                <w:color w:val="auto"/>
                <w:w w:val="89"/>
              </w:rPr>
              <w:t>For the Year</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9"/>
        </w:trPr>
        <w:tc>
          <w:tcPr>
            <w:tcW w:w="1018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90"/>
              </w:rPr>
              <w:t>Ending</w:t>
            </w: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9"/>
        </w:trPr>
        <w:tc>
          <w:tcPr>
            <w:tcW w:w="10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December 31,</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5"/>
                <w:szCs w:val="15"/>
                <w:b w:val="1"/>
                <w:bCs w:val="1"/>
                <w:color w:val="auto"/>
              </w:rPr>
              <w:t>Total</w:t>
            </w:r>
          </w:p>
        </w:tc>
      </w:tr>
      <w:tr>
        <w:trPr>
          <w:trHeight w:val="212"/>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2018 (three months)</w:t>
            </w:r>
          </w:p>
        </w:tc>
        <w:tc>
          <w:tcPr>
            <w:tcW w:w="4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41,379</w:t>
            </w:r>
          </w:p>
        </w:tc>
      </w:tr>
      <w:tr>
        <w:trPr>
          <w:trHeight w:val="212"/>
        </w:trPr>
        <w:tc>
          <w:tcPr>
            <w:tcW w:w="10180" w:type="dxa"/>
            <w:vAlign w:val="bottom"/>
          </w:tcPr>
          <w:p>
            <w:pPr>
              <w:spacing w:after="0"/>
              <w:rPr>
                <w:sz w:val="20"/>
                <w:szCs w:val="20"/>
                <w:color w:val="auto"/>
              </w:rPr>
            </w:pPr>
            <w:r>
              <w:rPr>
                <w:rFonts w:ascii="Arial" w:cs="Arial" w:eastAsia="Arial" w:hAnsi="Arial"/>
                <w:sz w:val="17"/>
                <w:szCs w:val="17"/>
                <w:color w:val="auto"/>
              </w:rPr>
              <w:t>2019</w:t>
            </w:r>
          </w:p>
        </w:tc>
        <w:tc>
          <w:tcPr>
            <w:tcW w:w="40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color w:val="auto"/>
              </w:rPr>
              <w:t>169,861</w:t>
            </w:r>
          </w:p>
        </w:tc>
      </w:tr>
      <w:tr>
        <w:trPr>
          <w:trHeight w:val="212"/>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175,806</w:t>
            </w:r>
          </w:p>
        </w:tc>
      </w:tr>
      <w:tr>
        <w:trPr>
          <w:trHeight w:val="212"/>
        </w:trPr>
        <w:tc>
          <w:tcPr>
            <w:tcW w:w="10180" w:type="dxa"/>
            <w:vAlign w:val="bottom"/>
          </w:tcPr>
          <w:p>
            <w:pPr>
              <w:spacing w:after="0"/>
              <w:rPr>
                <w:sz w:val="20"/>
                <w:szCs w:val="20"/>
                <w:color w:val="auto"/>
              </w:rPr>
            </w:pPr>
            <w:r>
              <w:rPr>
                <w:rFonts w:ascii="Arial" w:cs="Arial" w:eastAsia="Arial" w:hAnsi="Arial"/>
                <w:sz w:val="17"/>
                <w:szCs w:val="17"/>
                <w:color w:val="auto"/>
              </w:rPr>
              <w:t>2021</w:t>
            </w:r>
          </w:p>
        </w:tc>
        <w:tc>
          <w:tcPr>
            <w:tcW w:w="40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color w:val="auto"/>
              </w:rPr>
              <w:t>181,959</w:t>
            </w:r>
          </w:p>
        </w:tc>
      </w:tr>
      <w:tr>
        <w:trPr>
          <w:trHeight w:val="212"/>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188,328</w:t>
            </w:r>
          </w:p>
        </w:tc>
      </w:tr>
      <w:tr>
        <w:trPr>
          <w:trHeight w:val="218"/>
        </w:trPr>
        <w:tc>
          <w:tcPr>
            <w:tcW w:w="1018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244,064</w:t>
            </w:r>
          </w:p>
        </w:tc>
      </w:tr>
      <w:tr>
        <w:trPr>
          <w:trHeight w:val="252"/>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4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1,001,397</w:t>
            </w:r>
          </w:p>
        </w:tc>
      </w:tr>
    </w:tbl>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Rent expense for the three months ended September 30, 2018 and 2017 amounted to $41,342 for each period. Rent expense for the nine months ended September 30, 2018 and 2017 amounted to $124,026 for each period. Rent expense is included in the condensed consolidated statements of income and comprehensive income within other underwriting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Employment Agreement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Barry Goldstein</w:t>
      </w:r>
    </w:p>
    <w:p>
      <w:pPr>
        <w:spacing w:after="0" w:line="228"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On October 16, 2018, the Company entered into an amended and restated employment agreement with Barry Goldstein, its President, Chairman of the Board and Chief Executive Officer, effective as of January 1, 2019 and expiring on December 31, 2021 (the “Amended Employment Agreement”). Pursuant to the Amended Employment Agreement, Mr. Goldstein will step down as Chief Executive Officer on January 1, 2019 and has currently been named Executive Chairman of the Board.</w:t>
      </w:r>
    </w:p>
    <w:p>
      <w:pPr>
        <w:spacing w:after="0" w:line="14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Mr. Goldstein will be entitled to receive an annual base salary of $636,500 for the calendar year 2019 and $500,000 for each of the calendar years 2020 and 2021. In addition, Mr. Goldstein is eligible to receive an annual performance bonus equal to 3% of the Company’s consolidated income from operations before taxes, exclusive of the Company’s consolidated net investment income (loss) and net realized gains (losses) on investments. In addition, pursuant to the Amended Employment Agreement, Mr. Goldstein will continue to be entitled to a long-term compensation award (“LTC”) (which is a continuation of the previous terms under the agreement in effect since January 1, 2017) of between $945,000 and $2,835,000 based on a specified minimum increase in the Company’s adjusted book value per share (as defined in the Amended Employment Agreement) as of December 31, 2019 as compared to December 31, 2016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separation payments equal to his then applicable base salary, the 3% bonus and the LTC payment for the remainder of the term. Mr. Goldstein would be entitled, under certain circumstances, to a payment equal to three times his then annual salary and the target LTC payment in the event of the termination of his employment following a change of control of the Company. Pursuant to the Amended Employment Agreement, Mr. Goldstein will be entitled to receive a grant, under the terms of the 2014 Plan, during the first 30 days of January 2020, with respect to a number of shares of restricted stock determined by dividing $436,500 by the fair market value of the Company stock on the date of grant. The January 2020 grant will become vested with respect to fifty percent (50%) of the award on each of December 31, 2020 and December 31, 2021 based on continued provision of services on each vesting date. Also pursuant to the Amended Employment Agreement, Mr. Goldstein will be entitled to receive a grant, under the 2014 Plan, during the first 30 days of 2021, with respect to a number of shares of restricted stock determined by dividing $236,500 by the fair market value of the Company stock on the date of grant. The January 2021 grant will become vested as of December 31, 2021 based on continued provision of services on the vesting date.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56" w:right="179" w:bottom="1440" w:gutter="0" w:footer="0" w:header="0"/>
        </w:sectPr>
      </w:pPr>
    </w:p>
    <w:bookmarkStart w:id="39" w:name="page40"/>
    <w:bookmarkEnd w:id="39"/>
    <w:p>
      <w:pPr>
        <w:spacing w:after="0"/>
        <w:rPr>
          <w:sz w:val="20"/>
          <w:szCs w:val="20"/>
          <w:color w:val="auto"/>
        </w:rPr>
      </w:pPr>
      <w:r>
        <w:rPr>
          <w:rFonts w:ascii="Arial" w:cs="Arial" w:eastAsia="Arial" w:hAnsi="Arial"/>
          <w:sz w:val="17"/>
          <w:szCs w:val="17"/>
          <w:i w:val="1"/>
          <w:iCs w:val="1"/>
          <w:color w:val="auto"/>
        </w:rPr>
        <w:t>Dale A. Thatcher</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Agreement in effect for the year ended December 31, 2018</w:t>
      </w: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14, 2018, the Company and Dale A. Thatcher, a director of the Company, entered into an employment agreement (the “Thatcher Employment Agreement”) pursuant to which Mr. Thatcher serves as the Company’s Chief Operating Officer. Mr. Thatcher also serves as KICO’s President. The Thatcher Employment Agreement became effective as of March 15, 2018 and expires on December 31, 2018.</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Thatcher Employment Agreement, Mr. Thatcher is entitled to receive a base salary of $500,000 per annum and a minimum bonus equal to 15% of his base salary. Concurrently with the execution of the Thatcher Employment Agreement, the Company granted to Mr. Thatcher 35,715 shares of restricted Common Stock under the 2014 Plan. The shares granted will vest in three equal installments on each of the three anniversaries following the grant date, subject to the terms of the restricted stock grant agreement between the Company and Mr. Thatcher.</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  Agreement in effect as of January 1, 2019</w:t>
      </w: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16, 2018, the Company and Mr. Thatcher entered into an Employment Agreement effective as of January 1, 2019 and expiring on December 31, 2021 (the “2019 Thatcher Employment Agreement”). Pursuant to the 2019 Thatcher Employment Agreement, Mr. Thatcher will be promoted at such time to succeed Mr. Goldstein as Chief Executive Officer. Mr. Thatcher will continue to serve as a director and will remain President of KICO.</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Mr. Thatcher will be entitled to receive an annual base salary of $500,000 for 2019, $630,000 for 2020 and no increase in 2021. In addition, Mr. Thatcher is eligible to receive an annual performance bonus equal to 3% of the Company’s consolidated income from operations before taxes, exclusive of the Company’s consolidated net investment income (loss) and net realized gains (losses) on investments. Pursuant to the 2019 Thatcher Employment Agreement, in the event that Mr. Thatcher’s employment is terminated by the Company without cause or he resigns for good reason (each as defined in the 2019 Thatcher Employment Agreement), Mr. Thatcher would be entitled to receive separation payments equal to his then applicable base salary and the 3% bonus for the remainder of the term. Pursuant to the 2019 Thatcher Employment Agreement, Mr. Thatcher will be entitled to receive a grant, under the terms of the 2014 Equity Plan, with respect to a number of shares of restricted stock in each of 2019, 2020 and 2021 determined by dividing $750,000, $1,250,000 and $1,500,000, respectively, by the fair market value of the Company stock on the date of grant. Each grant vests ratably over a three year period from the date of grant.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Note 12 – Deferred Compensation Plan</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first payroll subject to the Deferred Compensation Plan was in July 2018. The deferred compensation liability as of September 30, 2018 amounted to $149,359 and is recorded in accounts payable, accrued expenses and other liabilities in the condensed consolidated balance sheets. The Company made voluntary contributions of $1,482 for the three months and nine months ended September 30, 2018, which are recorded in other operating expenses in the condensed consolidated statements of income and comprehensive income.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Subsequent Events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Company has evaluated events that occurred subsequent to September 30, 2018 through the date these condensed consolidated financial statements were issued for matters that required disclosure or adjustment in these condensed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On November 7, 2018, the Company’s Board of Directors approved a quarterly dividend of $.10 per share payable in cash on December 14, 2018 to stockholders of record as of the close of business on November 30, 2018 (see Note 8).</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Employment Agreements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See Note 11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69" w:right="179" w:bottom="1440" w:gutter="0" w:footer="0" w:header="0"/>
        </w:sectPr>
      </w:pPr>
    </w:p>
    <w:bookmarkStart w:id="41" w:name="page42"/>
    <w:bookmarkEnd w:id="41"/>
    <w:p>
      <w:pPr>
        <w:spacing w:after="0"/>
        <w:tabs>
          <w:tab w:leader="none" w:pos="1260" w:val="left"/>
        </w:tabs>
        <w:rPr>
          <w:sz w:val="20"/>
          <w:szCs w:val="20"/>
          <w:color w:val="auto"/>
        </w:rPr>
      </w:pPr>
      <w:r>
        <w:rPr>
          <w:rFonts w:ascii="Arial" w:cs="Arial" w:eastAsia="Arial" w:hAnsi="Arial"/>
          <w:sz w:val="17"/>
          <w:szCs w:val="17"/>
          <w:b w:val="1"/>
          <w:bCs w:val="1"/>
          <w:u w:val="single" w:color="auto"/>
          <w:color w:val="auto"/>
        </w:rPr>
        <w:t>ITEM 2</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68"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17"/>
          <w:szCs w:val="17"/>
          <w:color w:val="auto"/>
        </w:rPr>
        <w:t>We offer property and casualty insurance products to individuals and small businesses through our wholly owned subsidiary, Kingstone Insurance Company (“KICO”). KICO’s insureds are located primarily in downstate New York, consisting of New York City, Long Island and Westchester County, although we are actively writing business in New Jersey, Rhode Island, Pennsylvania and Massachusetts. We are licensed in the States of New York, New Jersey, Rhode Island, Massachusetts, Pennsylvania, Connecticut, Maine, New Hampshire and Texas. For the three months and nine months ended September 30, 2018, 92.6% and 94.5% of KICO’s direct written premiums came from the New York policies, respectively.</w:t>
      </w:r>
    </w:p>
    <w:p>
      <w:pPr>
        <w:spacing w:after="0" w:line="267" w:lineRule="exact"/>
        <w:rPr>
          <w:sz w:val="20"/>
          <w:szCs w:val="20"/>
          <w:color w:val="auto"/>
        </w:rPr>
      </w:pPr>
    </w:p>
    <w:p>
      <w:pPr>
        <w:jc w:val="both"/>
        <w:ind w:firstLine="636"/>
        <w:spacing w:after="0" w:line="307" w:lineRule="auto"/>
        <w:rPr>
          <w:sz w:val="20"/>
          <w:szCs w:val="20"/>
          <w:color w:val="auto"/>
        </w:rPr>
      </w:pPr>
      <w:r>
        <w:rPr>
          <w:rFonts w:ascii="Arial" w:cs="Arial" w:eastAsia="Arial" w:hAnsi="Arial"/>
          <w:sz w:val="15"/>
          <w:szCs w:val="15"/>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 year term. Earned premiums represent premiums received from insureds, which are recognized as revenue over the period of time that insurance coverage is provided (i.e., ratably over the one 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93"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6"/>
          <w:szCs w:val="16"/>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04"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Other operating expenses include our corporate expenses as a holding company. These expenses include legal and auditing fees, executive employment costs, interest expense and other costs directly associated with being a public company.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Lines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active product lines include the following:</w:t>
      </w:r>
    </w:p>
    <w:p>
      <w:pPr>
        <w:spacing w:after="0" w:line="162"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b w:val="1"/>
          <w:bCs w:val="1"/>
          <w:i w:val="1"/>
          <w:iCs w:val="1"/>
          <w:color w:val="auto"/>
        </w:rPr>
        <w:t xml:space="preserve">Personal lines: </w:t>
      </w:r>
      <w:r>
        <w:rPr>
          <w:rFonts w:ascii="Arial" w:cs="Arial" w:eastAsia="Arial" w:hAnsi="Arial"/>
          <w:sz w:val="17"/>
          <w:szCs w:val="17"/>
          <w:color w:val="auto"/>
        </w:rPr>
        <w:t>Our largest line of business is personal lines, consisting of homeowners, dwelling fire, cooperative/condominium, renters, and personal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umbrella policies.</w:t>
      </w:r>
    </w:p>
    <w:p>
      <w:pPr>
        <w:spacing w:after="0" w:line="102" w:lineRule="exact"/>
        <w:rPr>
          <w:sz w:val="20"/>
          <w:szCs w:val="20"/>
          <w:color w:val="auto"/>
        </w:rPr>
      </w:pPr>
    </w:p>
    <w:p>
      <w:pPr>
        <w:jc w:val="both"/>
        <w:ind w:firstLine="692"/>
        <w:spacing w:after="0" w:line="269"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We offer businessowners policies, which consist primarily of small business retail, service, and office risks without a residential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exposure. We also write artisan’s liability policies for small independent contractors with smaller sized workforces. In addition, we write special multi-peril policies for larger and more specialized businessowners risks, including those with limited residential exposures. Further, we offer commercial umbrella policies written above our supporting commercial lines policies.</w:t>
      </w:r>
    </w:p>
    <w:p>
      <w:pPr>
        <w:spacing w:after="0" w:line="117"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b w:val="1"/>
          <w:bCs w:val="1"/>
          <w:i w:val="1"/>
          <w:iCs w:val="1"/>
          <w:color w:val="auto"/>
        </w:rPr>
        <w:t xml:space="preserve">Livery physical damage: </w:t>
      </w:r>
      <w:r>
        <w:rPr>
          <w:rFonts w:ascii="Arial" w:cs="Arial" w:eastAsia="Arial" w:hAnsi="Arial"/>
          <w:sz w:val="17"/>
          <w:szCs w:val="17"/>
          <w:color w:val="auto"/>
        </w:rPr>
        <w:t>We write for-hire vehicle physical damage only policies for livery and car service vehicles and taxicabs. These policies insure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physical damage portion of insurance for such vehicles, with no liability coverage included.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69" w:right="179" w:bottom="1440" w:gutter="0" w:footer="0" w:header="0"/>
        </w:sectPr>
      </w:pPr>
    </w:p>
    <w:bookmarkStart w:id="42" w:name="page43"/>
    <w:bookmarkEnd w:id="42"/>
    <w:p>
      <w:pPr>
        <w:ind w:left="640"/>
        <w:spacing w:after="0"/>
        <w:rPr>
          <w:sz w:val="20"/>
          <w:szCs w:val="20"/>
          <w:color w:val="auto"/>
        </w:rPr>
      </w:pPr>
      <w:r>
        <w:rPr>
          <w:rFonts w:ascii="Arial" w:cs="Arial" w:eastAsia="Arial" w:hAnsi="Arial"/>
          <w:sz w:val="17"/>
          <w:szCs w:val="17"/>
          <w:b w:val="1"/>
          <w:bCs w:val="1"/>
          <w:i w:val="1"/>
          <w:iCs w:val="1"/>
          <w:color w:val="auto"/>
        </w:rPr>
        <w:t xml:space="preserve">Other: </w:t>
      </w:r>
      <w:r>
        <w:rPr>
          <w:rFonts w:ascii="Arial" w:cs="Arial" w:eastAsia="Arial" w:hAnsi="Arial"/>
          <w:sz w:val="17"/>
          <w:szCs w:val="17"/>
          <w:color w:val="auto"/>
        </w:rPr>
        <w:t>We write canine legal liability policies and also have a small participation in mandatory state joint underwriting associations.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Measures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utilize the following key measures in analyzing the results of our insurance underwriting business:</w:t>
      </w:r>
    </w:p>
    <w:p>
      <w:pPr>
        <w:spacing w:after="0" w:line="162"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b w:val="1"/>
          <w:bCs w:val="1"/>
          <w:i w:val="1"/>
          <w:iCs w:val="1"/>
          <w:color w:val="auto"/>
        </w:rPr>
        <w:t xml:space="preserve">Net loss ratio: </w:t>
      </w:r>
      <w:r>
        <w:rPr>
          <w:rFonts w:ascii="Arial" w:cs="Arial" w:eastAsia="Arial" w:hAnsi="Arial"/>
          <w:sz w:val="17"/>
          <w:szCs w:val="17"/>
          <w:color w:val="auto"/>
        </w:rPr>
        <w:t>The net loss ratio is a measure of the underwriting profitability of an insurance company’s business. Expressed as a percentage, this is the ratio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net losses and loss adjustment expenses (“LAE”) incurred to net premiums earned.</w:t>
      </w:r>
    </w:p>
    <w:p>
      <w:pPr>
        <w:spacing w:after="0" w:line="102"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 administering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14"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7"/>
          <w:szCs w:val="17"/>
          <w:b w:val="1"/>
          <w:bCs w:val="1"/>
          <w:i w:val="1"/>
          <w:iCs w:val="1"/>
          <w:color w:val="auto"/>
        </w:rPr>
        <w:t xml:space="preserve">Net combined ratio: </w:t>
      </w:r>
      <w:r>
        <w:rPr>
          <w:rFonts w:ascii="Arial" w:cs="Arial" w:eastAsia="Arial" w:hAnsi="Arial"/>
          <w:sz w:val="17"/>
          <w:szCs w:val="17"/>
          <w:color w:val="auto"/>
        </w:rPr>
        <w:t>The net combined ratio is a measure of an insurance company’s overall underwriting profit. This is the sum of the net loss and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underwriting expense ratios. If the net combined ratio is at or above 100 percent, an insurance company cannot be profitable without investment income, and may not be profitable if investment income is insufficient.</w:t>
      </w:r>
    </w:p>
    <w:p>
      <w:pPr>
        <w:spacing w:after="0" w:line="114"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7"/>
          <w:szCs w:val="17"/>
          <w:b w:val="1"/>
          <w:bCs w:val="1"/>
          <w:i w:val="1"/>
          <w:iCs w:val="1"/>
          <w:color w:val="auto"/>
        </w:rPr>
        <w:t xml:space="preserve">Underwriting income: </w:t>
      </w:r>
      <w:r>
        <w:rPr>
          <w:rFonts w:ascii="Arial" w:cs="Arial" w:eastAsia="Arial" w:hAnsi="Arial"/>
          <w:sz w:val="17"/>
          <w:szCs w:val="17"/>
          <w:color w:val="auto"/>
        </w:rPr>
        <w:t>Underwriting income is net pre-tax income attributable to our insurance underwriting business before investment activity.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Underwriting income is a measure of an insurance company’s overall operating profitability before items such as investment income, net gains from investments, depreciation and amortization, interest expense and income taxes.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6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condensed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the current economic environment, and other factors, in forming its estimates and judgments for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the comparability of our results of operations to those of similar companies.</w:t>
      </w:r>
    </w:p>
    <w:p>
      <w:pPr>
        <w:spacing w:after="0" w:line="125"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We believe that the most critical accounting policies relate to the reporting of reserves for loss and LAE, including losses that have occurred but have not yet been reported prior to the reporting date, amounts recoverable from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2018 Compared to Nine Months Ended September 30, 2017</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8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5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5"/>
                <w:szCs w:val="15"/>
                <w:b w:val="1"/>
                <w:bCs w:val="1"/>
                <w:color w:val="auto"/>
                <w:w w:val="87"/>
              </w:rPr>
              <w:t>Nine months ended September 30,</w:t>
            </w:r>
          </w:p>
        </w:tc>
        <w:tc>
          <w:tcPr>
            <w:tcW w:w="1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48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4"/>
              <w:spacing w:after="0" w:line="159" w:lineRule="exact"/>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5"/>
              <w:spacing w:after="0" w:line="159" w:lineRule="exact"/>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line="159" w:lineRule="exact"/>
              <w:rPr>
                <w:sz w:val="20"/>
                <w:szCs w:val="20"/>
                <w:color w:val="auto"/>
              </w:rPr>
            </w:pPr>
            <w:r>
              <w:rPr>
                <w:rFonts w:ascii="Arial" w:cs="Arial" w:eastAsia="Arial" w:hAnsi="Arial"/>
                <w:sz w:val="15"/>
                <w:szCs w:val="15"/>
                <w:b w:val="1"/>
                <w:bCs w:val="1"/>
                <w:color w:val="auto"/>
              </w:rPr>
              <w:t>Change</w:t>
            </w:r>
          </w:p>
        </w:tc>
        <w:tc>
          <w:tcPr>
            <w:tcW w:w="1380" w:type="dxa"/>
            <w:vAlign w:val="bottom"/>
            <w:tcBorders>
              <w:bottom w:val="single" w:sz="8" w:color="auto"/>
            </w:tcBorders>
          </w:tcPr>
          <w:p>
            <w:pPr>
              <w:jc w:val="right"/>
              <w:ind w:right="334"/>
              <w:spacing w:after="0" w:line="159" w:lineRule="exact"/>
              <w:rPr>
                <w:sz w:val="20"/>
                <w:szCs w:val="20"/>
                <w:color w:val="auto"/>
              </w:rPr>
            </w:pPr>
            <w:r>
              <w:rPr>
                <w:rFonts w:ascii="Arial" w:cs="Arial" w:eastAsia="Arial" w:hAnsi="Arial"/>
                <w:sz w:val="15"/>
                <w:szCs w:val="15"/>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Direct written premiums</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107,175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89,424</w:t>
            </w:r>
          </w:p>
        </w:tc>
        <w:tc>
          <w:tcPr>
            <w:tcW w:w="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17,751</w:t>
            </w:r>
          </w:p>
        </w:tc>
        <w:tc>
          <w:tcPr>
            <w:tcW w:w="1380" w:type="dxa"/>
            <w:vAlign w:val="bottom"/>
          </w:tcPr>
          <w:p>
            <w:pPr>
              <w:jc w:val="right"/>
              <w:spacing w:after="0"/>
              <w:rPr>
                <w:sz w:val="20"/>
                <w:szCs w:val="20"/>
                <w:color w:val="auto"/>
              </w:rPr>
            </w:pPr>
            <w:r>
              <w:rPr>
                <w:rFonts w:ascii="Arial" w:cs="Arial" w:eastAsia="Arial" w:hAnsi="Arial"/>
                <w:sz w:val="17"/>
                <w:szCs w:val="17"/>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Assumed written premiums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18</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107,176</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89,442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17,734</w:t>
            </w:r>
          </w:p>
        </w:tc>
        <w:tc>
          <w:tcPr>
            <w:tcW w:w="1380" w:type="dxa"/>
            <w:vAlign w:val="bottom"/>
          </w:tcPr>
          <w:p>
            <w:pPr>
              <w:jc w:val="right"/>
              <w:spacing w:after="0"/>
              <w:rPr>
                <w:sz w:val="20"/>
                <w:szCs w:val="20"/>
                <w:color w:val="auto"/>
              </w:rPr>
            </w:pPr>
            <w:r>
              <w:rPr>
                <w:rFonts w:ascii="Arial" w:cs="Arial" w:eastAsia="Arial" w:hAnsi="Arial"/>
                <w:sz w:val="17"/>
                <w:szCs w:val="17"/>
                <w:color w:val="auto"/>
              </w:rPr>
              <w:t>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Ceded written premiums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360"/>
              <w:spacing w:after="0"/>
              <w:rPr>
                <w:sz w:val="20"/>
                <w:szCs w:val="20"/>
                <w:color w:val="auto"/>
              </w:rPr>
            </w:pPr>
            <w:r>
              <w:rPr>
                <w:rFonts w:ascii="Arial" w:cs="Arial" w:eastAsia="Arial" w:hAnsi="Arial"/>
                <w:sz w:val="17"/>
                <w:szCs w:val="17"/>
                <w:color w:val="auto"/>
              </w:rPr>
              <w:t>Ceded to quota share treaties in force during the period</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12,690</w:t>
            </w:r>
          </w:p>
        </w:tc>
        <w:tc>
          <w:tcPr>
            <w:tcW w:w="24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18,943</w:t>
            </w:r>
          </w:p>
        </w:tc>
        <w:tc>
          <w:tcPr>
            <w:tcW w:w="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(6,253)</w:t>
            </w:r>
          </w:p>
        </w:tc>
        <w:tc>
          <w:tcPr>
            <w:tcW w:w="1380" w:type="dxa"/>
            <w:vAlign w:val="bottom"/>
          </w:tcPr>
          <w:p>
            <w:pPr>
              <w:jc w:val="right"/>
              <w:spacing w:after="0"/>
              <w:rPr>
                <w:sz w:val="20"/>
                <w:szCs w:val="20"/>
                <w:color w:val="auto"/>
              </w:rPr>
            </w:pPr>
            <w:r>
              <w:rPr>
                <w:rFonts w:ascii="Arial" w:cs="Arial" w:eastAsia="Arial" w:hAnsi="Arial"/>
                <w:sz w:val="17"/>
                <w:szCs w:val="17"/>
                <w:color w:val="auto"/>
              </w:rPr>
              <w:t>(33.0)%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Return of premiums previously ceded to prior quota share treaties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(4,553)</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(7,140)</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2,587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520"/>
              <w:spacing w:after="0"/>
              <w:rPr>
                <w:sz w:val="20"/>
                <w:szCs w:val="20"/>
                <w:color w:val="auto"/>
              </w:rPr>
            </w:pPr>
            <w:r>
              <w:rPr>
                <w:rFonts w:ascii="Arial" w:cs="Arial" w:eastAsia="Arial" w:hAnsi="Arial"/>
                <w:sz w:val="17"/>
                <w:szCs w:val="17"/>
                <w:color w:val="auto"/>
              </w:rPr>
              <w:t>Ceded to quota share treaties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8,137</w:t>
            </w:r>
          </w:p>
        </w:tc>
        <w:tc>
          <w:tcPr>
            <w:tcW w:w="24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11,803</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(3,666)</w:t>
            </w:r>
          </w:p>
        </w:tc>
        <w:tc>
          <w:tcPr>
            <w:tcW w:w="1380" w:type="dxa"/>
            <w:vAlign w:val="bottom"/>
          </w:tcPr>
          <w:p>
            <w:pPr>
              <w:jc w:val="right"/>
              <w:spacing w:after="0"/>
              <w:rPr>
                <w:sz w:val="20"/>
                <w:szCs w:val="20"/>
                <w:color w:val="auto"/>
              </w:rPr>
            </w:pPr>
            <w:r>
              <w:rPr>
                <w:rFonts w:ascii="Arial" w:cs="Arial" w:eastAsia="Arial" w:hAnsi="Arial"/>
                <w:sz w:val="17"/>
                <w:szCs w:val="17"/>
                <w:color w:val="auto"/>
              </w:rPr>
              <w:t>(31.1)%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Ceded to excess of loss treaties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988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903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85</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520"/>
              <w:spacing w:after="0"/>
              <w:rPr>
                <w:sz w:val="20"/>
                <w:szCs w:val="20"/>
                <w:color w:val="auto"/>
              </w:rPr>
            </w:pPr>
            <w:r>
              <w:rPr>
                <w:rFonts w:ascii="Arial" w:cs="Arial" w:eastAsia="Arial" w:hAnsi="Arial"/>
                <w:sz w:val="17"/>
                <w:szCs w:val="17"/>
                <w:color w:val="auto"/>
              </w:rPr>
              <w:t>Ceded to catastrophe treaties</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10,284</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8,013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2,271</w:t>
            </w:r>
          </w:p>
        </w:tc>
        <w:tc>
          <w:tcPr>
            <w:tcW w:w="1380" w:type="dxa"/>
            <w:vAlign w:val="bottom"/>
          </w:tcPr>
          <w:p>
            <w:pPr>
              <w:jc w:val="right"/>
              <w:spacing w:after="0"/>
              <w:rPr>
                <w:sz w:val="20"/>
                <w:szCs w:val="20"/>
                <w:color w:val="auto"/>
              </w:rPr>
            </w:pPr>
            <w:r>
              <w:rPr>
                <w:rFonts w:ascii="Arial" w:cs="Arial" w:eastAsia="Arial" w:hAnsi="Arial"/>
                <w:sz w:val="17"/>
                <w:szCs w:val="17"/>
                <w:color w:val="auto"/>
              </w:rPr>
              <w:t>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ceded written premiums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19,409</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20,719</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written premiums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87,767</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68,723</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19,044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 in unearned premiums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360"/>
              <w:spacing w:after="0"/>
              <w:rPr>
                <w:sz w:val="20"/>
                <w:szCs w:val="20"/>
                <w:color w:val="auto"/>
              </w:rPr>
            </w:pPr>
            <w:r>
              <w:rPr>
                <w:rFonts w:ascii="Arial" w:cs="Arial" w:eastAsia="Arial" w:hAnsi="Arial"/>
                <w:sz w:val="17"/>
                <w:szCs w:val="17"/>
                <w:color w:val="auto"/>
              </w:rPr>
              <w:t>Direct and assumed</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(9,927)</w:t>
            </w:r>
          </w:p>
        </w:tc>
        <w:tc>
          <w:tcPr>
            <w:tcW w:w="24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(8,449)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(1,478)</w:t>
            </w:r>
          </w:p>
        </w:tc>
        <w:tc>
          <w:tcPr>
            <w:tcW w:w="1380" w:type="dxa"/>
            <w:vAlign w:val="bottom"/>
          </w:tcPr>
          <w:p>
            <w:pPr>
              <w:jc w:val="right"/>
              <w:spacing w:after="0"/>
              <w:rPr>
                <w:sz w:val="20"/>
                <w:szCs w:val="20"/>
                <w:color w:val="auto"/>
              </w:rPr>
            </w:pPr>
            <w:r>
              <w:rPr>
                <w:rFonts w:ascii="Arial" w:cs="Arial" w:eastAsia="Arial" w:hAnsi="Arial"/>
                <w:sz w:val="17"/>
                <w:szCs w:val="17"/>
                <w:color w:val="auto"/>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Ceded to quota share treaties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(3,364)</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(5,437)</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2,073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200"/>
              <w:spacing w:after="0"/>
              <w:rPr>
                <w:sz w:val="20"/>
                <w:szCs w:val="20"/>
                <w:color w:val="auto"/>
              </w:rPr>
            </w:pPr>
            <w:r>
              <w:rPr>
                <w:rFonts w:ascii="Arial" w:cs="Arial" w:eastAsia="Arial" w:hAnsi="Arial"/>
                <w:sz w:val="17"/>
                <w:szCs w:val="17"/>
                <w:color w:val="auto"/>
              </w:rPr>
              <w:t>Change in net unearned premiums</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(13,291)</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(13,886)</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595</w:t>
            </w:r>
          </w:p>
        </w:tc>
        <w:tc>
          <w:tcPr>
            <w:tcW w:w="1380" w:type="dxa"/>
            <w:vAlign w:val="bottom"/>
          </w:tcPr>
          <w:p>
            <w:pPr>
              <w:jc w:val="right"/>
              <w:spacing w:after="0"/>
              <w:rPr>
                <w:sz w:val="20"/>
                <w:szCs w:val="20"/>
                <w:color w:val="auto"/>
              </w:rPr>
            </w:pPr>
            <w:r>
              <w:rPr>
                <w:rFonts w:ascii="Arial" w:cs="Arial" w:eastAsia="Arial" w:hAnsi="Arial"/>
                <w:sz w:val="17"/>
                <w:szCs w:val="17"/>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Premiums earned</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Direct and assumed</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97,249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80,994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16,255</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360"/>
              <w:spacing w:after="0"/>
              <w:rPr>
                <w:sz w:val="20"/>
                <w:szCs w:val="20"/>
                <w:color w:val="auto"/>
              </w:rPr>
            </w:pPr>
            <w:r>
              <w:rPr>
                <w:rFonts w:ascii="Arial" w:cs="Arial" w:eastAsia="Arial" w:hAnsi="Arial"/>
                <w:sz w:val="17"/>
                <w:szCs w:val="17"/>
                <w:color w:val="auto"/>
              </w:rPr>
              <w:t>Ceded to reinsurance treaties</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(22,773)</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(26,156)</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3,383</w:t>
            </w:r>
          </w:p>
        </w:tc>
        <w:tc>
          <w:tcPr>
            <w:tcW w:w="1380" w:type="dxa"/>
            <w:vAlign w:val="bottom"/>
          </w:tcPr>
          <w:p>
            <w:pPr>
              <w:jc w:val="right"/>
              <w:spacing w:after="0"/>
              <w:rPr>
                <w:sz w:val="20"/>
                <w:szCs w:val="20"/>
                <w:color w:val="auto"/>
              </w:rPr>
            </w:pPr>
            <w:r>
              <w:rPr>
                <w:rFonts w:ascii="Arial" w:cs="Arial" w:eastAsia="Arial" w:hAnsi="Arial"/>
                <w:sz w:val="17"/>
                <w:szCs w:val="17"/>
                <w:color w:val="auto"/>
              </w:rPr>
              <w:t>(12.9)%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premiums earned</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74,476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54,838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19,638</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Ceding commission revenue</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Excluding the effect of catastrophes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4,890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8,208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(3,318)</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360"/>
              <w:spacing w:after="0"/>
              <w:rPr>
                <w:sz w:val="20"/>
                <w:szCs w:val="20"/>
                <w:color w:val="auto"/>
              </w:rPr>
            </w:pPr>
            <w:r>
              <w:rPr>
                <w:rFonts w:ascii="Arial" w:cs="Arial" w:eastAsia="Arial" w:hAnsi="Arial"/>
                <w:sz w:val="17"/>
                <w:szCs w:val="17"/>
                <w:color w:val="auto"/>
              </w:rPr>
              <w:t>Effect of catastrophes</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(459)</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w:t>
            </w:r>
          </w:p>
        </w:tc>
        <w:tc>
          <w:tcPr>
            <w:tcW w:w="1380" w:type="dxa"/>
            <w:vAlign w:val="bottom"/>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ceding commission revenue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4,431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8,208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Net investment income</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4,543</w:t>
            </w:r>
          </w:p>
        </w:tc>
        <w:tc>
          <w:tcPr>
            <w:tcW w:w="24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2,917</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1,626</w:t>
            </w:r>
          </w:p>
        </w:tc>
        <w:tc>
          <w:tcPr>
            <w:tcW w:w="1380" w:type="dxa"/>
            <w:vAlign w:val="bottom"/>
          </w:tcPr>
          <w:p>
            <w:pPr>
              <w:jc w:val="right"/>
              <w:spacing w:after="0"/>
              <w:rPr>
                <w:sz w:val="20"/>
                <w:szCs w:val="20"/>
                <w:color w:val="auto"/>
              </w:rPr>
            </w:pPr>
            <w:r>
              <w:rPr>
                <w:rFonts w:ascii="Arial" w:cs="Arial" w:eastAsia="Arial" w:hAnsi="Arial"/>
                <w:sz w:val="17"/>
                <w:szCs w:val="17"/>
                <w:color w:val="auto"/>
              </w:rPr>
              <w:t>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(losses) gains on investments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(278)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200"/>
              <w:spacing w:after="0"/>
              <w:rPr>
                <w:sz w:val="20"/>
                <w:szCs w:val="20"/>
                <w:color w:val="auto"/>
              </w:rPr>
            </w:pPr>
            <w:r>
              <w:rPr>
                <w:rFonts w:ascii="Arial" w:cs="Arial" w:eastAsia="Arial" w:hAnsi="Arial"/>
                <w:sz w:val="17"/>
                <w:szCs w:val="17"/>
                <w:color w:val="auto"/>
              </w:rPr>
              <w:t>Other income</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962</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926</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36</w:t>
            </w:r>
          </w:p>
        </w:tc>
        <w:tc>
          <w:tcPr>
            <w:tcW w:w="1380" w:type="dxa"/>
            <w:vAlign w:val="bottom"/>
          </w:tcPr>
          <w:p>
            <w:pPr>
              <w:jc w:val="right"/>
              <w:spacing w:after="0"/>
              <w:rPr>
                <w:sz w:val="20"/>
                <w:szCs w:val="20"/>
                <w:color w:val="auto"/>
              </w:rPr>
            </w:pPr>
            <w:r>
              <w:rPr>
                <w:rFonts w:ascii="Arial" w:cs="Arial" w:eastAsia="Arial" w:hAnsi="Arial"/>
                <w:sz w:val="17"/>
                <w:szCs w:val="17"/>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84,134</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66,986</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17,148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40"/>
              <w:spacing w:after="0"/>
              <w:rPr>
                <w:sz w:val="20"/>
                <w:szCs w:val="20"/>
                <w:color w:val="auto"/>
              </w:rPr>
            </w:pPr>
            <w:r>
              <w:rPr>
                <w:rFonts w:ascii="Arial" w:cs="Arial" w:eastAsia="Arial" w:hAnsi="Arial"/>
                <w:sz w:val="17"/>
                <w:szCs w:val="17"/>
                <w:b w:val="1"/>
                <w:bCs w:val="1"/>
                <w:color w:val="auto"/>
              </w:rPr>
              <w:t>Expenses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360"/>
              <w:spacing w:after="0"/>
              <w:rPr>
                <w:sz w:val="20"/>
                <w:szCs w:val="20"/>
                <w:color w:val="auto"/>
              </w:rPr>
            </w:pPr>
            <w:r>
              <w:rPr>
                <w:rFonts w:ascii="Arial" w:cs="Arial" w:eastAsia="Arial" w:hAnsi="Arial"/>
                <w:sz w:val="17"/>
                <w:szCs w:val="17"/>
                <w:color w:val="auto"/>
              </w:rPr>
              <w:t>Direct and assumed:</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4"/>
              </w:rPr>
              <w:t>Loss and loss adjustment expenses excluding the effect of catastrophes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42,603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31,324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11,279</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360"/>
              <w:spacing w:after="0"/>
              <w:rPr>
                <w:sz w:val="20"/>
                <w:szCs w:val="20"/>
                <w:color w:val="auto"/>
              </w:rPr>
            </w:pPr>
            <w:r>
              <w:rPr>
                <w:rFonts w:ascii="Arial" w:cs="Arial" w:eastAsia="Arial" w:hAnsi="Arial"/>
                <w:sz w:val="17"/>
                <w:szCs w:val="17"/>
                <w:color w:val="auto"/>
              </w:rPr>
              <w:t>Losses from catastrophes (1)</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10,805</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10,805</w:t>
            </w:r>
          </w:p>
        </w:tc>
        <w:tc>
          <w:tcPr>
            <w:tcW w:w="1380" w:type="dxa"/>
            <w:vAlign w:val="bottom"/>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direct and assumed loss and loss adjustment expenses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53,408</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31,324</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22,084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Ceded loss and loss adjustment expenses: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360"/>
              <w:spacing w:after="0"/>
              <w:rPr>
                <w:sz w:val="20"/>
                <w:szCs w:val="20"/>
                <w:color w:val="auto"/>
              </w:rPr>
            </w:pPr>
            <w:r>
              <w:rPr>
                <w:rFonts w:ascii="Arial" w:cs="Arial" w:eastAsia="Arial" w:hAnsi="Arial"/>
                <w:sz w:val="17"/>
                <w:szCs w:val="17"/>
                <w:color w:val="auto"/>
                <w:w w:val="94"/>
              </w:rPr>
              <w:t>Loss and loss adjustment expenses excluding the effect of catastrophes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6,984</w:t>
            </w:r>
          </w:p>
        </w:tc>
        <w:tc>
          <w:tcPr>
            <w:tcW w:w="24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8,503</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(1,519)</w:t>
            </w:r>
          </w:p>
        </w:tc>
        <w:tc>
          <w:tcPr>
            <w:tcW w:w="1380" w:type="dxa"/>
            <w:vAlign w:val="bottom"/>
          </w:tcPr>
          <w:p>
            <w:pPr>
              <w:jc w:val="right"/>
              <w:spacing w:after="0"/>
              <w:rPr>
                <w:sz w:val="20"/>
                <w:szCs w:val="20"/>
                <w:color w:val="auto"/>
              </w:rPr>
            </w:pPr>
            <w:r>
              <w:rPr>
                <w:rFonts w:ascii="Arial" w:cs="Arial" w:eastAsia="Arial" w:hAnsi="Arial"/>
                <w:sz w:val="17"/>
                <w:szCs w:val="17"/>
                <w:color w:val="auto"/>
              </w:rPr>
              <w:t>(17.9)%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Losses from catastrophes (1)</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4,685</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4,685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360"/>
              <w:spacing w:after="0"/>
              <w:rPr>
                <w:sz w:val="20"/>
                <w:szCs w:val="20"/>
                <w:color w:val="auto"/>
              </w:rPr>
            </w:pPr>
            <w:r>
              <w:rPr>
                <w:rFonts w:ascii="Arial" w:cs="Arial" w:eastAsia="Arial" w:hAnsi="Arial"/>
                <w:sz w:val="17"/>
                <w:szCs w:val="17"/>
                <w:color w:val="auto"/>
              </w:rPr>
              <w:t>Total ceded loss and loss adjustment expenses</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11,669</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8,503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3,166</w:t>
            </w:r>
          </w:p>
        </w:tc>
        <w:tc>
          <w:tcPr>
            <w:tcW w:w="1380" w:type="dxa"/>
            <w:vAlign w:val="bottom"/>
          </w:tcPr>
          <w:p>
            <w:pPr>
              <w:jc w:val="right"/>
              <w:spacing w:after="0"/>
              <w:rPr>
                <w:sz w:val="20"/>
                <w:szCs w:val="20"/>
                <w:color w:val="auto"/>
              </w:rPr>
            </w:pPr>
            <w:r>
              <w:rPr>
                <w:rFonts w:ascii="Arial" w:cs="Arial" w:eastAsia="Arial" w:hAnsi="Arial"/>
                <w:sz w:val="17"/>
                <w:szCs w:val="17"/>
                <w:color w:val="auto"/>
              </w:rPr>
              <w:t>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360"/>
              <w:spacing w:after="0"/>
              <w:rPr>
                <w:sz w:val="20"/>
                <w:szCs w:val="20"/>
                <w:color w:val="auto"/>
              </w:rPr>
            </w:pPr>
            <w:r>
              <w:rPr>
                <w:rFonts w:ascii="Arial" w:cs="Arial" w:eastAsia="Arial" w:hAnsi="Arial"/>
                <w:sz w:val="17"/>
                <w:szCs w:val="17"/>
                <w:color w:val="auto"/>
              </w:rPr>
              <w:t>Net loss and loss adjustment expenses: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4"/>
              </w:rPr>
              <w:t>Loss and loss adjustment expenses excluding the effect of catastrophes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35,619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22,821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12,798</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360"/>
              <w:spacing w:after="0"/>
              <w:rPr>
                <w:sz w:val="20"/>
                <w:szCs w:val="20"/>
                <w:color w:val="auto"/>
              </w:rPr>
            </w:pPr>
            <w:r>
              <w:rPr>
                <w:rFonts w:ascii="Arial" w:cs="Arial" w:eastAsia="Arial" w:hAnsi="Arial"/>
                <w:sz w:val="17"/>
                <w:szCs w:val="17"/>
                <w:color w:val="auto"/>
              </w:rPr>
              <w:t>Losses from catastrophes (1)</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6,120</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6,120</w:t>
            </w:r>
          </w:p>
        </w:tc>
        <w:tc>
          <w:tcPr>
            <w:tcW w:w="1380" w:type="dxa"/>
            <w:vAlign w:val="bottom"/>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loss and loss adjustment expenses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41,739</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22,821</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18,918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Commission expense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18,411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15,491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2,920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Other underwriting expenses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15,301</w:t>
            </w:r>
          </w:p>
        </w:tc>
        <w:tc>
          <w:tcPr>
            <w:tcW w:w="24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12,887</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2,414</w:t>
            </w:r>
          </w:p>
        </w:tc>
        <w:tc>
          <w:tcPr>
            <w:tcW w:w="1380" w:type="dxa"/>
            <w:vAlign w:val="bottom"/>
          </w:tcPr>
          <w:p>
            <w:pPr>
              <w:jc w:val="right"/>
              <w:spacing w:after="0"/>
              <w:rPr>
                <w:sz w:val="20"/>
                <w:szCs w:val="20"/>
                <w:color w:val="auto"/>
              </w:rPr>
            </w:pPr>
            <w:r>
              <w:rPr>
                <w:rFonts w:ascii="Arial" w:cs="Arial" w:eastAsia="Arial" w:hAnsi="Arial"/>
                <w:sz w:val="17"/>
                <w:szCs w:val="17"/>
                <w:color w:val="auto"/>
              </w:rPr>
              <w:t>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operating expenses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1,774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2,732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1,274</w:t>
            </w:r>
          </w:p>
        </w:tc>
        <w:tc>
          <w:tcPr>
            <w:tcW w:w="24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1,023</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251</w:t>
            </w:r>
          </w:p>
        </w:tc>
        <w:tc>
          <w:tcPr>
            <w:tcW w:w="1380" w:type="dxa"/>
            <w:vAlign w:val="bottom"/>
          </w:tcPr>
          <w:p>
            <w:pPr>
              <w:jc w:val="right"/>
              <w:spacing w:after="0"/>
              <w:rPr>
                <w:sz w:val="20"/>
                <w:szCs w:val="20"/>
                <w:color w:val="auto"/>
              </w:rPr>
            </w:pPr>
            <w:r>
              <w:rPr>
                <w:rFonts w:ascii="Arial" w:cs="Arial" w:eastAsia="Arial" w:hAnsi="Arial"/>
                <w:sz w:val="17"/>
                <w:szCs w:val="17"/>
                <w:color w:val="auto"/>
              </w:rPr>
              <w:t>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Interest expense</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1,365</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1,365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360"/>
              <w:spacing w:after="0"/>
              <w:rPr>
                <w:sz w:val="20"/>
                <w:szCs w:val="20"/>
                <w:color w:val="auto"/>
              </w:rPr>
            </w:pPr>
            <w:r>
              <w:rPr>
                <w:rFonts w:ascii="Arial" w:cs="Arial" w:eastAsia="Arial" w:hAnsi="Arial"/>
                <w:sz w:val="17"/>
                <w:szCs w:val="17"/>
                <w:color w:val="auto"/>
              </w:rPr>
              <w:t>Total expenses</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79,864</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54,954</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24,910</w:t>
            </w:r>
          </w:p>
        </w:tc>
        <w:tc>
          <w:tcPr>
            <w:tcW w:w="1380" w:type="dxa"/>
            <w:vAlign w:val="bottom"/>
          </w:tcPr>
          <w:p>
            <w:pPr>
              <w:jc w:val="right"/>
              <w:spacing w:after="0"/>
              <w:rPr>
                <w:sz w:val="20"/>
                <w:szCs w:val="20"/>
                <w:color w:val="auto"/>
              </w:rPr>
            </w:pPr>
            <w:r>
              <w:rPr>
                <w:rFonts w:ascii="Arial" w:cs="Arial" w:eastAsia="Arial" w:hAnsi="Arial"/>
                <w:sz w:val="17"/>
                <w:szCs w:val="17"/>
                <w:color w:val="auto"/>
              </w:rPr>
              <w:t>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Income from operations before taxes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4,269</w:t>
            </w:r>
          </w:p>
        </w:tc>
        <w:tc>
          <w:tcPr>
            <w:tcW w:w="24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12,032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(7,763)</w:t>
            </w:r>
          </w:p>
        </w:tc>
        <w:tc>
          <w:tcPr>
            <w:tcW w:w="1380" w:type="dxa"/>
            <w:vAlign w:val="bottom"/>
          </w:tcPr>
          <w:p>
            <w:pPr>
              <w:jc w:val="right"/>
              <w:spacing w:after="0"/>
              <w:rPr>
                <w:sz w:val="20"/>
                <w:szCs w:val="20"/>
                <w:color w:val="auto"/>
              </w:rPr>
            </w:pPr>
            <w:r>
              <w:rPr>
                <w:rFonts w:ascii="Arial" w:cs="Arial" w:eastAsia="Arial" w:hAnsi="Arial"/>
                <w:sz w:val="17"/>
                <w:szCs w:val="17"/>
                <w:color w:val="auto"/>
              </w:rPr>
              <w:t>(64.5)%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Income tax expense</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296</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3,977</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40"/>
              <w:spacing w:after="0"/>
              <w:rPr>
                <w:sz w:val="20"/>
                <w:szCs w:val="20"/>
                <w:color w:val="auto"/>
              </w:rPr>
            </w:pPr>
            <w:r>
              <w:rPr>
                <w:rFonts w:ascii="Arial" w:cs="Arial" w:eastAsia="Arial" w:hAnsi="Arial"/>
                <w:sz w:val="17"/>
                <w:szCs w:val="17"/>
                <w:b w:val="1"/>
                <w:bCs w:val="1"/>
                <w:color w:val="auto"/>
              </w:rPr>
              <w:t>Net income</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3,973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8,055</w:t>
            </w:r>
          </w:p>
        </w:tc>
        <w:tc>
          <w:tcPr>
            <w:tcW w:w="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(4,082)</w:t>
            </w:r>
          </w:p>
        </w:tc>
        <w:tc>
          <w:tcPr>
            <w:tcW w:w="1380" w:type="dxa"/>
            <w:vAlign w:val="bottom"/>
          </w:tcPr>
          <w:p>
            <w:pPr>
              <w:jc w:val="right"/>
              <w:spacing w:after="0"/>
              <w:rPr>
                <w:sz w:val="20"/>
                <w:szCs w:val="20"/>
                <w:color w:val="auto"/>
              </w:rPr>
            </w:pPr>
            <w:r>
              <w:rPr>
                <w:rFonts w:ascii="Arial" w:cs="Arial" w:eastAsia="Arial" w:hAnsi="Arial"/>
                <w:sz w:val="17"/>
                <w:szCs w:val="17"/>
                <w:color w:val="auto"/>
              </w:rPr>
              <w:t>(50.7)%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40" w:type="dxa"/>
            <w:vAlign w:val="bottom"/>
            <w:vMerge w:val="restart"/>
          </w:tcPr>
          <w:p>
            <w:pPr>
              <w:jc w:val="right"/>
              <w:ind w:right="54"/>
              <w:spacing w:after="0"/>
              <w:rPr>
                <w:sz w:val="20"/>
                <w:szCs w:val="20"/>
                <w:color w:val="auto"/>
              </w:rPr>
            </w:pPr>
            <w:r>
              <w:rPr>
                <w:rFonts w:ascii="Arial" w:cs="Arial" w:eastAsia="Arial" w:hAnsi="Arial"/>
                <w:sz w:val="17"/>
                <w:szCs w:val="17"/>
                <w:color w:val="auto"/>
              </w:rPr>
              <w:t>42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5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620"/>
          </w:cols>
          <w:pgMar w:left="160" w:top="469" w:right="119" w:bottom="734" w:gutter="0" w:footer="0" w:header="0"/>
        </w:sectPr>
      </w:pPr>
    </w:p>
    <w:bookmarkStart w:id="44" w:name="page45"/>
    <w:bookmarkEnd w:id="44"/>
    <w:p>
      <w:pPr>
        <w:jc w:val="both"/>
        <w:ind w:left="640" w:right="20" w:hanging="316"/>
        <w:spacing w:after="0" w:line="298"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nine months ended September 30, 2018 includes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5"/>
                <w:szCs w:val="15"/>
                <w:b w:val="1"/>
                <w:bCs w:val="1"/>
                <w:color w:val="auto"/>
                <w:w w:val="91"/>
              </w:rPr>
              <w:t>Nine months ended September 30,</w:t>
            </w:r>
          </w:p>
        </w:tc>
        <w:tc>
          <w:tcPr>
            <w:tcW w:w="13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6"/>
        </w:trPr>
        <w:tc>
          <w:tcPr>
            <w:tcW w:w="6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tcPr>
          <w:p>
            <w:pPr>
              <w:jc w:val="right"/>
              <w:ind w:right="79"/>
              <w:spacing w:after="0" w:line="146" w:lineRule="exact"/>
              <w:rPr>
                <w:sz w:val="20"/>
                <w:szCs w:val="20"/>
                <w:color w:val="auto"/>
              </w:rPr>
            </w:pPr>
            <w:r>
              <w:rPr>
                <w:rFonts w:ascii="Arial" w:cs="Arial" w:eastAsia="Arial" w:hAnsi="Arial"/>
                <w:sz w:val="15"/>
                <w:szCs w:val="15"/>
                <w:b w:val="1"/>
                <w:bCs w:val="1"/>
                <w:color w:val="auto"/>
                <w:w w:val="91"/>
              </w:rPr>
              <w:t>Percentage Point</w:t>
            </w: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9"/>
        </w:trPr>
        <w:tc>
          <w:tcPr>
            <w:tcW w:w="60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6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5"/>
                <w:szCs w:val="15"/>
                <w:b w:val="1"/>
                <w:bCs w:val="1"/>
                <w:color w:val="auto"/>
              </w:rPr>
              <w:t>2017</w:t>
            </w: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b w:val="1"/>
                <w:bCs w:val="1"/>
                <w:color w:val="auto"/>
              </w:rPr>
              <w:t>Change</w:t>
            </w:r>
          </w:p>
        </w:tc>
        <w:tc>
          <w:tcPr>
            <w:tcW w:w="138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b w:val="1"/>
                <w:bCs w:val="1"/>
                <w:color w:val="auto"/>
              </w:rPr>
              <w:t>Percent Change</w:t>
            </w:r>
          </w:p>
        </w:tc>
        <w:tc>
          <w:tcPr>
            <w:tcW w:w="20" w:type="dxa"/>
            <w:vAlign w:val="bottom"/>
          </w:tcPr>
          <w:p>
            <w:pPr>
              <w:spacing w:after="0"/>
              <w:rPr>
                <w:sz w:val="15"/>
                <w:szCs w:val="15"/>
                <w:color w:val="auto"/>
              </w:rPr>
            </w:pPr>
          </w:p>
        </w:tc>
      </w:tr>
      <w:tr>
        <w:trPr>
          <w:trHeight w:val="474"/>
        </w:trPr>
        <w:tc>
          <w:tcPr>
            <w:tcW w:w="6920" w:type="dxa"/>
            <w:vAlign w:val="bottom"/>
            <w:gridSpan w:val="2"/>
          </w:tcPr>
          <w:p>
            <w:pPr>
              <w:ind w:left="40"/>
              <w:spacing w:after="0"/>
              <w:rPr>
                <w:sz w:val="20"/>
                <w:szCs w:val="20"/>
                <w:color w:val="auto"/>
              </w:rPr>
            </w:pPr>
            <w:r>
              <w:rPr>
                <w:rFonts w:ascii="Arial" w:cs="Arial" w:eastAsia="Arial" w:hAnsi="Arial"/>
                <w:sz w:val="17"/>
                <w:szCs w:val="17"/>
                <w:b w:val="1"/>
                <w:bCs w:val="1"/>
                <w:color w:val="auto"/>
              </w:rPr>
              <w:t>Key ratios:</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69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Net loss ratio</w:t>
            </w: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99"/>
              </w:rPr>
              <w:t>56.0%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14.4</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20" w:type="dxa"/>
            <w:vAlign w:val="bottom"/>
          </w:tcPr>
          <w:p>
            <w:pPr>
              <w:spacing w:after="0"/>
              <w:rPr>
                <w:sz w:val="18"/>
                <w:szCs w:val="18"/>
                <w:color w:val="auto"/>
              </w:rPr>
            </w:pPr>
          </w:p>
        </w:tc>
      </w:tr>
      <w:tr>
        <w:trPr>
          <w:trHeight w:val="218"/>
        </w:trPr>
        <w:tc>
          <w:tcPr>
            <w:tcW w:w="6020" w:type="dxa"/>
            <w:vAlign w:val="bottom"/>
          </w:tcPr>
          <w:p>
            <w:pPr>
              <w:ind w:left="40"/>
              <w:spacing w:after="0"/>
              <w:rPr>
                <w:sz w:val="20"/>
                <w:szCs w:val="20"/>
                <w:color w:val="auto"/>
              </w:rPr>
            </w:pPr>
            <w:r>
              <w:rPr>
                <w:rFonts w:ascii="Arial" w:cs="Arial" w:eastAsia="Arial" w:hAnsi="Arial"/>
                <w:sz w:val="17"/>
                <w:szCs w:val="17"/>
                <w:color w:val="auto"/>
              </w:rPr>
              <w:t>Net underwriting expense ratio</w:t>
            </w: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99"/>
              </w:rPr>
              <w:t>38.1%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2.9</w:t>
            </w:r>
          </w:p>
        </w:tc>
        <w:tc>
          <w:tcPr>
            <w:tcW w:w="1380" w:type="dxa"/>
            <w:vAlign w:val="bottom"/>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18"/>
                <w:szCs w:val="18"/>
                <w:color w:val="auto"/>
              </w:rPr>
            </w:pPr>
          </w:p>
        </w:tc>
      </w:tr>
      <w:tr>
        <w:trPr>
          <w:trHeight w:val="252"/>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combined ratio</w:t>
            </w:r>
          </w:p>
        </w:tc>
        <w:tc>
          <w:tcPr>
            <w:tcW w:w="9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99"/>
              </w:rPr>
              <w:t>94.1%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17.3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20" w:type="dxa"/>
            <w:vAlign w:val="bottom"/>
          </w:tcPr>
          <w:p>
            <w:pPr>
              <w:spacing w:after="0"/>
              <w:rPr>
                <w:sz w:val="21"/>
                <w:szCs w:val="2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162" w:lineRule="exact"/>
        <w:rPr>
          <w:sz w:val="20"/>
          <w:szCs w:val="20"/>
          <w:color w:val="auto"/>
        </w:rPr>
      </w:pPr>
    </w:p>
    <w:p>
      <w:pPr>
        <w:jc w:val="both"/>
        <w:ind w:right="20" w:firstLine="636"/>
        <w:spacing w:after="0" w:line="282" w:lineRule="auto"/>
        <w:rPr>
          <w:sz w:val="20"/>
          <w:szCs w:val="20"/>
          <w:color w:val="auto"/>
        </w:rPr>
      </w:pPr>
      <w:r>
        <w:rPr>
          <w:rFonts w:ascii="Arial" w:cs="Arial" w:eastAsia="Arial" w:hAnsi="Arial"/>
          <w:sz w:val="16"/>
          <w:szCs w:val="16"/>
          <w:color w:val="auto"/>
        </w:rPr>
        <w:t>Direct written premiums during the nine months ended September 30, 2018 (“Nine Months 2018”) were $107,175,000 compared to $89,424,000 during the nine months ended September 30, 2017 (“Nine Months 2017”). The increase of $17,751,000, or 19.9%, was primarily due to an increase in policies in force during Nine Months 2018 as compared to Nine Months 2017 driven by continued growth in new business. We wrote more new policies as a result of continued demand for our products in the markets that we serve. We believe that a portion of our growth in new policies is attributable to our upgraded A.M. Best rating of A- that we received in April 2017. During Nine Months 2017, we started writing homeowners policies in New Jersey and Rhode Island. In Nine Months 2018, we started writing homeowners policies in Massachusetts. We refer to our New York business as our “Core” business and the business outside of New York as our “Expansion” business. Direct written premiums from our Expansion business were $5,919,000 in Nine Months 2018, compared to $953,000 in Nine Months 2017. Policies in-force increased by 19.3% as of September 30, 2018 compared to September 30, 2017.</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162" w:lineRule="exact"/>
        <w:rPr>
          <w:sz w:val="20"/>
          <w:szCs w:val="20"/>
          <w:color w:val="auto"/>
        </w:rPr>
      </w:pPr>
    </w:p>
    <w:p>
      <w:pPr>
        <w:jc w:val="both"/>
        <w:ind w:right="20" w:firstLine="636"/>
        <w:spacing w:after="0" w:line="326" w:lineRule="auto"/>
        <w:rPr>
          <w:sz w:val="20"/>
          <w:szCs w:val="20"/>
          <w:color w:val="auto"/>
        </w:rPr>
      </w:pPr>
      <w:r>
        <w:rPr>
          <w:rFonts w:ascii="Arial" w:cs="Arial" w:eastAsia="Arial" w:hAnsi="Arial"/>
          <w:sz w:val="15"/>
          <w:szCs w:val="15"/>
          <w:color w:val="auto"/>
        </w:rPr>
        <w:t>The following table describes the quota share reinsurance ceding rates in effect during Nine Months 2018 and Nine Months 2017. For purposes of the discussion herein, the change in the quota share ceding rates on each of July 1, 2018 and 2017 will be referred to as “the Cut-off”. This table should be referred to in conjunction with the discussions for net written premiums, net premiums earned, ceding commission revenue and net loss and loss adjustment expenses that follow.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20" w:type="dxa"/>
            <w:vAlign w:val="bottom"/>
          </w:tcPr>
          <w:p>
            <w:pPr>
              <w:spacing w:after="0"/>
              <w:rPr>
                <w:sz w:val="15"/>
                <w:szCs w:val="15"/>
                <w:color w:val="auto"/>
              </w:rPr>
            </w:pPr>
          </w:p>
        </w:tc>
        <w:tc>
          <w:tcPr>
            <w:tcW w:w="278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5"/>
                <w:szCs w:val="15"/>
                <w:b w:val="1"/>
                <w:bCs w:val="1"/>
                <w:color w:val="auto"/>
                <w:w w:val="91"/>
              </w:rPr>
              <w:t>Nine months ended September 30, 2018</w:t>
            </w:r>
          </w:p>
        </w:tc>
        <w:tc>
          <w:tcPr>
            <w:tcW w:w="276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5"/>
                <w:szCs w:val="15"/>
                <w:b w:val="1"/>
                <w:bCs w:val="1"/>
                <w:color w:val="auto"/>
                <w:w w:val="91"/>
              </w:rPr>
              <w:t>Nine months ended September 30, 2017</w:t>
            </w:r>
          </w:p>
        </w:tc>
        <w:tc>
          <w:tcPr>
            <w:tcW w:w="0" w:type="dxa"/>
            <w:vAlign w:val="bottom"/>
          </w:tcPr>
          <w:p>
            <w:pPr>
              <w:spacing w:after="0"/>
              <w:rPr>
                <w:sz w:val="1"/>
                <w:szCs w:val="1"/>
                <w:color w:val="auto"/>
              </w:rPr>
            </w:pPr>
          </w:p>
        </w:tc>
      </w:tr>
      <w:tr>
        <w:trPr>
          <w:trHeight w:val="227"/>
        </w:trPr>
        <w:tc>
          <w:tcPr>
            <w:tcW w:w="60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8"/>
              </w:rPr>
              <w:t>January 1,</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85"/>
              </w:rPr>
              <w:t>July 1,</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8"/>
              </w:rPr>
              <w:t>January 1,</w:t>
            </w: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w w:val="85"/>
              </w:rPr>
              <w:t>July 1,</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June 30,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September 30,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June 30,</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September 30,</w:t>
            </w:r>
          </w:p>
        </w:tc>
        <w:tc>
          <w:tcPr>
            <w:tcW w:w="0" w:type="dxa"/>
            <w:vAlign w:val="bottom"/>
          </w:tcPr>
          <w:p>
            <w:pPr>
              <w:spacing w:after="0"/>
              <w:rPr>
                <w:sz w:val="1"/>
                <w:szCs w:val="1"/>
                <w:color w:val="auto"/>
              </w:rPr>
            </w:pPr>
          </w:p>
        </w:tc>
      </w:tr>
      <w:tr>
        <w:trPr>
          <w:trHeight w:val="146"/>
        </w:trPr>
        <w:tc>
          <w:tcPr>
            <w:tcW w:w="602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("2017/2019</w:t>
            </w:r>
          </w:p>
        </w:tc>
        <w:tc>
          <w:tcPr>
            <w:tcW w:w="14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("2017/2019</w:t>
            </w:r>
          </w:p>
        </w:tc>
        <w:tc>
          <w:tcPr>
            <w:tcW w:w="1360" w:type="dxa"/>
            <w:vAlign w:val="bottom"/>
          </w:tcPr>
          <w:p>
            <w:pPr>
              <w:jc w:val="center"/>
              <w:ind w:left="25"/>
              <w:spacing w:after="0" w:line="146" w:lineRule="exact"/>
              <w:rPr>
                <w:sz w:val="20"/>
                <w:szCs w:val="20"/>
                <w:color w:val="auto"/>
              </w:rPr>
            </w:pPr>
            <w:r>
              <w:rPr>
                <w:rFonts w:ascii="Arial" w:cs="Arial" w:eastAsia="Arial" w:hAnsi="Arial"/>
                <w:sz w:val="15"/>
                <w:szCs w:val="15"/>
                <w:b w:val="1"/>
                <w:bCs w:val="1"/>
                <w:color w:val="auto"/>
                <w:w w:val="89"/>
              </w:rPr>
              <w:t>("2016/2017</w:t>
            </w:r>
          </w:p>
        </w:tc>
        <w:tc>
          <w:tcPr>
            <w:tcW w:w="140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("2017/2019</w:t>
            </w:r>
          </w:p>
        </w:tc>
        <w:tc>
          <w:tcPr>
            <w:tcW w:w="0" w:type="dxa"/>
            <w:vAlign w:val="bottom"/>
          </w:tcPr>
          <w:p>
            <w:pPr>
              <w:spacing w:after="0"/>
              <w:rPr>
                <w:sz w:val="1"/>
                <w:szCs w:val="1"/>
                <w:color w:val="auto"/>
              </w:rPr>
            </w:pPr>
          </w:p>
        </w:tc>
      </w:tr>
      <w:tr>
        <w:trPr>
          <w:trHeight w:val="188"/>
        </w:trPr>
        <w:tc>
          <w:tcPr>
            <w:tcW w:w="6020" w:type="dxa"/>
            <w:vAlign w:val="bottom"/>
            <w:vMerge w:val="restart"/>
          </w:tcPr>
          <w:p>
            <w:pPr>
              <w:spacing w:after="0"/>
              <w:rPr>
                <w:sz w:val="20"/>
                <w:szCs w:val="20"/>
                <w:color w:val="auto"/>
              </w:rPr>
            </w:pPr>
            <w:r>
              <w:rPr>
                <w:rFonts w:ascii="Arial" w:cs="Arial" w:eastAsia="Arial" w:hAnsi="Arial"/>
                <w:sz w:val="17"/>
                <w:szCs w:val="17"/>
                <w:color w:val="auto"/>
              </w:rPr>
              <w:t>Quota share reinsurance rates</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4"/>
              </w:rPr>
              <w:t>Treaty")</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w w:val="94"/>
              </w:rPr>
              <w:t>Treaty")</w:t>
            </w:r>
          </w:p>
        </w:tc>
        <w:tc>
          <w:tcPr>
            <w:tcW w:w="1360" w:type="dxa"/>
            <w:vAlign w:val="bottom"/>
          </w:tcPr>
          <w:p>
            <w:pPr>
              <w:jc w:val="center"/>
              <w:ind w:left="25"/>
              <w:spacing w:after="0"/>
              <w:rPr>
                <w:sz w:val="20"/>
                <w:szCs w:val="20"/>
                <w:color w:val="auto"/>
              </w:rPr>
            </w:pPr>
            <w:r>
              <w:rPr>
                <w:rFonts w:ascii="Arial" w:cs="Arial" w:eastAsia="Arial" w:hAnsi="Arial"/>
                <w:sz w:val="15"/>
                <w:szCs w:val="15"/>
                <w:b w:val="1"/>
                <w:bCs w:val="1"/>
                <w:color w:val="auto"/>
                <w:w w:val="94"/>
              </w:rPr>
              <w:t>Treaty")</w:t>
            </w: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w w:val="90"/>
              </w:rPr>
              <w:t>Treaty")</w:t>
            </w:r>
          </w:p>
        </w:tc>
        <w:tc>
          <w:tcPr>
            <w:tcW w:w="0" w:type="dxa"/>
            <w:vAlign w:val="bottom"/>
          </w:tcPr>
          <w:p>
            <w:pPr>
              <w:spacing w:after="0"/>
              <w:rPr>
                <w:sz w:val="1"/>
                <w:szCs w:val="1"/>
                <w:color w:val="auto"/>
              </w:rPr>
            </w:pPr>
          </w:p>
        </w:tc>
      </w:tr>
      <w:tr>
        <w:trPr>
          <w:trHeight w:val="195"/>
        </w:trPr>
        <w:tc>
          <w:tcPr>
            <w:tcW w:w="602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1360" w:type="dxa"/>
            <w:vAlign w:val="bottom"/>
            <w:shd w:val="clear" w:color="auto" w:fill="CCEEFF"/>
          </w:tcPr>
          <w:p>
            <w:pPr>
              <w:jc w:val="right"/>
              <w:ind w:right="285"/>
              <w:spacing w:after="0"/>
              <w:rPr>
                <w:sz w:val="20"/>
                <w:szCs w:val="20"/>
                <w:color w:val="auto"/>
              </w:rPr>
            </w:pPr>
            <w:r>
              <w:rPr>
                <w:rFonts w:ascii="Arial" w:cs="Arial" w:eastAsia="Arial" w:hAnsi="Arial"/>
                <w:sz w:val="17"/>
                <w:szCs w:val="17"/>
                <w:color w:val="auto"/>
              </w:rPr>
              <w:t>20%(1)</w:t>
            </w:r>
          </w:p>
        </w:tc>
        <w:tc>
          <w:tcPr>
            <w:tcW w:w="1420" w:type="dxa"/>
            <w:vAlign w:val="bottom"/>
            <w:shd w:val="clear" w:color="auto" w:fill="CCEEFF"/>
          </w:tcPr>
          <w:p>
            <w:pPr>
              <w:jc w:val="right"/>
              <w:ind w:right="325"/>
              <w:spacing w:after="0"/>
              <w:rPr>
                <w:sz w:val="20"/>
                <w:szCs w:val="20"/>
                <w:color w:val="auto"/>
              </w:rPr>
            </w:pPr>
            <w:r>
              <w:rPr>
                <w:rFonts w:ascii="Arial" w:cs="Arial" w:eastAsia="Arial" w:hAnsi="Arial"/>
                <w:sz w:val="17"/>
                <w:szCs w:val="17"/>
                <w:color w:val="auto"/>
              </w:rPr>
              <w:t>10%(1)</w:t>
            </w:r>
          </w:p>
        </w:tc>
        <w:tc>
          <w:tcPr>
            <w:tcW w:w="1360" w:type="dxa"/>
            <w:vAlign w:val="bottom"/>
            <w:shd w:val="clear" w:color="auto" w:fill="CCEEFF"/>
          </w:tcPr>
          <w:p>
            <w:pPr>
              <w:jc w:val="center"/>
              <w:ind w:left="45"/>
              <w:spacing w:after="0"/>
              <w:rPr>
                <w:sz w:val="20"/>
                <w:szCs w:val="20"/>
                <w:color w:val="auto"/>
              </w:rPr>
            </w:pPr>
            <w:r>
              <w:rPr>
                <w:rFonts w:ascii="Arial" w:cs="Arial" w:eastAsia="Arial" w:hAnsi="Arial"/>
                <w:sz w:val="17"/>
                <w:szCs w:val="17"/>
                <w:color w:val="auto"/>
                <w:w w:val="93"/>
              </w:rPr>
              <w:t>40%</w:t>
            </w:r>
          </w:p>
        </w:tc>
        <w:tc>
          <w:tcPr>
            <w:tcW w:w="1400" w:type="dxa"/>
            <w:vAlign w:val="bottom"/>
            <w:shd w:val="clear" w:color="auto" w:fill="CCEEFF"/>
          </w:tcPr>
          <w:p>
            <w:pPr>
              <w:jc w:val="right"/>
              <w:ind w:right="305"/>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left="640" w:right="3220" w:firstLine="2"/>
        <w:spacing w:after="0" w:line="357" w:lineRule="auto"/>
        <w:tabs>
          <w:tab w:leader="none" w:pos="884" w:val="left"/>
        </w:tabs>
        <w:numPr>
          <w:ilvl w:val="0"/>
          <w:numId w:val="13"/>
        </w:numPr>
        <w:rPr>
          <w:rFonts w:ascii="Arial" w:cs="Arial" w:eastAsia="Arial" w:hAnsi="Arial"/>
          <w:sz w:val="15"/>
          <w:szCs w:val="15"/>
          <w:color w:val="auto"/>
        </w:rPr>
      </w:pPr>
      <w:r>
        <w:rPr>
          <w:rFonts w:ascii="Arial" w:cs="Arial" w:eastAsia="Arial" w:hAnsi="Arial"/>
          <w:sz w:val="15"/>
          <w:szCs w:val="15"/>
          <w:color w:val="auto"/>
        </w:rPr>
        <w:t>2017/2019 Treaty is a two year treaty, quota share reinurance rate was reduced to 10% effective July 1, 2018 See “Reinsurance” below for changes to our personal lines quota share treaties effective July 1, 2018 and 2017.</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80"/>
          </w:cols>
          <w:pgMar w:left="160" w:top="475" w:right="159" w:bottom="1440" w:gutter="0" w:footer="0" w:header="0"/>
        </w:sectPr>
      </w:pPr>
    </w:p>
    <w:bookmarkStart w:id="45" w:name="page46"/>
    <w:bookmarkEnd w:id="45"/>
    <w:p>
      <w:pPr>
        <w:jc w:val="both"/>
        <w:ind w:right="60" w:firstLine="636"/>
        <w:spacing w:after="0" w:line="287" w:lineRule="auto"/>
        <w:rPr>
          <w:sz w:val="20"/>
          <w:szCs w:val="20"/>
          <w:color w:val="auto"/>
        </w:rPr>
      </w:pPr>
      <w:r>
        <w:rPr>
          <w:rFonts w:ascii="Arial" w:cs="Arial" w:eastAsia="Arial" w:hAnsi="Arial"/>
          <w:sz w:val="16"/>
          <w:szCs w:val="16"/>
          <w:color w:val="auto"/>
        </w:rPr>
        <w:t>Net written premiums increased $19,044,000, or 27.7%, to $87,767,000 in Nine Months 2018 from $68,723,000 in Nine Months 2017.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 The increase in net written premiums is due to growth and the reductions of our personal lines quota share reinsurance rate to 20% and 10% on July 1, 2017 and July 1, 2018, respectively.</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Change in quota share ceding rate</w:t>
      </w:r>
    </w:p>
    <w:p>
      <w:pPr>
        <w:spacing w:after="0" w:line="228" w:lineRule="exact"/>
        <w:rPr>
          <w:sz w:val="20"/>
          <w:szCs w:val="20"/>
          <w:color w:val="auto"/>
        </w:rPr>
      </w:pPr>
    </w:p>
    <w:p>
      <w:pPr>
        <w:jc w:val="both"/>
        <w:ind w:right="60" w:firstLine="636"/>
        <w:spacing w:after="0" w:line="266" w:lineRule="auto"/>
        <w:rPr>
          <w:sz w:val="20"/>
          <w:szCs w:val="20"/>
          <w:color w:val="auto"/>
        </w:rPr>
      </w:pPr>
      <w:r>
        <w:rPr>
          <w:rFonts w:ascii="Arial" w:cs="Arial" w:eastAsia="Arial" w:hAnsi="Arial"/>
          <w:sz w:val="17"/>
          <w:szCs w:val="17"/>
          <w:color w:val="auto"/>
        </w:rPr>
        <w:t>Effective July 1, 2018, we decreased the quota share ceding rate in our personal lines quota share treaty from 20% to 10%. The Cut-off of this treaty on July 1, 2018 resulted in a $4,553,000 return of unearned premiums from our reinsurers that were previously ceded under the expiring personal lines quota share treaty. Our quota share ceding rate changed from 40% to 20% in Nine Months 2017 resulting in a $7,140,000 return of unearned premiums from our reinsurers that were previously ceded. The table below shows the effect of the $4,553,000 and $7,140,000 return of ceded premiums on net written premiums for Nine Months 2018 and Nine Months 2017,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2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5"/>
                <w:szCs w:val="15"/>
                <w:b w:val="1"/>
                <w:bCs w:val="1"/>
                <w:color w:val="auto"/>
                <w:w w:val="87"/>
              </w:rPr>
              <w:t>Nine months ended September 30,</w:t>
            </w:r>
          </w:p>
        </w:tc>
        <w:tc>
          <w:tcPr>
            <w:tcW w:w="1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7"/>
              <w:spacing w:after="0" w:line="159" w:lineRule="exact"/>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9"/>
              <w:spacing w:after="0" w:line="159" w:lineRule="exact"/>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line="159" w:lineRule="exact"/>
              <w:rPr>
                <w:sz w:val="20"/>
                <w:szCs w:val="20"/>
                <w:color w:val="auto"/>
              </w:rPr>
            </w:pPr>
            <w:r>
              <w:rPr>
                <w:rFonts w:ascii="Arial" w:cs="Arial" w:eastAsia="Arial" w:hAnsi="Arial"/>
                <w:sz w:val="15"/>
                <w:szCs w:val="15"/>
                <w:b w:val="1"/>
                <w:bCs w:val="1"/>
                <w:color w:val="auto"/>
              </w:rPr>
              <w:t>Change</w:t>
            </w:r>
          </w:p>
        </w:tc>
        <w:tc>
          <w:tcPr>
            <w:tcW w:w="1380" w:type="dxa"/>
            <w:vAlign w:val="bottom"/>
            <w:tcBorders>
              <w:bottom w:val="single" w:sz="8" w:color="auto"/>
            </w:tcBorders>
          </w:tcPr>
          <w:p>
            <w:pPr>
              <w:jc w:val="right"/>
              <w:ind w:right="337"/>
              <w:spacing w:after="0" w:line="159" w:lineRule="exact"/>
              <w:rPr>
                <w:sz w:val="20"/>
                <w:szCs w:val="20"/>
                <w:color w:val="auto"/>
              </w:rPr>
            </w:pPr>
            <w:r>
              <w:rPr>
                <w:rFonts w:ascii="Arial" w:cs="Arial" w:eastAsia="Arial" w:hAnsi="Arial"/>
                <w:sz w:val="15"/>
                <w:szCs w:val="15"/>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written premiums</w:t>
            </w:r>
          </w:p>
        </w:tc>
        <w:tc>
          <w:tcPr>
            <w:tcW w:w="3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87,767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68,723</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19,044</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100"/>
              <w:spacing w:after="0"/>
              <w:rPr>
                <w:sz w:val="20"/>
                <w:szCs w:val="20"/>
                <w:color w:val="auto"/>
              </w:rPr>
            </w:pPr>
            <w:r>
              <w:rPr>
                <w:rFonts w:ascii="Arial" w:cs="Arial" w:eastAsia="Arial" w:hAnsi="Arial"/>
                <w:sz w:val="17"/>
                <w:szCs w:val="17"/>
                <w:color w:val="auto"/>
              </w:rPr>
              <w:t>Return of premiums previously ceded to prior quota share treaties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4,553</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7,140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(2,587)</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52"/>
        </w:trPr>
        <w:tc>
          <w:tcPr>
            <w:tcW w:w="6020" w:type="dxa"/>
            <w:vAlign w:val="bottom"/>
            <w:tcBorders>
              <w:bottom w:val="single" w:sz="8" w:color="CCEEFF"/>
            </w:tcBorders>
            <w:shd w:val="clear" w:color="auto" w:fill="CCEEFF"/>
          </w:tcPr>
          <w:p>
            <w:pPr>
              <w:ind w:left="100"/>
              <w:spacing w:after="0" w:line="192" w:lineRule="exact"/>
              <w:rPr>
                <w:sz w:val="20"/>
                <w:szCs w:val="20"/>
                <w:color w:val="auto"/>
              </w:rPr>
            </w:pPr>
            <w:r>
              <w:rPr>
                <w:rFonts w:ascii="Arial" w:cs="Arial" w:eastAsia="Arial" w:hAnsi="Arial"/>
                <w:sz w:val="17"/>
                <w:szCs w:val="17"/>
                <w:color w:val="auto"/>
              </w:rPr>
              <w:t>Net written premiums without the effect of the July 1 Cut-off</w:t>
            </w:r>
          </w:p>
        </w:tc>
        <w:tc>
          <w:tcPr>
            <w:tcW w:w="380" w:type="dxa"/>
            <w:vAlign w:val="bottom"/>
            <w:tcBorders>
              <w:bottom w:val="single" w:sz="8" w:color="auto"/>
            </w:tcBorders>
            <w:shd w:val="clear" w:color="auto" w:fill="CCEEFF"/>
          </w:tcPr>
          <w:p>
            <w:pPr>
              <w:jc w:val="right"/>
              <w:ind w:right="74"/>
              <w:spacing w:after="0" w:line="192"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7"/>
              <w:spacing w:after="0" w:line="192" w:lineRule="exact"/>
              <w:rPr>
                <w:sz w:val="20"/>
                <w:szCs w:val="20"/>
                <w:color w:val="auto"/>
              </w:rPr>
            </w:pPr>
            <w:r>
              <w:rPr>
                <w:rFonts w:ascii="Arial" w:cs="Arial" w:eastAsia="Arial" w:hAnsi="Arial"/>
                <w:sz w:val="17"/>
                <w:szCs w:val="17"/>
                <w:color w:val="auto"/>
              </w:rPr>
              <w:t>83,214</w:t>
            </w:r>
          </w:p>
        </w:tc>
        <w:tc>
          <w:tcPr>
            <w:tcW w:w="2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59"/>
              <w:spacing w:after="0" w:line="192" w:lineRule="exact"/>
              <w:rPr>
                <w:sz w:val="20"/>
                <w:szCs w:val="20"/>
                <w:color w:val="auto"/>
              </w:rPr>
            </w:pPr>
            <w:r>
              <w:rPr>
                <w:rFonts w:ascii="Arial" w:cs="Arial" w:eastAsia="Arial" w:hAnsi="Arial"/>
                <w:sz w:val="17"/>
                <w:szCs w:val="17"/>
                <w:color w:val="auto"/>
              </w:rPr>
              <w:t>61,583</w:t>
            </w:r>
          </w:p>
        </w:tc>
        <w:tc>
          <w:tcPr>
            <w:tcW w:w="340" w:type="dxa"/>
            <w:vAlign w:val="bottom"/>
            <w:tcBorders>
              <w:bottom w:val="single" w:sz="8" w:color="auto"/>
            </w:tcBorders>
            <w:shd w:val="clear" w:color="auto" w:fill="CCEEFF"/>
          </w:tcPr>
          <w:p>
            <w:pPr>
              <w:jc w:val="right"/>
              <w:ind w:right="34"/>
              <w:spacing w:after="0" w:line="192"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7"/>
              <w:spacing w:after="0" w:line="192" w:lineRule="exact"/>
              <w:rPr>
                <w:sz w:val="20"/>
                <w:szCs w:val="20"/>
                <w:color w:val="auto"/>
              </w:rPr>
            </w:pPr>
            <w:r>
              <w:rPr>
                <w:rFonts w:ascii="Arial" w:cs="Arial" w:eastAsia="Arial" w:hAnsi="Arial"/>
                <w:sz w:val="17"/>
                <w:szCs w:val="17"/>
                <w:color w:val="auto"/>
              </w:rPr>
              <w:t>21,631</w:t>
            </w:r>
          </w:p>
        </w:tc>
        <w:tc>
          <w:tcPr>
            <w:tcW w:w="1380" w:type="dxa"/>
            <w:vAlign w:val="bottom"/>
            <w:tcBorders>
              <w:bottom w:val="single" w:sz="8" w:color="CCEEFF"/>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Without the effect of the July 1 Cut-offs, net written premiums increased by $21,631,000, or 35.1%, in Nine Months 2018 compared to Nine Months 2017.</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Excess of loss reinsurance treaties</w:t>
      </w:r>
    </w:p>
    <w:p>
      <w:pPr>
        <w:spacing w:after="0" w:line="162" w:lineRule="exact"/>
        <w:rPr>
          <w:sz w:val="20"/>
          <w:szCs w:val="20"/>
          <w:color w:val="auto"/>
        </w:rPr>
      </w:pPr>
    </w:p>
    <w:p>
      <w:pPr>
        <w:jc w:val="both"/>
        <w:ind w:right="60" w:firstLine="636"/>
        <w:spacing w:after="0" w:line="273" w:lineRule="auto"/>
        <w:rPr>
          <w:sz w:val="20"/>
          <w:szCs w:val="20"/>
          <w:color w:val="auto"/>
        </w:rPr>
      </w:pPr>
      <w:r>
        <w:rPr>
          <w:rFonts w:ascii="Arial" w:cs="Arial" w:eastAsia="Arial" w:hAnsi="Arial"/>
          <w:sz w:val="17"/>
          <w:szCs w:val="17"/>
          <w:color w:val="auto"/>
        </w:rPr>
        <w:t>An increase in written premiums will, to a lesser extent, increase the premiums ceded under our excess of loss treaties. In Nine Months 2018, our ceded excess of loss reinsurance premiums increased by $85,000 over the comparable ceded premiums for Nine Months 2017. The increase was due to an increase in premiums subject to excess of loss reinsurance.</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Catastrophe reinsurance treaties</w:t>
      </w:r>
    </w:p>
    <w:p>
      <w:pPr>
        <w:spacing w:after="0" w:line="162" w:lineRule="exact"/>
        <w:rPr>
          <w:sz w:val="20"/>
          <w:szCs w:val="20"/>
          <w:color w:val="auto"/>
        </w:rPr>
      </w:pPr>
    </w:p>
    <w:p>
      <w:pPr>
        <w:jc w:val="both"/>
        <w:ind w:right="60" w:firstLine="636"/>
        <w:spacing w:after="0" w:line="285" w:lineRule="auto"/>
        <w:rPr>
          <w:sz w:val="20"/>
          <w:szCs w:val="20"/>
          <w:color w:val="auto"/>
        </w:rPr>
      </w:pPr>
      <w:r>
        <w:rPr>
          <w:rFonts w:ascii="Arial" w:cs="Arial" w:eastAsia="Arial" w:hAnsi="Arial"/>
          <w:sz w:val="16"/>
          <w:szCs w:val="16"/>
          <w:color w:val="auto"/>
        </w:rPr>
        <w:t>Most of the premiums written under our personal lines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Nine Months 2018, our premiums ceded under catastrophe treaties increased by $2,271,000 over the comparable ceded premiums for Nine Months 2017. The increase was due to an increase in our catastrophe coverage and an increase in premiums subject to catastrophe reinsurance, partially offset by more favorable reinsurance rates in Nine Months 2018. Our ceded catastrophe premiums are paid based on the total direct written premiums subject to the catastrophe reinsurance treaty.</w:t>
      </w: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620"/>
          </w:cols>
          <w:pgMar w:left="160" w:top="475" w:right="119" w:bottom="1440" w:gutter="0" w:footer="0" w:header="0"/>
        </w:sectPr>
      </w:pPr>
    </w:p>
    <w:bookmarkStart w:id="46" w:name="page47"/>
    <w:bookmarkEnd w:id="46"/>
    <w:p>
      <w:pPr>
        <w:ind w:left="640"/>
        <w:spacing w:after="0"/>
        <w:rPr>
          <w:sz w:val="20"/>
          <w:szCs w:val="20"/>
          <w:color w:val="auto"/>
        </w:rPr>
      </w:pPr>
      <w:r>
        <w:rPr>
          <w:rFonts w:ascii="Arial" w:cs="Arial" w:eastAsia="Arial" w:hAnsi="Arial"/>
          <w:sz w:val="17"/>
          <w:szCs w:val="17"/>
          <w:i w:val="1"/>
          <w:iCs w:val="1"/>
          <w:color w:val="auto"/>
        </w:rPr>
        <w:t>Net premiums earned</w:t>
      </w:r>
    </w:p>
    <w:p>
      <w:pPr>
        <w:spacing w:after="0" w:line="162" w:lineRule="exact"/>
        <w:rPr>
          <w:sz w:val="20"/>
          <w:szCs w:val="20"/>
          <w:color w:val="auto"/>
        </w:rPr>
      </w:pPr>
    </w:p>
    <w:p>
      <w:pPr>
        <w:jc w:val="both"/>
        <w:ind w:right="60" w:firstLine="636"/>
        <w:spacing w:after="0" w:line="273" w:lineRule="auto"/>
        <w:rPr>
          <w:sz w:val="20"/>
          <w:szCs w:val="20"/>
          <w:color w:val="auto"/>
        </w:rPr>
      </w:pPr>
      <w:r>
        <w:rPr>
          <w:rFonts w:ascii="Arial" w:cs="Arial" w:eastAsia="Arial" w:hAnsi="Arial"/>
          <w:sz w:val="17"/>
          <w:szCs w:val="17"/>
          <w:color w:val="auto"/>
        </w:rPr>
        <w:t>Net premiums earned increased $19,638,000, or 35.8 %, to $74,476,000 in Nine Months 2018 from $54,838,000 in Nine Months 2017. The increase was due to the increase in written premiums discussed above and our retaining more earned premiums effective July 1, 2017 and 2018, as a result of the reductions of the quota share percentage in our personal lines quota share treaties.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162" w:lineRule="exact"/>
        <w:rPr>
          <w:sz w:val="20"/>
          <w:szCs w:val="20"/>
          <w:color w:val="auto"/>
        </w:rPr>
      </w:pPr>
    </w:p>
    <w:p>
      <w:pPr>
        <w:jc w:val="both"/>
        <w:ind w:right="60" w:firstLine="636"/>
        <w:spacing w:after="0" w:line="287" w:lineRule="auto"/>
        <w:rPr>
          <w:sz w:val="20"/>
          <w:szCs w:val="20"/>
          <w:color w:val="auto"/>
        </w:rPr>
      </w:pPr>
      <w:r>
        <w:rPr>
          <w:rFonts w:ascii="Arial" w:cs="Arial" w:eastAsia="Arial" w:hAnsi="Arial"/>
          <w:sz w:val="17"/>
          <w:szCs w:val="17"/>
          <w:color w:val="auto"/>
        </w:rPr>
        <w:t>The following table details the quota share provisional ceding commission rates in effect during Nine Months 2018 and Nine Months 2017. This table should be referred to in conjunction with the discussion for ceding commission revenue that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3480" w:type="dxa"/>
            <w:vAlign w:val="bottom"/>
            <w:tcBorders>
              <w:bottom w:val="single" w:sz="8" w:color="auto"/>
            </w:tcBorders>
            <w:gridSpan w:val="2"/>
          </w:tcPr>
          <w:p>
            <w:pPr>
              <w:jc w:val="right"/>
              <w:ind w:right="425"/>
              <w:spacing w:after="0"/>
              <w:rPr>
                <w:sz w:val="20"/>
                <w:szCs w:val="20"/>
                <w:color w:val="auto"/>
              </w:rPr>
            </w:pPr>
            <w:r>
              <w:rPr>
                <w:rFonts w:ascii="Arial" w:cs="Arial" w:eastAsia="Arial" w:hAnsi="Arial"/>
                <w:sz w:val="15"/>
                <w:szCs w:val="15"/>
                <w:b w:val="1"/>
                <w:bCs w:val="1"/>
                <w:color w:val="auto"/>
              </w:rPr>
              <w:t>Nine months ended September 30, 2018</w:t>
            </w:r>
          </w:p>
        </w:tc>
        <w:tc>
          <w:tcPr>
            <w:tcW w:w="3440" w:type="dxa"/>
            <w:vAlign w:val="bottom"/>
            <w:tcBorders>
              <w:bottom w:val="single" w:sz="8" w:color="auto"/>
            </w:tcBorders>
            <w:gridSpan w:val="2"/>
          </w:tcPr>
          <w:p>
            <w:pPr>
              <w:jc w:val="right"/>
              <w:ind w:right="405"/>
              <w:spacing w:after="0"/>
              <w:rPr>
                <w:sz w:val="20"/>
                <w:szCs w:val="20"/>
                <w:color w:val="auto"/>
              </w:rPr>
            </w:pPr>
            <w:r>
              <w:rPr>
                <w:rFonts w:ascii="Arial" w:cs="Arial" w:eastAsia="Arial" w:hAnsi="Arial"/>
                <w:sz w:val="15"/>
                <w:szCs w:val="15"/>
                <w:b w:val="1"/>
                <w:bCs w:val="1"/>
                <w:color w:val="auto"/>
              </w:rPr>
              <w:t>Nine months ended September 30, 2017</w:t>
            </w:r>
          </w:p>
        </w:tc>
      </w:tr>
      <w:tr>
        <w:trPr>
          <w:trHeight w:val="227"/>
        </w:trPr>
        <w:tc>
          <w:tcPr>
            <w:tcW w:w="46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5"/>
                <w:szCs w:val="15"/>
                <w:b w:val="1"/>
                <w:bCs w:val="1"/>
                <w:color w:val="auto"/>
                <w:w w:val="88"/>
              </w:rPr>
              <w:t>January 1,</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uto"/>
                <w:w w:val="85"/>
              </w:rPr>
              <w:t>July 1,</w:t>
            </w:r>
          </w:p>
        </w:tc>
        <w:tc>
          <w:tcPr>
            <w:tcW w:w="1740" w:type="dxa"/>
            <w:vAlign w:val="bottom"/>
          </w:tcPr>
          <w:p>
            <w:pPr>
              <w:jc w:val="center"/>
              <w:spacing w:after="0"/>
              <w:rPr>
                <w:sz w:val="20"/>
                <w:szCs w:val="20"/>
                <w:color w:val="auto"/>
              </w:rPr>
            </w:pPr>
            <w:r>
              <w:rPr>
                <w:rFonts w:ascii="Arial" w:cs="Arial" w:eastAsia="Arial" w:hAnsi="Arial"/>
                <w:sz w:val="15"/>
                <w:szCs w:val="15"/>
                <w:b w:val="1"/>
                <w:bCs w:val="1"/>
                <w:color w:val="auto"/>
                <w:w w:val="88"/>
              </w:rPr>
              <w:t>January 1,</w:t>
            </w: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89"/>
              </w:rPr>
              <w:t>July 1,</w:t>
            </w:r>
          </w:p>
        </w:tc>
      </w:tr>
      <w:tr>
        <w:trPr>
          <w:trHeight w:val="209"/>
        </w:trPr>
        <w:tc>
          <w:tcPr>
            <w:tcW w:w="46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174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84"/>
              </w:rPr>
              <w:t>to</w:t>
            </w:r>
          </w:p>
        </w:tc>
      </w:tr>
      <w:tr>
        <w:trPr>
          <w:trHeight w:val="179"/>
        </w:trPr>
        <w:tc>
          <w:tcPr>
            <w:tcW w:w="464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June 30,</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September 30,</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June 30,</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September 30,</w:t>
            </w:r>
          </w:p>
        </w:tc>
      </w:tr>
      <w:tr>
        <w:trPr>
          <w:trHeight w:val="227"/>
        </w:trPr>
        <w:tc>
          <w:tcPr>
            <w:tcW w:w="46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5"/>
                <w:szCs w:val="15"/>
                <w:b w:val="1"/>
                <w:bCs w:val="1"/>
                <w:color w:val="auto"/>
                <w:w w:val="91"/>
              </w:rPr>
              <w:t>("2017/2019 Treaty")</w:t>
            </w:r>
          </w:p>
        </w:tc>
        <w:tc>
          <w:tcPr>
            <w:tcW w:w="1720" w:type="dxa"/>
            <w:vAlign w:val="bottom"/>
          </w:tcPr>
          <w:p>
            <w:pPr>
              <w:jc w:val="center"/>
              <w:spacing w:after="0"/>
              <w:rPr>
                <w:sz w:val="20"/>
                <w:szCs w:val="20"/>
                <w:color w:val="auto"/>
              </w:rPr>
            </w:pPr>
            <w:r>
              <w:rPr>
                <w:rFonts w:ascii="Arial" w:cs="Arial" w:eastAsia="Arial" w:hAnsi="Arial"/>
                <w:sz w:val="15"/>
                <w:szCs w:val="15"/>
                <w:b w:val="1"/>
                <w:bCs w:val="1"/>
                <w:color w:val="auto"/>
                <w:w w:val="91"/>
              </w:rPr>
              <w:t>("2017/2019 Treaty")</w:t>
            </w:r>
          </w:p>
        </w:tc>
        <w:tc>
          <w:tcPr>
            <w:tcW w:w="1740" w:type="dxa"/>
            <w:vAlign w:val="bottom"/>
          </w:tcPr>
          <w:p>
            <w:pPr>
              <w:jc w:val="center"/>
              <w:spacing w:after="0"/>
              <w:rPr>
                <w:sz w:val="20"/>
                <w:szCs w:val="20"/>
                <w:color w:val="auto"/>
              </w:rPr>
            </w:pPr>
            <w:r>
              <w:rPr>
                <w:rFonts w:ascii="Arial" w:cs="Arial" w:eastAsia="Arial" w:hAnsi="Arial"/>
                <w:sz w:val="15"/>
                <w:szCs w:val="15"/>
                <w:b w:val="1"/>
                <w:bCs w:val="1"/>
                <w:color w:val="auto"/>
                <w:w w:val="91"/>
              </w:rPr>
              <w:t>("2016/2017 Treaty")</w:t>
            </w: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91"/>
              </w:rPr>
              <w:t>("2017/2019 Treaty")</w:t>
            </w:r>
          </w:p>
        </w:tc>
      </w:tr>
      <w:tr>
        <w:trPr>
          <w:trHeight w:val="301"/>
        </w:trPr>
        <w:tc>
          <w:tcPr>
            <w:tcW w:w="4640" w:type="dxa"/>
            <w:vAlign w:val="bottom"/>
          </w:tcPr>
          <w:p>
            <w:pPr>
              <w:ind w:left="60"/>
              <w:spacing w:after="0"/>
              <w:rPr>
                <w:sz w:val="20"/>
                <w:szCs w:val="20"/>
                <w:color w:val="auto"/>
              </w:rPr>
            </w:pPr>
            <w:r>
              <w:rPr>
                <w:rFonts w:ascii="Arial" w:cs="Arial" w:eastAsia="Arial" w:hAnsi="Arial"/>
                <w:sz w:val="17"/>
                <w:szCs w:val="17"/>
                <w:b w:val="1"/>
                <w:bCs w:val="1"/>
                <w:color w:val="auto"/>
                <w:w w:val="97"/>
              </w:rPr>
              <w:t>Provisional ceding commission rate on quota share treaty</w:t>
            </w:r>
          </w:p>
        </w:tc>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0"/>
        </w:trPr>
        <w:tc>
          <w:tcPr>
            <w:tcW w:w="4640" w:type="dxa"/>
            <w:vAlign w:val="bottom"/>
            <w:shd w:val="clear" w:color="auto" w:fill="CCEEFF"/>
          </w:tcPr>
          <w:p>
            <w:pPr>
              <w:ind w:left="60"/>
              <w:spacing w:after="0"/>
              <w:rPr>
                <w:sz w:val="20"/>
                <w:szCs w:val="20"/>
                <w:color w:val="auto"/>
              </w:rPr>
            </w:pPr>
            <w:r>
              <w:rPr>
                <w:rFonts w:ascii="Arial" w:cs="Arial" w:eastAsia="Arial" w:hAnsi="Arial"/>
                <w:sz w:val="17"/>
                <w:szCs w:val="17"/>
                <w:color w:val="auto"/>
              </w:rPr>
              <w:t>Personal lines</w:t>
            </w:r>
          </w:p>
        </w:tc>
        <w:tc>
          <w:tcPr>
            <w:tcW w:w="1760" w:type="dxa"/>
            <w:vAlign w:val="bottom"/>
            <w:shd w:val="clear" w:color="auto" w:fill="CCEEFF"/>
          </w:tcPr>
          <w:p>
            <w:pPr>
              <w:jc w:val="right"/>
              <w:ind w:right="345"/>
              <w:spacing w:after="0"/>
              <w:rPr>
                <w:sz w:val="20"/>
                <w:szCs w:val="20"/>
                <w:color w:val="auto"/>
              </w:rPr>
            </w:pPr>
            <w:r>
              <w:rPr>
                <w:rFonts w:ascii="Arial" w:cs="Arial" w:eastAsia="Arial" w:hAnsi="Arial"/>
                <w:sz w:val="17"/>
                <w:szCs w:val="17"/>
                <w:color w:val="auto"/>
              </w:rPr>
              <w:t>53%</w:t>
            </w:r>
          </w:p>
        </w:tc>
        <w:tc>
          <w:tcPr>
            <w:tcW w:w="1720" w:type="dxa"/>
            <w:vAlign w:val="bottom"/>
            <w:shd w:val="clear" w:color="auto" w:fill="CCEEFF"/>
          </w:tcPr>
          <w:p>
            <w:pPr>
              <w:jc w:val="right"/>
              <w:ind w:right="325"/>
              <w:spacing w:after="0"/>
              <w:rPr>
                <w:sz w:val="20"/>
                <w:szCs w:val="20"/>
                <w:color w:val="auto"/>
              </w:rPr>
            </w:pPr>
            <w:r>
              <w:rPr>
                <w:rFonts w:ascii="Arial" w:cs="Arial" w:eastAsia="Arial" w:hAnsi="Arial"/>
                <w:sz w:val="17"/>
                <w:szCs w:val="17"/>
                <w:color w:val="auto"/>
              </w:rPr>
              <w:t>53%</w:t>
            </w:r>
          </w:p>
        </w:tc>
        <w:tc>
          <w:tcPr>
            <w:tcW w:w="1740" w:type="dxa"/>
            <w:vAlign w:val="bottom"/>
            <w:shd w:val="clear" w:color="auto" w:fill="CCEEFF"/>
          </w:tcPr>
          <w:p>
            <w:pPr>
              <w:jc w:val="right"/>
              <w:ind w:right="325"/>
              <w:spacing w:after="0"/>
              <w:rPr>
                <w:sz w:val="20"/>
                <w:szCs w:val="20"/>
                <w:color w:val="auto"/>
              </w:rPr>
            </w:pPr>
            <w:r>
              <w:rPr>
                <w:rFonts w:ascii="Arial" w:cs="Arial" w:eastAsia="Arial" w:hAnsi="Arial"/>
                <w:sz w:val="17"/>
                <w:szCs w:val="17"/>
                <w:color w:val="auto"/>
              </w:rPr>
              <w:t>52%</w:t>
            </w:r>
          </w:p>
        </w:tc>
        <w:tc>
          <w:tcPr>
            <w:tcW w:w="1700" w:type="dxa"/>
            <w:vAlign w:val="bottom"/>
            <w:shd w:val="clear" w:color="auto" w:fill="CCEEFF"/>
          </w:tcPr>
          <w:p>
            <w:pPr>
              <w:jc w:val="right"/>
              <w:ind w:right="305"/>
              <w:spacing w:after="0"/>
              <w:rPr>
                <w:sz w:val="20"/>
                <w:szCs w:val="20"/>
                <w:color w:val="auto"/>
              </w:rPr>
            </w:pPr>
            <w:r>
              <w:rPr>
                <w:rFonts w:ascii="Arial" w:cs="Arial" w:eastAsia="Arial" w:hAnsi="Arial"/>
                <w:sz w:val="17"/>
                <w:szCs w:val="17"/>
                <w:color w:val="auto"/>
              </w:rPr>
              <w:t>53%</w:t>
            </w:r>
          </w:p>
        </w:tc>
      </w:tr>
    </w:tbl>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2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5"/>
                <w:szCs w:val="15"/>
                <w:b w:val="1"/>
                <w:bCs w:val="1"/>
                <w:color w:val="auto"/>
                <w:w w:val="87"/>
              </w:rPr>
              <w:t>Nine months ended September 30,</w:t>
            </w:r>
          </w:p>
        </w:tc>
        <w:tc>
          <w:tcPr>
            <w:tcW w:w="1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line="159" w:lineRule="exact"/>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8"/>
              <w:spacing w:after="0" w:line="159" w:lineRule="exact"/>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line="159" w:lineRule="exact"/>
              <w:rPr>
                <w:sz w:val="20"/>
                <w:szCs w:val="20"/>
                <w:color w:val="auto"/>
              </w:rPr>
            </w:pPr>
            <w:r>
              <w:rPr>
                <w:rFonts w:ascii="Arial" w:cs="Arial" w:eastAsia="Arial" w:hAnsi="Arial"/>
                <w:sz w:val="15"/>
                <w:szCs w:val="15"/>
                <w:b w:val="1"/>
                <w:bCs w:val="1"/>
                <w:color w:val="auto"/>
              </w:rPr>
              <w:t>Change</w:t>
            </w:r>
          </w:p>
        </w:tc>
        <w:tc>
          <w:tcPr>
            <w:tcW w:w="1380" w:type="dxa"/>
            <w:vAlign w:val="bottom"/>
            <w:tcBorders>
              <w:bottom w:val="single" w:sz="8" w:color="auto"/>
            </w:tcBorders>
          </w:tcPr>
          <w:p>
            <w:pPr>
              <w:jc w:val="right"/>
              <w:ind w:right="336"/>
              <w:spacing w:after="0" w:line="159" w:lineRule="exact"/>
              <w:rPr>
                <w:sz w:val="20"/>
                <w:szCs w:val="20"/>
                <w:color w:val="auto"/>
              </w:rPr>
            </w:pPr>
            <w:r>
              <w:rPr>
                <w:rFonts w:ascii="Arial" w:cs="Arial" w:eastAsia="Arial" w:hAnsi="Arial"/>
                <w:sz w:val="15"/>
                <w:szCs w:val="15"/>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Provisional ceding commissions earned</w:t>
            </w:r>
          </w:p>
        </w:tc>
        <w:tc>
          <w:tcPr>
            <w:tcW w:w="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5,468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8,690</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Contingent ceding commissions earned excluding</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the effect of catastrophes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(578)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(482)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200"/>
              <w:spacing w:after="0"/>
              <w:rPr>
                <w:sz w:val="20"/>
                <w:szCs w:val="20"/>
                <w:color w:val="auto"/>
              </w:rPr>
            </w:pPr>
            <w:r>
              <w:rPr>
                <w:rFonts w:ascii="Arial" w:cs="Arial" w:eastAsia="Arial" w:hAnsi="Arial"/>
                <w:sz w:val="17"/>
                <w:szCs w:val="17"/>
                <w:color w:val="auto"/>
              </w:rPr>
              <w:t>Effect of catastrophes on ceding commissions earned</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(459)</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w:t>
            </w:r>
          </w:p>
        </w:tc>
        <w:tc>
          <w:tcPr>
            <w:tcW w:w="1440" w:type="dxa"/>
            <w:vAlign w:val="bottom"/>
            <w:gridSpan w:val="2"/>
          </w:tcPr>
          <w:p>
            <w:pPr>
              <w:ind w:left="10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8"/>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(1,037)</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(482)</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020" w:type="dxa"/>
            <w:vAlign w:val="bottom"/>
            <w:tcBorders>
              <w:bottom w:val="single" w:sz="8" w:color="CCEEFF"/>
            </w:tcBorders>
            <w:shd w:val="clear" w:color="auto" w:fill="CCEEFF"/>
          </w:tcPr>
          <w:p>
            <w:pPr>
              <w:ind w:left="40"/>
              <w:spacing w:after="0" w:line="192" w:lineRule="exact"/>
              <w:rPr>
                <w:sz w:val="20"/>
                <w:szCs w:val="20"/>
                <w:color w:val="auto"/>
              </w:rPr>
            </w:pPr>
            <w:r>
              <w:rPr>
                <w:rFonts w:ascii="Arial" w:cs="Arial" w:eastAsia="Arial" w:hAnsi="Arial"/>
                <w:sz w:val="17"/>
                <w:szCs w:val="17"/>
                <w:color w:val="auto"/>
              </w:rPr>
              <w:t>Total ceding commission revenue</w:t>
            </w:r>
          </w:p>
        </w:tc>
        <w:tc>
          <w:tcPr>
            <w:tcW w:w="380" w:type="dxa"/>
            <w:vAlign w:val="bottom"/>
            <w:tcBorders>
              <w:bottom w:val="single" w:sz="8" w:color="auto"/>
            </w:tcBorders>
            <w:shd w:val="clear" w:color="auto" w:fill="CCEEFF"/>
          </w:tcPr>
          <w:p>
            <w:pPr>
              <w:jc w:val="right"/>
              <w:ind w:right="74"/>
              <w:spacing w:after="0" w:line="192"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96"/>
              <w:spacing w:after="0" w:line="192" w:lineRule="exact"/>
              <w:rPr>
                <w:sz w:val="20"/>
                <w:szCs w:val="20"/>
                <w:color w:val="auto"/>
              </w:rPr>
            </w:pPr>
            <w:r>
              <w:rPr>
                <w:rFonts w:ascii="Arial" w:cs="Arial" w:eastAsia="Arial" w:hAnsi="Arial"/>
                <w:sz w:val="17"/>
                <w:szCs w:val="17"/>
                <w:color w:val="auto"/>
              </w:rPr>
              <w:t>4,431</w:t>
            </w:r>
          </w:p>
        </w:tc>
        <w:tc>
          <w:tcPr>
            <w:tcW w:w="2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78"/>
              <w:spacing w:after="0" w:line="192" w:lineRule="exact"/>
              <w:rPr>
                <w:sz w:val="20"/>
                <w:szCs w:val="20"/>
                <w:color w:val="auto"/>
              </w:rPr>
            </w:pPr>
            <w:r>
              <w:rPr>
                <w:rFonts w:ascii="Arial" w:cs="Arial" w:eastAsia="Arial" w:hAnsi="Arial"/>
                <w:sz w:val="17"/>
                <w:szCs w:val="17"/>
                <w:color w:val="auto"/>
              </w:rPr>
              <w:t>8,208</w:t>
            </w:r>
          </w:p>
        </w:tc>
        <w:tc>
          <w:tcPr>
            <w:tcW w:w="320" w:type="dxa"/>
            <w:vAlign w:val="bottom"/>
            <w:tcBorders>
              <w:bottom w:val="single" w:sz="8" w:color="auto"/>
            </w:tcBorders>
            <w:shd w:val="clear" w:color="auto" w:fill="CCEEFF"/>
          </w:tcPr>
          <w:p>
            <w:pPr>
              <w:jc w:val="right"/>
              <w:ind w:right="34"/>
              <w:spacing w:after="0" w:line="192"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(3,777)</w:t>
            </w:r>
          </w:p>
        </w:tc>
        <w:tc>
          <w:tcPr>
            <w:tcW w:w="1380" w:type="dxa"/>
            <w:vAlign w:val="bottom"/>
            <w:tcBorders>
              <w:bottom w:val="single" w:sz="8" w:color="CCEEFF"/>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right="60" w:firstLine="636"/>
        <w:spacing w:after="0" w:line="269" w:lineRule="auto"/>
        <w:rPr>
          <w:sz w:val="20"/>
          <w:szCs w:val="20"/>
          <w:color w:val="auto"/>
        </w:rPr>
      </w:pPr>
      <w:r>
        <w:rPr>
          <w:rFonts w:ascii="Arial" w:cs="Arial" w:eastAsia="Arial" w:hAnsi="Arial"/>
          <w:sz w:val="17"/>
          <w:szCs w:val="17"/>
          <w:color w:val="auto"/>
        </w:rPr>
        <w:t>Ceding commission revenue was $4,431,000 in Nine Months 2018 compared to $8,208,000 in Nine Months 2017. The decrease of $3,777,000, or 46.0%, was due to a decrease in provisional ceding commissions earned as well as a decrease in contingent ceding commissions earned. The reduction in provisional ceding commissions occurred due to the decision to retain more of our profitable business (see below for discussion of provisional ceding commissions earned and contingent ceding commissions earned).</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620"/>
          </w:cols>
          <w:pgMar w:left="160" w:top="475" w:right="119" w:bottom="1440" w:gutter="0" w:footer="0" w:header="0"/>
        </w:sectPr>
      </w:pPr>
    </w:p>
    <w:bookmarkStart w:id="47" w:name="page48"/>
    <w:bookmarkEnd w:id="47"/>
    <w:p>
      <w:pPr>
        <w:ind w:left="64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162"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15"/>
          <w:szCs w:val="15"/>
          <w:color w:val="auto"/>
        </w:rPr>
        <w:t>We receive a provisional ceding commission based on ceded written premiums. The $3,222,000 decrease in provisional ceding commissions earned is primarily due to the decreases in the quota share ceding rate: (1) effective July 1, 2018 to 10%, from the 20% rate in effect from July 1, 2017 through June 30, 2018, and (2) effective July 1, 2017 to 20%, from the 40% rate in effect from January 1, 2017 through June 30, 2017; thus there were fewer ceded premiums in Nine Months 2018 available to earn ceding commissions than there were in Nine Months 2017. The decrease was partially offset by an increase in personal lines direct written premiums subject to the quota share and by the one percentage point increase in our provisional ceding commission rate as disclosed in the table above.</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162"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6"/>
          <w:szCs w:val="16"/>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2017/2019 Treaty is subject to change based on losses incurred from claims with accident dates beginning July 1, 2017. The amount of contingent ceding commissions we are eligible to receive under our prior years’ quota share treaties is subject to change based on losses incurred related to claims with accident dates before July 1, 2017.</w:t>
      </w:r>
    </w:p>
    <w:p>
      <w:pPr>
        <w:spacing w:after="0" w:line="104" w:lineRule="exact"/>
        <w:rPr>
          <w:sz w:val="20"/>
          <w:szCs w:val="20"/>
          <w:color w:val="auto"/>
        </w:rPr>
      </w:pPr>
    </w:p>
    <w:p>
      <w:pPr>
        <w:jc w:val="both"/>
        <w:ind w:firstLine="636"/>
        <w:spacing w:after="0" w:line="282" w:lineRule="auto"/>
        <w:rPr>
          <w:sz w:val="20"/>
          <w:szCs w:val="20"/>
          <w:color w:val="auto"/>
        </w:rPr>
      </w:pPr>
      <w:r>
        <w:rPr>
          <w:rFonts w:ascii="Arial" w:cs="Arial" w:eastAsia="Arial" w:hAnsi="Arial"/>
          <w:sz w:val="16"/>
          <w:szCs w:val="16"/>
          <w:color w:val="auto"/>
        </w:rPr>
        <w:t>The 2017/2019 Treaty and 2016/2017 Treaty structures limit the amount of contingent ceding commissions that we can receive by setting a higher provisional commission rate. As a result of the higher upfront provisional ceding commissions that we receive, there is only a limited opportunity to earn contingent ceding commissions under these treaties. Under our current “net” treaty structure, catastrophe losses in excess of the $5,000,000 retention will fall outside of the quota share treaty and such losses will not have an impact on contingent ceding commissions. In Nine Months 2018, catastrophe losses of $1,497,000 were ceded under our personal lines quota share treaty. These catastrophe losses resulted in the Loss Ratios for the period July 1, 2017 through June 30, 2018 (attributable to the 2017/2019 Treaty) being higher than the contractual Loss Ratio at which provisional ceding commissions were being earned. As a result, we incurred a negative adjustment or reduction to the contingent ceding commissions of $459,000 relative to what would have been earned had the catastrophe losses not occurred. See “Reinsurance” below for changes to our personal lines quota share treaty effective July 1, 2018.</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Investment Income</w:t>
      </w:r>
    </w:p>
    <w:p>
      <w:pPr>
        <w:spacing w:after="0" w:line="162" w:lineRule="exact"/>
        <w:rPr>
          <w:sz w:val="20"/>
          <w:szCs w:val="20"/>
          <w:color w:val="auto"/>
        </w:rPr>
      </w:pPr>
    </w:p>
    <w:p>
      <w:pPr>
        <w:jc w:val="both"/>
        <w:ind w:firstLine="636"/>
        <w:spacing w:after="0" w:line="298" w:lineRule="auto"/>
        <w:rPr>
          <w:sz w:val="20"/>
          <w:szCs w:val="20"/>
          <w:color w:val="auto"/>
        </w:rPr>
      </w:pPr>
      <w:r>
        <w:rPr>
          <w:rFonts w:ascii="Arial" w:cs="Arial" w:eastAsia="Arial" w:hAnsi="Arial"/>
          <w:sz w:val="16"/>
          <w:szCs w:val="16"/>
          <w:color w:val="auto"/>
        </w:rPr>
        <w:t>Net investment income was $4,543,000 in Nine Months 2018 compared to $2,917,000 in Nine Months 2017. The increase of $1,626,000, or 55.7%, was due to an increase in average invested assets in Nine Months 2018. The average yield on invested assets was 3.72% as of September 30, 2018 compared to 3.63% as of September 30, 2017. The pre-tax equivalent yield on invested assets was 3.44% and 3.84% as of September 30, 2018 and 2017, respectively.</w:t>
      </w:r>
    </w:p>
    <w:p>
      <w:pPr>
        <w:spacing w:after="0" w:line="96"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7"/>
          <w:szCs w:val="17"/>
          <w:color w:val="auto"/>
        </w:rPr>
        <w:t>Cash and invested assets were $196,595,000 as of September 30, 2018, compared to $155,738,000 as of September 30, 2017. The $40,857,000 increase in cash and invested assets resulted primarily from the net proceeds of approximately $29,122,000 that we received in December 2017 from our debt offering and increased operating cash flows for the period after September 30, 2017.</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auto"/>
        </w:rPr>
        <w:t>Net Gains and Losses on Investments</w:t>
      </w:r>
    </w:p>
    <w:p>
      <w:pPr>
        <w:spacing w:after="0" w:line="162"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Net losses on investments were $278,000 in Nine Months 2018 compared to a net gain of $97,000 in Nine Months 2017. The increased loss of $375,000, was primarily attributable to an accounting standard change (ASU 2016-01, see Note 2) with respect to the changes in fair value of equity securities and other investments. Historically, the change in unrealized gains (losses) for these investments would flow through other comprehensive income. As a result of the new accounting standard, the change in unrealized gains (losses) is now recorded in the statements of income and comprehensive income. Unrealized gains on our equity securities and other investments in Nine Months 2018 were $99,000. Realized losses on investments was $377,000 in Nine Months 2018 compared to realized gains of $97,000 in Nine Months 2017.</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162"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Other income was $962,000 in Nine Months 2018 compared to $926,000 in Nine Months 2017. The increase of $36,000, or 3.9%, was primarily due to an increase in installment and other fees earned in our insurance underwriting business.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and LAE</w:t>
      </w:r>
    </w:p>
    <w:p>
      <w:pPr>
        <w:spacing w:after="0" w:line="162"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Net loss and LAE was $41,739,000 in Nine Months 2018 compared to $22,821,000 in Nine Months 2017. The net loss ratio was 56.0% in Nine Months 2018 compared to 41.6% in Nine Months 2017, an increase of 14.4 percentage points.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graph summarizes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150495</wp:posOffset>
            </wp:positionV>
            <wp:extent cx="3834130" cy="35566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34130" cy="355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00"/>
        <w:spacing w:after="0"/>
        <w:rPr>
          <w:sz w:val="20"/>
          <w:szCs w:val="20"/>
          <w:color w:val="auto"/>
        </w:rPr>
      </w:pPr>
      <w:r>
        <w:rPr>
          <w:rFonts w:ascii="Arial" w:cs="Arial" w:eastAsia="Arial" w:hAnsi="Arial"/>
          <w:sz w:val="17"/>
          <w:szCs w:val="17"/>
          <w:i w:val="1"/>
          <w:iCs w:val="1"/>
          <w:color w:val="auto"/>
        </w:rPr>
        <w:t>(Components may not sum to totals due to rounding)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49" w:name="page50"/>
    <w:bookmarkEnd w:id="49"/>
    <w:p>
      <w:pPr>
        <w:jc w:val="both"/>
        <w:ind w:firstLine="636"/>
        <w:spacing w:after="0" w:line="282" w:lineRule="auto"/>
        <w:rPr>
          <w:sz w:val="20"/>
          <w:szCs w:val="20"/>
          <w:color w:val="auto"/>
        </w:rPr>
      </w:pPr>
      <w:r>
        <w:rPr>
          <w:rFonts w:ascii="Arial" w:cs="Arial" w:eastAsia="Arial" w:hAnsi="Arial"/>
          <w:sz w:val="16"/>
          <w:szCs w:val="16"/>
          <w:color w:val="auto"/>
        </w:rPr>
        <w:t>During Nine Months 2018, the net loss ratio increased compared to Nine Months 2017 primarily due to the impact of catastrophe losses related to First Quarter winter weather. In Nine Months 2018 there have been eight catastrophic events that have affected us, with most of the impact related to several major winter storms. We recorded an 8.2 point impact from catastrophes in Nine Months 2018, driving most of the 14.4 point increase in the overall loss ratio from Nine Months 2017, for which there was no impact from catastrophe events. In addition to the impact of catastrophes, we have recorded 0.2 points of unfavorable prior year loss development in Nine Months 2018 compared to 0.5 points of favorable prior year development in Nine Months 2017. The underlying loss ratio excluding the impact of catastrophes and prior year development was 47.7% in Nine Months 2018, an increase of 5.6 points from the 42.1% underlying loss ratio for Nine Months 2017. The underlying loss ratio increased due to a greater impact from large claims in Nine Months 2018 compared to Nine Months 2017 and higher average claim severity on smaller claims. See table below under “Additional Financial Information” summarizing net loss ratios by line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228"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7"/>
          <w:szCs w:val="17"/>
          <w:color w:val="auto"/>
        </w:rPr>
        <w:t>Commission expense was $18,411,000 in Nine Months 2018 or 18.9% of direct earned premiums. Commission expense was $15,491,000in Nine Months 2017 or 19.1% of direct earned premiums. The increase of $2,920,000 is primarily due to the increase in direct earned premiums in Nine Months 2018 as compared to Nine Months 2017.</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162" w:lineRule="exact"/>
        <w:rPr>
          <w:sz w:val="20"/>
          <w:szCs w:val="20"/>
          <w:color w:val="auto"/>
        </w:rPr>
      </w:pPr>
    </w:p>
    <w:p>
      <w:pPr>
        <w:jc w:val="both"/>
        <w:ind w:firstLine="636"/>
        <w:spacing w:after="0" w:line="285" w:lineRule="auto"/>
        <w:rPr>
          <w:sz w:val="20"/>
          <w:szCs w:val="20"/>
          <w:color w:val="auto"/>
        </w:rPr>
      </w:pPr>
      <w:r>
        <w:rPr>
          <w:rFonts w:ascii="Arial" w:cs="Arial" w:eastAsia="Arial" w:hAnsi="Arial"/>
          <w:sz w:val="16"/>
          <w:szCs w:val="16"/>
          <w:color w:val="auto"/>
        </w:rPr>
        <w:t>Other underwriting expenses were $15,301,000 in Nine Months 2018 compared to $12,887,000 in Nine Months 2017. The increase of $2,414,000, or 18.7%, was primarily due to expenses related to growth in direct written premiums. We are also incurring expenses related to expansion into the states where we are newly licensed to write business (“Expansion Expenses”).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Expansion Expenses were $1,237,000 in Nine Months 2018 compared to $738,000 in Nine Months 2017. The increase of $499,000 includes the costs of salaries and employment costs, professional fees, IT and data services specifically attributable to the expansion into new states.</w:t>
      </w:r>
    </w:p>
    <w:p>
      <w:pPr>
        <w:spacing w:after="0" w:line="106"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Core salaries and employment costs were $6,233,000 in Nine Months 2018 compared to $5,451,000 in Nine Months 2017. The increase of $782,000, or 14.3%, was less than the 19.9% increase in total direct written premiums, which is not yet materially affected by our Expansion business. The increase in employment costs was due to hiring of additional staff to service our current level of business and anticipated growth in volume, hiring our new Chief Operating Officer in March 2018 as well as annual increases in salaries. Growth related to our Expansion business creates a lag in net premiums earned compared to direct written premiums for that business. This lag in net premiums earned along with the reduction to quota share rates distorts net underwriting expense ratio comparisons between periods. Therefore, we believe that reviewing the ratio of Core other underwriting expenses to Core net premiums earned offers a more consistent comparison between periods and is a more accurate indicator of our overall other underwriting expense efficiency. The following table breaks out the Core and Expansion components of our underwriting expense ratio for the periods indicated: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60" w:type="dxa"/>
            <w:vAlign w:val="bottom"/>
            <w:gridSpan w:val="4"/>
          </w:tcPr>
          <w:p>
            <w:pPr>
              <w:jc w:val="right"/>
              <w:ind w:right="840"/>
              <w:spacing w:after="0"/>
              <w:rPr>
                <w:sz w:val="20"/>
                <w:szCs w:val="20"/>
                <w:color w:val="auto"/>
              </w:rPr>
            </w:pPr>
            <w:r>
              <w:rPr>
                <w:rFonts w:ascii="Arial" w:cs="Arial" w:eastAsia="Arial" w:hAnsi="Arial"/>
                <w:sz w:val="15"/>
                <w:szCs w:val="15"/>
                <w:b w:val="1"/>
                <w:bCs w:val="1"/>
                <w:color w:val="auto"/>
              </w:rPr>
              <w:t>Nine months ended</w:t>
            </w:r>
          </w:p>
        </w:tc>
        <w:tc>
          <w:tcPr>
            <w:tcW w:w="2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 or</w:t>
            </w:r>
          </w:p>
        </w:tc>
      </w:tr>
      <w:tr>
        <w:trPr>
          <w:trHeight w:val="179"/>
        </w:trPr>
        <w:tc>
          <w:tcPr>
            <w:tcW w:w="74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Point</w:t>
            </w:r>
          </w:p>
        </w:tc>
      </w:tr>
      <w:tr>
        <w:trPr>
          <w:trHeight w:val="165"/>
        </w:trPr>
        <w:tc>
          <w:tcPr>
            <w:tcW w:w="7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557"/>
              <w:spacing w:after="0" w:line="159" w:lineRule="exact"/>
              <w:rPr>
                <w:sz w:val="20"/>
                <w:szCs w:val="20"/>
                <w:color w:val="auto"/>
              </w:rPr>
            </w:pPr>
            <w:r>
              <w:rPr>
                <w:rFonts w:ascii="Arial" w:cs="Arial" w:eastAsia="Arial" w:hAnsi="Arial"/>
                <w:sz w:val="15"/>
                <w:szCs w:val="15"/>
                <w:b w:val="1"/>
                <w:bCs w:val="1"/>
                <w:color w:val="auto"/>
              </w:rPr>
              <w:t>2018</w:t>
            </w:r>
          </w:p>
        </w:tc>
        <w:tc>
          <w:tcPr>
            <w:tcW w:w="400" w:type="dxa"/>
            <w:vAlign w:val="bottom"/>
          </w:tcPr>
          <w:p>
            <w:pPr>
              <w:spacing w:after="0"/>
              <w:rPr>
                <w:sz w:val="14"/>
                <w:szCs w:val="14"/>
                <w:color w:val="auto"/>
              </w:rPr>
            </w:pPr>
          </w:p>
        </w:tc>
        <w:tc>
          <w:tcPr>
            <w:tcW w:w="900" w:type="dxa"/>
            <w:vAlign w:val="bottom"/>
          </w:tcPr>
          <w:p>
            <w:pPr>
              <w:jc w:val="right"/>
              <w:ind w:right="455"/>
              <w:spacing w:after="0" w:line="159" w:lineRule="exact"/>
              <w:rPr>
                <w:sz w:val="20"/>
                <w:szCs w:val="20"/>
                <w:color w:val="auto"/>
              </w:rPr>
            </w:pPr>
            <w:r>
              <w:rPr>
                <w:rFonts w:ascii="Arial" w:cs="Arial" w:eastAsia="Arial" w:hAnsi="Arial"/>
                <w:sz w:val="15"/>
                <w:szCs w:val="15"/>
                <w:b w:val="1"/>
                <w:bCs w:val="1"/>
                <w:color w:val="auto"/>
              </w:rPr>
              <w:t>2017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320"/>
              <w:spacing w:after="0" w:line="159" w:lineRule="exact"/>
              <w:rPr>
                <w:sz w:val="20"/>
                <w:szCs w:val="20"/>
                <w:color w:val="auto"/>
              </w:rPr>
            </w:pPr>
            <w:r>
              <w:rPr>
                <w:rFonts w:ascii="Arial" w:cs="Arial" w:eastAsia="Arial" w:hAnsi="Arial"/>
                <w:sz w:val="15"/>
                <w:szCs w:val="15"/>
                <w:b w:val="1"/>
                <w:bCs w:val="1"/>
                <w:color w:val="auto"/>
                <w:w w:val="87"/>
              </w:rPr>
              <w:t>Change</w:t>
            </w:r>
          </w:p>
        </w:tc>
      </w:tr>
      <w:tr>
        <w:trPr>
          <w:trHeight w:val="238"/>
        </w:trPr>
        <w:tc>
          <w:tcPr>
            <w:tcW w:w="74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7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premiums earned</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7400" w:type="dxa"/>
            <w:vAlign w:val="bottom"/>
          </w:tcPr>
          <w:p>
            <w:pPr>
              <w:ind w:left="200"/>
              <w:spacing w:after="0"/>
              <w:rPr>
                <w:sz w:val="20"/>
                <w:szCs w:val="20"/>
                <w:color w:val="auto"/>
              </w:rPr>
            </w:pPr>
            <w:r>
              <w:rPr>
                <w:rFonts w:ascii="Arial" w:cs="Arial" w:eastAsia="Arial" w:hAnsi="Arial"/>
                <w:sz w:val="17"/>
                <w:szCs w:val="17"/>
                <w:color w:val="auto"/>
              </w:rPr>
              <w:t>Core</w:t>
            </w:r>
          </w:p>
        </w:tc>
        <w:tc>
          <w:tcPr>
            <w:tcW w:w="4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7"/>
              <w:spacing w:after="0"/>
              <w:rPr>
                <w:sz w:val="20"/>
                <w:szCs w:val="20"/>
                <w:color w:val="auto"/>
              </w:rPr>
            </w:pPr>
            <w:r>
              <w:rPr>
                <w:rFonts w:ascii="Arial" w:cs="Arial" w:eastAsia="Arial" w:hAnsi="Arial"/>
                <w:sz w:val="17"/>
                <w:szCs w:val="17"/>
                <w:color w:val="auto"/>
              </w:rPr>
              <w:t>72,379</w:t>
            </w:r>
          </w:p>
        </w:tc>
        <w:tc>
          <w:tcPr>
            <w:tcW w:w="40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54,730</w:t>
            </w:r>
          </w:p>
        </w:tc>
        <w:tc>
          <w:tcPr>
            <w:tcW w:w="80" w:type="dxa"/>
            <w:vAlign w:val="bottom"/>
          </w:tcPr>
          <w:p>
            <w:pPr>
              <w:spacing w:after="0"/>
              <w:rPr>
                <w:sz w:val="18"/>
                <w:szCs w:val="18"/>
                <w:color w:val="auto"/>
              </w:rPr>
            </w:pPr>
          </w:p>
        </w:tc>
        <w:tc>
          <w:tcPr>
            <w:tcW w:w="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17,649</w:t>
            </w:r>
          </w:p>
        </w:tc>
        <w:tc>
          <w:tcPr>
            <w:tcW w:w="20" w:type="dxa"/>
            <w:vAlign w:val="bottom"/>
          </w:tcPr>
          <w:p>
            <w:pPr>
              <w:spacing w:after="0"/>
              <w:rPr>
                <w:sz w:val="18"/>
                <w:szCs w:val="18"/>
                <w:color w:val="auto"/>
              </w:rPr>
            </w:pPr>
          </w:p>
        </w:tc>
      </w:tr>
      <w:tr>
        <w:trPr>
          <w:trHeight w:val="218"/>
        </w:trPr>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Expansion</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2,097</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108</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1,989</w:t>
            </w:r>
          </w:p>
        </w:tc>
        <w:tc>
          <w:tcPr>
            <w:tcW w:w="20" w:type="dxa"/>
            <w:vAlign w:val="bottom"/>
          </w:tcPr>
          <w:p>
            <w:pPr>
              <w:spacing w:after="0"/>
              <w:rPr>
                <w:sz w:val="18"/>
                <w:szCs w:val="18"/>
                <w:color w:val="auto"/>
              </w:rPr>
            </w:pPr>
          </w:p>
        </w:tc>
      </w:tr>
      <w:tr>
        <w:trPr>
          <w:trHeight w:val="212"/>
        </w:trPr>
        <w:tc>
          <w:tcPr>
            <w:tcW w:w="7400" w:type="dxa"/>
            <w:vAlign w:val="bottom"/>
          </w:tcPr>
          <w:p>
            <w:pPr>
              <w:ind w:left="200"/>
              <w:spacing w:after="0"/>
              <w:rPr>
                <w:sz w:val="20"/>
                <w:szCs w:val="20"/>
                <w:color w:val="auto"/>
              </w:rPr>
            </w:pPr>
            <w:r>
              <w:rPr>
                <w:rFonts w:ascii="Arial" w:cs="Arial" w:eastAsia="Arial" w:hAnsi="Arial"/>
                <w:sz w:val="17"/>
                <w:szCs w:val="17"/>
                <w:color w:val="auto"/>
              </w:rPr>
              <w:t>Total</w:t>
            </w:r>
          </w:p>
        </w:tc>
        <w:tc>
          <w:tcPr>
            <w:tcW w:w="4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74,476</w:t>
            </w:r>
          </w:p>
        </w:tc>
        <w:tc>
          <w:tcPr>
            <w:tcW w:w="4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54,838</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19,638</w:t>
            </w:r>
          </w:p>
        </w:tc>
        <w:tc>
          <w:tcPr>
            <w:tcW w:w="2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7400" w:type="dxa"/>
            <w:vAlign w:val="bottom"/>
          </w:tcPr>
          <w:p>
            <w:pPr>
              <w:ind w:left="40"/>
              <w:spacing w:after="0"/>
              <w:rPr>
                <w:sz w:val="20"/>
                <w:szCs w:val="20"/>
                <w:color w:val="auto"/>
              </w:rPr>
            </w:pPr>
            <w:r>
              <w:rPr>
                <w:rFonts w:ascii="Arial" w:cs="Arial" w:eastAsia="Arial" w:hAnsi="Arial"/>
                <w:sz w:val="17"/>
                <w:szCs w:val="17"/>
                <w:color w:val="auto"/>
              </w:rPr>
              <w:t>Other underwriting expenses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7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Core</w:t>
            </w:r>
          </w:p>
        </w:tc>
        <w:tc>
          <w:tcPr>
            <w:tcW w:w="4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14,063</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12,146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1,917</w:t>
            </w:r>
          </w:p>
        </w:tc>
        <w:tc>
          <w:tcPr>
            <w:tcW w:w="20" w:type="dxa"/>
            <w:vAlign w:val="bottom"/>
          </w:tcPr>
          <w:p>
            <w:pPr>
              <w:spacing w:after="0"/>
              <w:rPr>
                <w:sz w:val="18"/>
                <w:szCs w:val="18"/>
                <w:color w:val="auto"/>
              </w:rPr>
            </w:pPr>
          </w:p>
        </w:tc>
      </w:tr>
      <w:tr>
        <w:trPr>
          <w:trHeight w:val="218"/>
        </w:trPr>
        <w:tc>
          <w:tcPr>
            <w:tcW w:w="7400" w:type="dxa"/>
            <w:vAlign w:val="bottom"/>
          </w:tcPr>
          <w:p>
            <w:pPr>
              <w:ind w:left="200"/>
              <w:spacing w:after="0"/>
              <w:rPr>
                <w:sz w:val="20"/>
                <w:szCs w:val="20"/>
                <w:color w:val="auto"/>
              </w:rPr>
            </w:pPr>
            <w:r>
              <w:rPr>
                <w:rFonts w:ascii="Arial" w:cs="Arial" w:eastAsia="Arial" w:hAnsi="Arial"/>
                <w:sz w:val="17"/>
                <w:szCs w:val="17"/>
                <w:color w:val="auto"/>
              </w:rPr>
              <w:t>Expansion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1,238</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741</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497</w:t>
            </w:r>
          </w:p>
        </w:tc>
        <w:tc>
          <w:tcPr>
            <w:tcW w:w="20" w:type="dxa"/>
            <w:vAlign w:val="bottom"/>
          </w:tcPr>
          <w:p>
            <w:pPr>
              <w:spacing w:after="0"/>
              <w:rPr>
                <w:sz w:val="18"/>
                <w:szCs w:val="18"/>
                <w:color w:val="auto"/>
              </w:rPr>
            </w:pPr>
          </w:p>
        </w:tc>
      </w:tr>
      <w:tr>
        <w:trPr>
          <w:trHeight w:val="252"/>
        </w:trPr>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4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15,301</w:t>
            </w:r>
          </w:p>
        </w:tc>
        <w:tc>
          <w:tcPr>
            <w:tcW w:w="4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12,887</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2,414</w:t>
            </w:r>
          </w:p>
        </w:tc>
        <w:tc>
          <w:tcPr>
            <w:tcW w:w="20" w:type="dxa"/>
            <w:vAlign w:val="bottom"/>
          </w:tcPr>
          <w:p>
            <w:pPr>
              <w:spacing w:after="0"/>
              <w:rPr>
                <w:sz w:val="21"/>
                <w:szCs w:val="21"/>
                <w:color w:val="auto"/>
              </w:rPr>
            </w:pPr>
          </w:p>
        </w:tc>
      </w:tr>
      <w:tr>
        <w:trPr>
          <w:trHeight w:val="205"/>
        </w:trPr>
        <w:tc>
          <w:tcPr>
            <w:tcW w:w="7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7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underwriting expenses as a percentage</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7400" w:type="dxa"/>
            <w:vAlign w:val="bottom"/>
          </w:tcPr>
          <w:p>
            <w:pPr>
              <w:ind w:left="40"/>
              <w:spacing w:after="0"/>
              <w:rPr>
                <w:sz w:val="20"/>
                <w:szCs w:val="20"/>
                <w:color w:val="auto"/>
              </w:rPr>
            </w:pPr>
            <w:r>
              <w:rPr>
                <w:rFonts w:ascii="Arial" w:cs="Arial" w:eastAsia="Arial" w:hAnsi="Arial"/>
                <w:sz w:val="17"/>
                <w:szCs w:val="17"/>
                <w:color w:val="auto"/>
              </w:rPr>
              <w:t>of net premiums earned</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7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Core</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8"/>
                <w:szCs w:val="18"/>
                <w:color w:val="auto"/>
              </w:rPr>
            </w:pPr>
          </w:p>
        </w:tc>
      </w:tr>
      <w:tr>
        <w:trPr>
          <w:trHeight w:val="212"/>
        </w:trPr>
        <w:tc>
          <w:tcPr>
            <w:tcW w:w="7400" w:type="dxa"/>
            <w:vAlign w:val="bottom"/>
          </w:tcPr>
          <w:p>
            <w:pPr>
              <w:ind w:left="200"/>
              <w:spacing w:after="0"/>
              <w:rPr>
                <w:sz w:val="20"/>
                <w:szCs w:val="20"/>
                <w:color w:val="auto"/>
              </w:rPr>
            </w:pPr>
            <w:r>
              <w:rPr>
                <w:rFonts w:ascii="Arial" w:cs="Arial" w:eastAsia="Arial" w:hAnsi="Arial"/>
                <w:sz w:val="17"/>
                <w:szCs w:val="17"/>
                <w:color w:val="auto"/>
              </w:rPr>
              <w:t>Expansion</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59.0%</w:t>
            </w:r>
          </w:p>
        </w:tc>
        <w:tc>
          <w:tcPr>
            <w:tcW w:w="4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686.1%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-627.1%</w:t>
            </w:r>
          </w:p>
        </w:tc>
        <w:tc>
          <w:tcPr>
            <w:tcW w:w="20" w:type="dxa"/>
            <w:vAlign w:val="bottom"/>
          </w:tcPr>
          <w:p>
            <w:pPr>
              <w:spacing w:after="0"/>
              <w:rPr>
                <w:sz w:val="18"/>
                <w:szCs w:val="18"/>
                <w:color w:val="auto"/>
              </w:rPr>
            </w:pPr>
          </w:p>
        </w:tc>
      </w:tr>
      <w:tr>
        <w:trPr>
          <w:trHeight w:val="212"/>
        </w:trPr>
        <w:tc>
          <w:tcPr>
            <w:tcW w:w="7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r>
    </w:tbl>
    <w:p>
      <w:pPr>
        <w:spacing w:after="0" w:line="203" w:lineRule="exact"/>
        <w:rPr>
          <w:sz w:val="20"/>
          <w:szCs w:val="20"/>
          <w:color w:val="auto"/>
        </w:rPr>
      </w:pPr>
    </w:p>
    <w:p>
      <w:pPr>
        <w:jc w:val="both"/>
        <w:ind w:right="20" w:firstLine="636"/>
        <w:spacing w:after="0" w:line="287" w:lineRule="auto"/>
        <w:rPr>
          <w:sz w:val="20"/>
          <w:szCs w:val="20"/>
          <w:color w:val="auto"/>
        </w:rPr>
      </w:pPr>
      <w:r>
        <w:rPr>
          <w:rFonts w:ascii="Arial" w:cs="Arial" w:eastAsia="Arial" w:hAnsi="Arial"/>
          <w:sz w:val="17"/>
          <w:szCs w:val="17"/>
          <w:color w:val="auto"/>
        </w:rPr>
        <w:t>The ratio of Core other underwriting expenses to Core net premiums earned was 20.6% in Nine Months 2018 compared to 23.5% in Nine Months 2017, a decrease of 2.9 percentage points.</w:t>
      </w:r>
    </w:p>
    <w:p>
      <w:pPr>
        <w:spacing w:after="0" w:line="102" w:lineRule="exact"/>
        <w:rPr>
          <w:sz w:val="20"/>
          <w:szCs w:val="20"/>
          <w:color w:val="auto"/>
        </w:rPr>
      </w:pPr>
    </w:p>
    <w:p>
      <w:pPr>
        <w:jc w:val="both"/>
        <w:ind w:right="20" w:firstLine="636"/>
        <w:spacing w:after="0" w:line="287" w:lineRule="auto"/>
        <w:rPr>
          <w:sz w:val="20"/>
          <w:szCs w:val="20"/>
          <w:color w:val="auto"/>
        </w:rPr>
      </w:pPr>
      <w:r>
        <w:rPr>
          <w:rFonts w:ascii="Arial" w:cs="Arial" w:eastAsia="Arial" w:hAnsi="Arial"/>
          <w:sz w:val="17"/>
          <w:szCs w:val="17"/>
          <w:color w:val="auto"/>
        </w:rPr>
        <w:t>Our net underwriting expense ratio in Nine Months 2018 was 38.1% compared to 35.2% in Nine Months 2017. The following table shows the individual components of our net underwriting expense ratio for the periods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2960" w:type="dxa"/>
            <w:vAlign w:val="bottom"/>
            <w:gridSpan w:val="3"/>
          </w:tcPr>
          <w:p>
            <w:pPr>
              <w:jc w:val="right"/>
              <w:ind w:right="940"/>
              <w:spacing w:after="0"/>
              <w:rPr>
                <w:sz w:val="20"/>
                <w:szCs w:val="20"/>
                <w:color w:val="auto"/>
              </w:rPr>
            </w:pPr>
            <w:r>
              <w:rPr>
                <w:rFonts w:ascii="Arial" w:cs="Arial" w:eastAsia="Arial" w:hAnsi="Arial"/>
                <w:sz w:val="15"/>
                <w:szCs w:val="15"/>
                <w:b w:val="1"/>
                <w:bCs w:val="1"/>
                <w:color w:val="auto"/>
              </w:rPr>
              <w:t>Nine months ended</w:t>
            </w:r>
          </w:p>
        </w:tc>
        <w:tc>
          <w:tcPr>
            <w:tcW w:w="1200" w:type="dxa"/>
            <w:vAlign w:val="bottom"/>
          </w:tcPr>
          <w:p>
            <w:pPr>
              <w:spacing w:after="0"/>
              <w:rPr>
                <w:sz w:val="14"/>
                <w:szCs w:val="14"/>
                <w:color w:val="auto"/>
              </w:rPr>
            </w:pPr>
          </w:p>
        </w:tc>
      </w:tr>
      <w:tr>
        <w:trPr>
          <w:trHeight w:val="179"/>
        </w:trPr>
        <w:tc>
          <w:tcPr>
            <w:tcW w:w="7400" w:type="dxa"/>
            <w:vAlign w:val="bottom"/>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Percentage</w:t>
            </w:r>
          </w:p>
        </w:tc>
      </w:tr>
      <w:tr>
        <w:trPr>
          <w:trHeight w:val="165"/>
        </w:trPr>
        <w:tc>
          <w:tcPr>
            <w:tcW w:w="7400" w:type="dxa"/>
            <w:vAlign w:val="bottom"/>
          </w:tcPr>
          <w:p>
            <w:pPr>
              <w:spacing w:after="0"/>
              <w:rPr>
                <w:sz w:val="14"/>
                <w:szCs w:val="14"/>
                <w:color w:val="auto"/>
              </w:rPr>
            </w:pPr>
          </w:p>
        </w:tc>
        <w:tc>
          <w:tcPr>
            <w:tcW w:w="1900" w:type="dxa"/>
            <w:vAlign w:val="bottom"/>
            <w:tcBorders>
              <w:bottom w:val="single" w:sz="8" w:color="auto"/>
            </w:tcBorders>
          </w:tcPr>
          <w:p>
            <w:pPr>
              <w:jc w:val="right"/>
              <w:ind w:right="957"/>
              <w:spacing w:after="0" w:line="159" w:lineRule="exact"/>
              <w:rPr>
                <w:sz w:val="20"/>
                <w:szCs w:val="20"/>
                <w:color w:val="auto"/>
              </w:rPr>
            </w:pPr>
            <w:r>
              <w:rPr>
                <w:rFonts w:ascii="Arial" w:cs="Arial" w:eastAsia="Arial" w:hAnsi="Arial"/>
                <w:sz w:val="15"/>
                <w:szCs w:val="15"/>
                <w:b w:val="1"/>
                <w:bCs w:val="1"/>
                <w:color w:val="auto"/>
              </w:rPr>
              <w:t>2018</w:t>
            </w:r>
          </w:p>
        </w:tc>
        <w:tc>
          <w:tcPr>
            <w:tcW w:w="880" w:type="dxa"/>
            <w:vAlign w:val="bottom"/>
            <w:tcBorders>
              <w:bottom w:val="single" w:sz="8" w:color="auto"/>
            </w:tcBorders>
          </w:tcPr>
          <w:p>
            <w:pPr>
              <w:jc w:val="right"/>
              <w:ind w:right="435"/>
              <w:spacing w:after="0" w:line="159" w:lineRule="exact"/>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6"/>
              <w:spacing w:after="0" w:line="159" w:lineRule="exact"/>
              <w:rPr>
                <w:sz w:val="20"/>
                <w:szCs w:val="20"/>
                <w:color w:val="auto"/>
              </w:rPr>
            </w:pPr>
            <w:r>
              <w:rPr>
                <w:rFonts w:ascii="Arial" w:cs="Arial" w:eastAsia="Arial" w:hAnsi="Arial"/>
                <w:sz w:val="15"/>
                <w:szCs w:val="15"/>
                <w:b w:val="1"/>
                <w:bCs w:val="1"/>
                <w:color w:val="auto"/>
                <w:w w:val="97"/>
              </w:rPr>
              <w:t>Point Change</w:t>
            </w:r>
          </w:p>
        </w:tc>
      </w:tr>
      <w:tr>
        <w:trPr>
          <w:trHeight w:val="238"/>
        </w:trPr>
        <w:tc>
          <w:tcPr>
            <w:tcW w:w="7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2"/>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Ceding commission revenue - provisional</w:t>
            </w:r>
          </w:p>
        </w:tc>
        <w:tc>
          <w:tcPr>
            <w:tcW w:w="190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rPr>
              <w:t>(7.3)%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(15.8)%</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8.5</w:t>
            </w:r>
          </w:p>
        </w:tc>
      </w:tr>
      <w:tr>
        <w:trPr>
          <w:trHeight w:val="212"/>
        </w:trPr>
        <w:tc>
          <w:tcPr>
            <w:tcW w:w="7400" w:type="dxa"/>
            <w:vAlign w:val="bottom"/>
          </w:tcPr>
          <w:p>
            <w:pPr>
              <w:spacing w:after="0"/>
              <w:rPr>
                <w:sz w:val="20"/>
                <w:szCs w:val="20"/>
                <w:color w:val="auto"/>
              </w:rPr>
            </w:pPr>
            <w:r>
              <w:rPr>
                <w:rFonts w:ascii="Arial" w:cs="Arial" w:eastAsia="Arial" w:hAnsi="Arial"/>
                <w:sz w:val="17"/>
                <w:szCs w:val="17"/>
                <w:color w:val="auto"/>
              </w:rPr>
              <w:t>Ceding commission revenue - contingent</w:t>
            </w:r>
          </w:p>
        </w:tc>
        <w:tc>
          <w:tcPr>
            <w:tcW w:w="1900" w:type="dxa"/>
            <w:vAlign w:val="bottom"/>
          </w:tcPr>
          <w:p>
            <w:pPr>
              <w:jc w:val="right"/>
              <w:ind w:right="557"/>
              <w:spacing w:after="0"/>
              <w:rPr>
                <w:sz w:val="20"/>
                <w:szCs w:val="20"/>
                <w:color w:val="auto"/>
              </w:rPr>
            </w:pPr>
            <w:r>
              <w:rPr>
                <w:rFonts w:ascii="Arial" w:cs="Arial" w:eastAsia="Arial" w:hAnsi="Arial"/>
                <w:sz w:val="17"/>
                <w:szCs w:val="17"/>
                <w:color w:val="auto"/>
              </w:rPr>
              <w:t>1.4</w:t>
            </w: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0.9</w:t>
            </w:r>
          </w:p>
        </w:tc>
        <w:tc>
          <w:tcPr>
            <w:tcW w:w="18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Arial" w:cs="Arial" w:eastAsia="Arial" w:hAnsi="Arial"/>
                <w:sz w:val="17"/>
                <w:szCs w:val="17"/>
                <w:color w:val="auto"/>
              </w:rPr>
              <w:t>0.5</w:t>
            </w:r>
          </w:p>
        </w:tc>
      </w:tr>
      <w:tr>
        <w:trPr>
          <w:trHeight w:val="212"/>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900" w:type="dxa"/>
            <w:vAlign w:val="bottom"/>
            <w:shd w:val="clear" w:color="auto" w:fill="CCEEFF"/>
          </w:tcPr>
          <w:p>
            <w:pPr>
              <w:jc w:val="right"/>
              <w:ind w:right="497"/>
              <w:spacing w:after="0"/>
              <w:rPr>
                <w:sz w:val="20"/>
                <w:szCs w:val="20"/>
                <w:color w:val="auto"/>
              </w:rPr>
            </w:pPr>
            <w:r>
              <w:rPr>
                <w:rFonts w:ascii="Arial" w:cs="Arial" w:eastAsia="Arial" w:hAnsi="Arial"/>
                <w:sz w:val="17"/>
                <w:szCs w:val="17"/>
                <w:color w:val="auto"/>
              </w:rPr>
              <w:t>(1.3)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0.3</w:t>
            </w:r>
          </w:p>
        </w:tc>
      </w:tr>
      <w:tr>
        <w:trPr>
          <w:trHeight w:val="212"/>
        </w:trPr>
        <w:tc>
          <w:tcPr>
            <w:tcW w:w="7400" w:type="dxa"/>
            <w:vAlign w:val="bottom"/>
          </w:tcPr>
          <w:p>
            <w:pPr>
              <w:spacing w:after="0"/>
              <w:rPr>
                <w:sz w:val="20"/>
                <w:szCs w:val="20"/>
                <w:color w:val="auto"/>
              </w:rPr>
            </w:pPr>
            <w:r>
              <w:rPr>
                <w:rFonts w:ascii="Arial" w:cs="Arial" w:eastAsia="Arial" w:hAnsi="Arial"/>
                <w:sz w:val="17"/>
                <w:szCs w:val="17"/>
                <w:color w:val="auto"/>
              </w:rPr>
              <w:t>Acquisition costs and other underwriting expenses:</w:t>
            </w: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Commission expense</w:t>
            </w:r>
          </w:p>
        </w:tc>
        <w:tc>
          <w:tcPr>
            <w:tcW w:w="190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rPr>
              <w:t>24.7</w:t>
            </w:r>
          </w:p>
        </w:tc>
        <w:tc>
          <w:tcPr>
            <w:tcW w:w="8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28.2</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8"/>
        </w:trPr>
        <w:tc>
          <w:tcPr>
            <w:tcW w:w="7400" w:type="dxa"/>
            <w:vAlign w:val="bottom"/>
          </w:tcPr>
          <w:p>
            <w:pPr>
              <w:spacing w:after="0"/>
              <w:rPr>
                <w:sz w:val="18"/>
                <w:szCs w:val="18"/>
                <w:color w:val="auto"/>
              </w:rPr>
            </w:pPr>
          </w:p>
        </w:tc>
        <w:tc>
          <w:tcPr>
            <w:tcW w:w="190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rPr>
              <w:t>17.5</w:t>
            </w: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11.7</w:t>
            </w:r>
          </w:p>
        </w:tc>
        <w:tc>
          <w:tcPr>
            <w:tcW w:w="18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Arial" w:cs="Arial" w:eastAsia="Arial" w:hAnsi="Arial"/>
                <w:sz w:val="17"/>
                <w:szCs w:val="17"/>
                <w:color w:val="auto"/>
              </w:rPr>
              <w:t>5.8</w:t>
            </w:r>
          </w:p>
        </w:tc>
      </w:tr>
      <w:tr>
        <w:trPr>
          <w:trHeight w:val="212"/>
        </w:trPr>
        <w:tc>
          <w:tcPr>
            <w:tcW w:w="7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underwriting expenses</w:t>
            </w:r>
          </w:p>
        </w:tc>
        <w:tc>
          <w:tcPr>
            <w:tcW w:w="1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2"/>
        </w:trPr>
        <w:tc>
          <w:tcPr>
            <w:tcW w:w="7400" w:type="dxa"/>
            <w:vAlign w:val="bottom"/>
          </w:tcPr>
          <w:p>
            <w:pPr>
              <w:ind w:left="320"/>
              <w:spacing w:after="0"/>
              <w:rPr>
                <w:sz w:val="20"/>
                <w:szCs w:val="20"/>
                <w:color w:val="auto"/>
              </w:rPr>
            </w:pPr>
            <w:r>
              <w:rPr>
                <w:rFonts w:ascii="Arial" w:cs="Arial" w:eastAsia="Arial" w:hAnsi="Arial"/>
                <w:sz w:val="17"/>
                <w:szCs w:val="17"/>
                <w:color w:val="auto"/>
              </w:rPr>
              <w:t>Core</w:t>
            </w: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74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Employment costs</w:t>
            </w:r>
          </w:p>
        </w:tc>
        <w:tc>
          <w:tcPr>
            <w:tcW w:w="190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rPr>
              <w:t>8.4</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9.9</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8"/>
        </w:trPr>
        <w:tc>
          <w:tcPr>
            <w:tcW w:w="7400" w:type="dxa"/>
            <w:vAlign w:val="bottom"/>
          </w:tcPr>
          <w:p>
            <w:pPr>
              <w:ind w:left="480"/>
              <w:spacing w:after="0"/>
              <w:rPr>
                <w:sz w:val="20"/>
                <w:szCs w:val="20"/>
                <w:color w:val="auto"/>
              </w:rPr>
            </w:pPr>
            <w:r>
              <w:rPr>
                <w:rFonts w:ascii="Arial" w:cs="Arial" w:eastAsia="Arial" w:hAnsi="Arial"/>
                <w:sz w:val="17"/>
                <w:szCs w:val="17"/>
                <w:color w:val="auto"/>
              </w:rPr>
              <w:t>Other Core Expenses</w:t>
            </w:r>
          </w:p>
        </w:tc>
        <w:tc>
          <w:tcPr>
            <w:tcW w:w="190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rPr>
              <w:t>10.5</w:t>
            </w: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12.3</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2"/>
        </w:trPr>
        <w:tc>
          <w:tcPr>
            <w:tcW w:w="74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 Core Expenses</w:t>
            </w:r>
          </w:p>
        </w:tc>
        <w:tc>
          <w:tcPr>
            <w:tcW w:w="190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rPr>
              <w:t>18.9</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22.2</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8"/>
        </w:trPr>
        <w:tc>
          <w:tcPr>
            <w:tcW w:w="7400" w:type="dxa"/>
            <w:vAlign w:val="bottom"/>
          </w:tcPr>
          <w:p>
            <w:pPr>
              <w:ind w:left="320"/>
              <w:spacing w:after="0"/>
              <w:rPr>
                <w:sz w:val="20"/>
                <w:szCs w:val="20"/>
                <w:color w:val="auto"/>
              </w:rPr>
            </w:pPr>
            <w:r>
              <w:rPr>
                <w:rFonts w:ascii="Arial" w:cs="Arial" w:eastAsia="Arial" w:hAnsi="Arial"/>
                <w:sz w:val="17"/>
                <w:szCs w:val="17"/>
                <w:color w:val="auto"/>
              </w:rPr>
              <w:t>Expansion Expenses</w:t>
            </w:r>
          </w:p>
        </w:tc>
        <w:tc>
          <w:tcPr>
            <w:tcW w:w="190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rPr>
              <w:t>1.7</w:t>
            </w: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Arial" w:cs="Arial" w:eastAsia="Arial" w:hAnsi="Arial"/>
                <w:sz w:val="17"/>
                <w:szCs w:val="17"/>
                <w:color w:val="auto"/>
              </w:rPr>
              <w:t>0.4</w:t>
            </w:r>
          </w:p>
        </w:tc>
      </w:tr>
      <w:tr>
        <w:trPr>
          <w:trHeight w:val="218"/>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other underwriting expenses</w:t>
            </w:r>
          </w:p>
        </w:tc>
        <w:tc>
          <w:tcPr>
            <w:tcW w:w="190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rPr>
              <w:t>20.6</w:t>
            </w:r>
          </w:p>
        </w:tc>
        <w:tc>
          <w:tcPr>
            <w:tcW w:w="8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23.5</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12"/>
        </w:trPr>
        <w:tc>
          <w:tcPr>
            <w:tcW w:w="7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2"/>
        </w:trPr>
        <w:tc>
          <w:tcPr>
            <w:tcW w:w="74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Net underwriting expense ratio</w:t>
            </w:r>
          </w:p>
        </w:tc>
        <w:tc>
          <w:tcPr>
            <w:tcW w:w="1900" w:type="dxa"/>
            <w:vAlign w:val="bottom"/>
            <w:shd w:val="clear" w:color="auto" w:fill="CCEEFF"/>
          </w:tcPr>
          <w:p>
            <w:pPr>
              <w:jc w:val="right"/>
              <w:ind w:right="417"/>
              <w:spacing w:after="0" w:line="192" w:lineRule="exact"/>
              <w:rPr>
                <w:sz w:val="20"/>
                <w:szCs w:val="20"/>
                <w:color w:val="auto"/>
              </w:rPr>
            </w:pPr>
            <w:r>
              <w:rPr>
                <w:rFonts w:ascii="Arial" w:cs="Arial" w:eastAsia="Arial" w:hAnsi="Arial"/>
                <w:sz w:val="17"/>
                <w:szCs w:val="17"/>
                <w:color w:val="auto"/>
              </w:rPr>
              <w:t>38.1%</w:t>
            </w:r>
          </w:p>
        </w:tc>
        <w:tc>
          <w:tcPr>
            <w:tcW w:w="10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35.2%</w:t>
            </w:r>
          </w:p>
        </w:tc>
        <w:tc>
          <w:tcPr>
            <w:tcW w:w="1200" w:type="dxa"/>
            <w:vAlign w:val="bottom"/>
            <w:shd w:val="clear" w:color="auto" w:fill="CCEEFF"/>
          </w:tcPr>
          <w:p>
            <w:pPr>
              <w:jc w:val="right"/>
              <w:ind w:right="56"/>
              <w:spacing w:after="0" w:line="192" w:lineRule="exact"/>
              <w:rPr>
                <w:sz w:val="20"/>
                <w:szCs w:val="20"/>
                <w:color w:val="auto"/>
              </w:rPr>
            </w:pPr>
            <w:r>
              <w:rPr>
                <w:rFonts w:ascii="Arial" w:cs="Arial" w:eastAsia="Arial" w:hAnsi="Arial"/>
                <w:sz w:val="17"/>
                <w:szCs w:val="17"/>
                <w:color w:val="auto"/>
              </w:rPr>
              <w:t>2.9</w:t>
            </w:r>
          </w:p>
        </w:tc>
      </w:tr>
      <w:tr>
        <w:trPr>
          <w:trHeight w:val="20"/>
        </w:trPr>
        <w:tc>
          <w:tcPr>
            <w:tcW w:w="74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3" w:lineRule="exact"/>
        <w:rPr>
          <w:sz w:val="20"/>
          <w:szCs w:val="20"/>
          <w:color w:val="auto"/>
        </w:rPr>
      </w:pPr>
    </w:p>
    <w:p>
      <w:pPr>
        <w:jc w:val="both"/>
        <w:ind w:right="20" w:firstLine="636"/>
        <w:spacing w:after="0" w:line="273" w:lineRule="auto"/>
        <w:rPr>
          <w:sz w:val="20"/>
          <w:szCs w:val="20"/>
          <w:color w:val="auto"/>
        </w:rPr>
      </w:pPr>
      <w:r>
        <w:rPr>
          <w:rFonts w:ascii="Arial" w:cs="Arial" w:eastAsia="Arial" w:hAnsi="Arial"/>
          <w:sz w:val="17"/>
          <w:szCs w:val="17"/>
          <w:color w:val="auto"/>
        </w:rPr>
        <w:t>The decrease in our other underwriting expense ratio excluding the impact of ceding commission revenue and commission expense was driven by a decline of 3.3 points from the impact of employment costs and other expenses attributable to our growing Core business, partially offset by the impact from increased costs related to Expansion business.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80"/>
          </w:cols>
          <w:pgMar w:left="160" w:top="456" w:right="159" w:bottom="1440" w:gutter="0" w:footer="0" w:header="0"/>
        </w:sectPr>
      </w:pPr>
    </w:p>
    <w:bookmarkStart w:id="51" w:name="page52"/>
    <w:bookmarkEnd w:id="51"/>
    <w:p>
      <w:pPr>
        <w:jc w:val="both"/>
        <w:ind w:firstLine="636"/>
        <w:spacing w:after="0" w:line="269" w:lineRule="auto"/>
        <w:rPr>
          <w:sz w:val="20"/>
          <w:szCs w:val="20"/>
          <w:color w:val="auto"/>
        </w:rPr>
      </w:pPr>
      <w:r>
        <w:rPr>
          <w:rFonts w:ascii="Arial" w:cs="Arial" w:eastAsia="Arial" w:hAnsi="Arial"/>
          <w:sz w:val="17"/>
          <w:szCs w:val="17"/>
          <w:color w:val="auto"/>
        </w:rPr>
        <w:t>The overall increase of 2.9 percentage points in the net underwriting expense ratio was driven almost entirely by the change in our quota share ceding rates and its impact on provisional ceding commission revenue as a result of the additional retention resulting from the Cut-off to our quota share treaty on July 1, 2018. The components of our net underwriting expense ratio related to commissions and other underwriting expenses improved in nearly all categories, but this was more than offset by reductions in the reinsurance ceding commission revenue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162"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7"/>
          <w:szCs w:val="17"/>
          <w:color w:val="auto"/>
        </w:rPr>
        <w:t>Other operating expenses, related to the expenses of our holding company, were $1,774,000 in Nine Months 2018 compared to $2,732,000 in Nine Months 2017. The decrease in Nine Months 2018 of $958,000, or 35.1%, was primarily due to decreases in executive bonus compensation, partially offset by an increase in salary and equity compensation due to the hiring of Dale A. Thatcher, our new Chief Operating Officer, in March 2018.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162"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17"/>
          <w:szCs w:val="17"/>
          <w:color w:val="auto"/>
        </w:rPr>
        <w:t>Depreciation and amortization was $1,274,000 in Nine Months 2018 compared to $1,023,000 in Nine Months 2017. The increase of $251,000, or 24.5%, in depreciation and amortization was primarily due to depreciation of our new system platform for processing business being written in Expansion states. The increase was also impacted by newly purchased assets used to upgrade our systems infrastructure and improvements to the Kingston, New York home office building from which we operate.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Expense</w:t>
      </w:r>
    </w:p>
    <w:p>
      <w:pPr>
        <w:spacing w:after="0" w:line="162"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Interest expense in Nine Months 2018 was $1,365,000 and -0- in Nine Months 2017. We incurred interest expense in connection with our $30.0 million issuance of long-term debt in December 2017.</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162"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17"/>
          <w:szCs w:val="17"/>
          <w:color w:val="auto"/>
        </w:rPr>
        <w:t>Income tax expense in Nine Months 2018 was $296,000, which resulted in an effective tax rate of 6.9%. Income tax expense in Nine Months 2017 was $3,977,000, which resulted in an effective tax rate of 33.1%. The change in our effective tax rate includes the change in the federal tax rate from 35% to 21%. In addition, permanent differences in Nine Months 2018 had a greater impact on reducing the current year effective tax rate due to a decrease in income before taxes in Nine Months 2018 compared to the Nine Months 2017 amount. Income before taxes was $4,269,000 in Nine Months 2018 compared to income before taxes of $12,031,000 in Nine Months 2017.</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Income</w:t>
      </w:r>
    </w:p>
    <w:p>
      <w:pPr>
        <w:spacing w:after="0" w:line="162"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17"/>
          <w:szCs w:val="17"/>
          <w:color w:val="auto"/>
        </w:rPr>
        <w:t>Net income was $3,973,000 in Nine Months 2018 compared to net income of $8,055,000 in Nine Months 2017. The decrease in net income of $4,082,000, (or 50.7%), was due to the circumstances described above, which caused the increase in our net loss ratio, decrease in ceding commission revenue, net losses on investments, increases in other underwriting expenses, depreciation and amortization and interest expense, partially offset by the increase in our net premiums earned, net investment income and decrease in other operating expenses.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i w:val="1"/>
          <w:iCs w:val="1"/>
          <w:color w:val="auto"/>
        </w:rPr>
        <w:t>Three Months Ended September 30, 2018 Compared to Three Months Ended September 30, 2017</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8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5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5"/>
                <w:szCs w:val="15"/>
                <w:b w:val="1"/>
                <w:bCs w:val="1"/>
                <w:color w:val="auto"/>
                <w:w w:val="87"/>
              </w:rPr>
              <w:t>Three months ended September 30,</w:t>
            </w:r>
          </w:p>
        </w:tc>
        <w:tc>
          <w:tcPr>
            <w:tcW w:w="1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48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4"/>
              <w:spacing w:after="0" w:line="159" w:lineRule="exact"/>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5"/>
              <w:spacing w:after="0" w:line="159" w:lineRule="exact"/>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line="159" w:lineRule="exact"/>
              <w:rPr>
                <w:sz w:val="20"/>
                <w:szCs w:val="20"/>
                <w:color w:val="auto"/>
              </w:rPr>
            </w:pPr>
            <w:r>
              <w:rPr>
                <w:rFonts w:ascii="Arial" w:cs="Arial" w:eastAsia="Arial" w:hAnsi="Arial"/>
                <w:sz w:val="15"/>
                <w:szCs w:val="15"/>
                <w:b w:val="1"/>
                <w:bCs w:val="1"/>
                <w:color w:val="auto"/>
              </w:rPr>
              <w:t>Change</w:t>
            </w:r>
          </w:p>
        </w:tc>
        <w:tc>
          <w:tcPr>
            <w:tcW w:w="1380" w:type="dxa"/>
            <w:vAlign w:val="bottom"/>
            <w:tcBorders>
              <w:bottom w:val="single" w:sz="8" w:color="auto"/>
            </w:tcBorders>
          </w:tcPr>
          <w:p>
            <w:pPr>
              <w:jc w:val="right"/>
              <w:ind w:right="334"/>
              <w:spacing w:after="0" w:line="159" w:lineRule="exact"/>
              <w:rPr>
                <w:sz w:val="20"/>
                <w:szCs w:val="20"/>
                <w:color w:val="auto"/>
              </w:rPr>
            </w:pPr>
            <w:r>
              <w:rPr>
                <w:rFonts w:ascii="Arial" w:cs="Arial" w:eastAsia="Arial" w:hAnsi="Arial"/>
                <w:sz w:val="15"/>
                <w:szCs w:val="15"/>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4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Direct written premiums</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38,785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32,840</w:t>
            </w:r>
          </w:p>
        </w:tc>
        <w:tc>
          <w:tcPr>
            <w:tcW w:w="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5,945</w:t>
            </w:r>
          </w:p>
        </w:tc>
        <w:tc>
          <w:tcPr>
            <w:tcW w:w="1380" w:type="dxa"/>
            <w:vAlign w:val="bottom"/>
          </w:tcPr>
          <w:p>
            <w:pPr>
              <w:jc w:val="right"/>
              <w:spacing w:after="0"/>
              <w:rPr>
                <w:sz w:val="20"/>
                <w:szCs w:val="20"/>
                <w:color w:val="auto"/>
              </w:rPr>
            </w:pPr>
            <w:r>
              <w:rPr>
                <w:rFonts w:ascii="Arial" w:cs="Arial" w:eastAsia="Arial" w:hAnsi="Arial"/>
                <w:sz w:val="17"/>
                <w:szCs w:val="17"/>
                <w:color w:val="auto"/>
              </w:rPr>
              <w:t>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Assumed written premiums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12</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38,785</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32,852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5,933</w:t>
            </w:r>
          </w:p>
        </w:tc>
        <w:tc>
          <w:tcPr>
            <w:tcW w:w="1380" w:type="dxa"/>
            <w:vAlign w:val="bottom"/>
          </w:tcPr>
          <w:p>
            <w:pPr>
              <w:jc w:val="right"/>
              <w:spacing w:after="0"/>
              <w:rPr>
                <w:sz w:val="20"/>
                <w:szCs w:val="20"/>
                <w:color w:val="auto"/>
              </w:rPr>
            </w:pPr>
            <w:r>
              <w:rPr>
                <w:rFonts w:ascii="Arial" w:cs="Arial" w:eastAsia="Arial" w:hAnsi="Arial"/>
                <w:sz w:val="17"/>
                <w:szCs w:val="17"/>
                <w:color w:val="auto"/>
              </w:rPr>
              <w:t>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Ceded written premiums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360"/>
              <w:spacing w:after="0"/>
              <w:rPr>
                <w:sz w:val="20"/>
                <w:szCs w:val="20"/>
                <w:color w:val="auto"/>
              </w:rPr>
            </w:pPr>
            <w:r>
              <w:rPr>
                <w:rFonts w:ascii="Arial" w:cs="Arial" w:eastAsia="Arial" w:hAnsi="Arial"/>
                <w:sz w:val="17"/>
                <w:szCs w:val="17"/>
                <w:color w:val="auto"/>
              </w:rPr>
              <w:t>Ceded to quota share treaties in force during the period</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3,080</w:t>
            </w:r>
          </w:p>
        </w:tc>
        <w:tc>
          <w:tcPr>
            <w:tcW w:w="22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4,635</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(1,555)</w:t>
            </w:r>
          </w:p>
        </w:tc>
        <w:tc>
          <w:tcPr>
            <w:tcW w:w="1380" w:type="dxa"/>
            <w:vAlign w:val="bottom"/>
          </w:tcPr>
          <w:p>
            <w:pPr>
              <w:jc w:val="right"/>
              <w:spacing w:after="0"/>
              <w:rPr>
                <w:sz w:val="20"/>
                <w:szCs w:val="20"/>
                <w:color w:val="auto"/>
              </w:rPr>
            </w:pPr>
            <w:r>
              <w:rPr>
                <w:rFonts w:ascii="Arial" w:cs="Arial" w:eastAsia="Arial" w:hAnsi="Arial"/>
                <w:sz w:val="17"/>
                <w:szCs w:val="17"/>
                <w:color w:val="auto"/>
              </w:rPr>
              <w:t>(33.5)%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Return of premiums previously ceded to prior quota share treaties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(4,553)</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(7,140)</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2,587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520"/>
              <w:spacing w:after="0"/>
              <w:rPr>
                <w:sz w:val="20"/>
                <w:szCs w:val="20"/>
                <w:color w:val="auto"/>
              </w:rPr>
            </w:pPr>
            <w:r>
              <w:rPr>
                <w:rFonts w:ascii="Arial" w:cs="Arial" w:eastAsia="Arial" w:hAnsi="Arial"/>
                <w:sz w:val="17"/>
                <w:szCs w:val="17"/>
                <w:color w:val="auto"/>
              </w:rPr>
              <w:t>Ceded to quota share treaties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(1,473)</w:t>
            </w:r>
          </w:p>
        </w:tc>
        <w:tc>
          <w:tcPr>
            <w:tcW w:w="22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(2,505)</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1,032</w:t>
            </w:r>
          </w:p>
        </w:tc>
        <w:tc>
          <w:tcPr>
            <w:tcW w:w="1380" w:type="dxa"/>
            <w:vAlign w:val="bottom"/>
          </w:tcPr>
          <w:p>
            <w:pPr>
              <w:jc w:val="right"/>
              <w:spacing w:after="0"/>
              <w:rPr>
                <w:sz w:val="20"/>
                <w:szCs w:val="20"/>
                <w:color w:val="auto"/>
              </w:rPr>
            </w:pPr>
            <w:r>
              <w:rPr>
                <w:rFonts w:ascii="Arial" w:cs="Arial" w:eastAsia="Arial" w:hAnsi="Arial"/>
                <w:sz w:val="17"/>
                <w:szCs w:val="17"/>
                <w:color w:val="auto"/>
              </w:rPr>
              <w:t>(41.2)%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Ceded to excess of loss treaties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392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267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125</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520"/>
              <w:spacing w:after="0"/>
              <w:rPr>
                <w:sz w:val="20"/>
                <w:szCs w:val="20"/>
                <w:color w:val="auto"/>
              </w:rPr>
            </w:pPr>
            <w:r>
              <w:rPr>
                <w:rFonts w:ascii="Arial" w:cs="Arial" w:eastAsia="Arial" w:hAnsi="Arial"/>
                <w:sz w:val="17"/>
                <w:szCs w:val="17"/>
                <w:color w:val="auto"/>
              </w:rPr>
              <w:t>Ceded to catastrophe treaties</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3,764</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2,829</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935</w:t>
            </w:r>
          </w:p>
        </w:tc>
        <w:tc>
          <w:tcPr>
            <w:tcW w:w="1380" w:type="dxa"/>
            <w:vAlign w:val="bottom"/>
          </w:tcPr>
          <w:p>
            <w:pPr>
              <w:jc w:val="right"/>
              <w:spacing w:after="0"/>
              <w:rPr>
                <w:sz w:val="20"/>
                <w:szCs w:val="20"/>
                <w:color w:val="auto"/>
              </w:rPr>
            </w:pPr>
            <w:r>
              <w:rPr>
                <w:rFonts w:ascii="Arial" w:cs="Arial" w:eastAsia="Arial" w:hAnsi="Arial"/>
                <w:sz w:val="17"/>
                <w:szCs w:val="17"/>
                <w:color w:val="auto"/>
              </w:rPr>
              <w:t>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ceded written premiums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2,683</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591</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2,092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written premiums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36,102</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32,261</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3,841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 in unearned premiums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360"/>
              <w:spacing w:after="0"/>
              <w:rPr>
                <w:sz w:val="20"/>
                <w:szCs w:val="20"/>
                <w:color w:val="auto"/>
              </w:rPr>
            </w:pPr>
            <w:r>
              <w:rPr>
                <w:rFonts w:ascii="Arial" w:cs="Arial" w:eastAsia="Arial" w:hAnsi="Arial"/>
                <w:sz w:val="17"/>
                <w:szCs w:val="17"/>
                <w:color w:val="auto"/>
              </w:rPr>
              <w:t>Direct and assumed</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(4,435)</w:t>
            </w:r>
          </w:p>
        </w:tc>
        <w:tc>
          <w:tcPr>
            <w:tcW w:w="22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(4,409)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w:t>
            </w:r>
          </w:p>
        </w:tc>
        <w:tc>
          <w:tcPr>
            <w:tcW w:w="1380" w:type="dxa"/>
            <w:vAlign w:val="bottom"/>
          </w:tcPr>
          <w:p>
            <w:pPr>
              <w:jc w:val="right"/>
              <w:spacing w:after="0"/>
              <w:rPr>
                <w:sz w:val="20"/>
                <w:szCs w:val="20"/>
                <w:color w:val="auto"/>
              </w:rPr>
            </w:pPr>
            <w:r>
              <w:rPr>
                <w:rFonts w:ascii="Arial" w:cs="Arial" w:eastAsia="Arial" w:hAnsi="Arial"/>
                <w:sz w:val="17"/>
                <w:szCs w:val="17"/>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Ceded to quota share treaties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(4,133)</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(6,339)</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2,206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200"/>
              <w:spacing w:after="0"/>
              <w:rPr>
                <w:sz w:val="20"/>
                <w:szCs w:val="20"/>
                <w:color w:val="auto"/>
              </w:rPr>
            </w:pPr>
            <w:r>
              <w:rPr>
                <w:rFonts w:ascii="Arial" w:cs="Arial" w:eastAsia="Arial" w:hAnsi="Arial"/>
                <w:sz w:val="17"/>
                <w:szCs w:val="17"/>
                <w:color w:val="auto"/>
              </w:rPr>
              <w:t>Change in net unearned premiums</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(8,568)</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(10,748)</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2,180</w:t>
            </w:r>
          </w:p>
        </w:tc>
        <w:tc>
          <w:tcPr>
            <w:tcW w:w="1380" w:type="dxa"/>
            <w:vAlign w:val="bottom"/>
          </w:tcPr>
          <w:p>
            <w:pPr>
              <w:jc w:val="right"/>
              <w:spacing w:after="0"/>
              <w:rPr>
                <w:sz w:val="20"/>
                <w:szCs w:val="20"/>
                <w:color w:val="auto"/>
              </w:rPr>
            </w:pPr>
            <w:r>
              <w:rPr>
                <w:rFonts w:ascii="Arial" w:cs="Arial" w:eastAsia="Arial" w:hAnsi="Arial"/>
                <w:sz w:val="17"/>
                <w:szCs w:val="17"/>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Premiums earned</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Direct and assumed</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34,351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28,445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5,906</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360"/>
              <w:spacing w:after="0"/>
              <w:rPr>
                <w:sz w:val="20"/>
                <w:szCs w:val="20"/>
                <w:color w:val="auto"/>
              </w:rPr>
            </w:pPr>
            <w:r>
              <w:rPr>
                <w:rFonts w:ascii="Arial" w:cs="Arial" w:eastAsia="Arial" w:hAnsi="Arial"/>
                <w:sz w:val="17"/>
                <w:szCs w:val="17"/>
                <w:color w:val="auto"/>
              </w:rPr>
              <w:t>Ceded to reinsurance treaties</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(6,817)</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(6,931)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114</w:t>
            </w:r>
          </w:p>
        </w:tc>
        <w:tc>
          <w:tcPr>
            <w:tcW w:w="1380" w:type="dxa"/>
            <w:vAlign w:val="bottom"/>
          </w:tcPr>
          <w:p>
            <w:pPr>
              <w:jc w:val="right"/>
              <w:spacing w:after="0"/>
              <w:rPr>
                <w:sz w:val="20"/>
                <w:szCs w:val="20"/>
                <w:color w:val="auto"/>
              </w:rPr>
            </w:pPr>
            <w:r>
              <w:rPr>
                <w:rFonts w:ascii="Arial" w:cs="Arial" w:eastAsia="Arial" w:hAnsi="Arial"/>
                <w:sz w:val="17"/>
                <w:szCs w:val="17"/>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premiums earned</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27,534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21,514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6,020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Ceding commission revenue</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Excluding the effect of catastrophes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1,045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1,718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360"/>
              <w:spacing w:after="0"/>
              <w:rPr>
                <w:sz w:val="20"/>
                <w:szCs w:val="20"/>
                <w:color w:val="auto"/>
              </w:rPr>
            </w:pPr>
            <w:r>
              <w:rPr>
                <w:rFonts w:ascii="Arial" w:cs="Arial" w:eastAsia="Arial" w:hAnsi="Arial"/>
                <w:sz w:val="17"/>
                <w:szCs w:val="17"/>
                <w:color w:val="auto"/>
              </w:rPr>
              <w:t>Effect of catastrophes</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ceding commission revenue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1,045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1,718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Net investment income</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1,602</w:t>
            </w:r>
          </w:p>
        </w:tc>
        <w:tc>
          <w:tcPr>
            <w:tcW w:w="22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1,033</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569</w:t>
            </w:r>
          </w:p>
        </w:tc>
        <w:tc>
          <w:tcPr>
            <w:tcW w:w="1380" w:type="dxa"/>
            <w:vAlign w:val="bottom"/>
          </w:tcPr>
          <w:p>
            <w:pPr>
              <w:jc w:val="right"/>
              <w:spacing w:after="0"/>
              <w:rPr>
                <w:sz w:val="20"/>
                <w:szCs w:val="20"/>
                <w:color w:val="auto"/>
              </w:rPr>
            </w:pPr>
            <w:r>
              <w:rPr>
                <w:rFonts w:ascii="Arial" w:cs="Arial" w:eastAsia="Arial" w:hAnsi="Arial"/>
                <w:sz w:val="17"/>
                <w:szCs w:val="17"/>
                <w:color w:val="auto"/>
              </w:rPr>
              <w:t>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gains on investments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352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331</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200"/>
              <w:spacing w:after="0"/>
              <w:rPr>
                <w:sz w:val="20"/>
                <w:szCs w:val="20"/>
                <w:color w:val="auto"/>
              </w:rPr>
            </w:pPr>
            <w:r>
              <w:rPr>
                <w:rFonts w:ascii="Arial" w:cs="Arial" w:eastAsia="Arial" w:hAnsi="Arial"/>
                <w:sz w:val="17"/>
                <w:szCs w:val="17"/>
                <w:color w:val="auto"/>
              </w:rPr>
              <w:t>Other income</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353</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328</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25</w:t>
            </w:r>
          </w:p>
        </w:tc>
        <w:tc>
          <w:tcPr>
            <w:tcW w:w="1380" w:type="dxa"/>
            <w:vAlign w:val="bottom"/>
          </w:tcPr>
          <w:p>
            <w:pPr>
              <w:jc w:val="right"/>
              <w:spacing w:after="0"/>
              <w:rPr>
                <w:sz w:val="20"/>
                <w:szCs w:val="20"/>
                <w:color w:val="auto"/>
              </w:rPr>
            </w:pPr>
            <w:r>
              <w:rPr>
                <w:rFonts w:ascii="Arial" w:cs="Arial" w:eastAsia="Arial" w:hAnsi="Arial"/>
                <w:sz w:val="17"/>
                <w:szCs w:val="17"/>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30,886</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24,614</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6,272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40"/>
              <w:spacing w:after="0"/>
              <w:rPr>
                <w:sz w:val="20"/>
                <w:szCs w:val="20"/>
                <w:color w:val="auto"/>
              </w:rPr>
            </w:pPr>
            <w:r>
              <w:rPr>
                <w:rFonts w:ascii="Arial" w:cs="Arial" w:eastAsia="Arial" w:hAnsi="Arial"/>
                <w:sz w:val="17"/>
                <w:szCs w:val="17"/>
                <w:b w:val="1"/>
                <w:bCs w:val="1"/>
                <w:color w:val="auto"/>
              </w:rPr>
              <w:t>Expenses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360"/>
              <w:spacing w:after="0"/>
              <w:rPr>
                <w:sz w:val="20"/>
                <w:szCs w:val="20"/>
                <w:color w:val="auto"/>
              </w:rPr>
            </w:pPr>
            <w:r>
              <w:rPr>
                <w:rFonts w:ascii="Arial" w:cs="Arial" w:eastAsia="Arial" w:hAnsi="Arial"/>
                <w:sz w:val="17"/>
                <w:szCs w:val="17"/>
                <w:color w:val="auto"/>
              </w:rPr>
              <w:t>Direct and assumed:</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4"/>
              </w:rPr>
              <w:t>Loss and loss adjustment expenses excluding the effect of catastrophes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16,705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8,150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8,555</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360"/>
              <w:spacing w:after="0"/>
              <w:rPr>
                <w:sz w:val="20"/>
                <w:szCs w:val="20"/>
                <w:color w:val="auto"/>
              </w:rPr>
            </w:pPr>
            <w:r>
              <w:rPr>
                <w:rFonts w:ascii="Arial" w:cs="Arial" w:eastAsia="Arial" w:hAnsi="Arial"/>
                <w:sz w:val="17"/>
                <w:szCs w:val="17"/>
                <w:color w:val="auto"/>
              </w:rPr>
              <w:t>Losses from catastrophes (1)</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244</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244</w:t>
            </w:r>
          </w:p>
        </w:tc>
        <w:tc>
          <w:tcPr>
            <w:tcW w:w="1380" w:type="dxa"/>
            <w:vAlign w:val="bottom"/>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direct and assumed loss and loss adjustment expenses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16,949</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8,150</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8,799</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Ceded loss and loss adjustment expenses: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360"/>
              <w:spacing w:after="0"/>
              <w:rPr>
                <w:sz w:val="20"/>
                <w:szCs w:val="20"/>
                <w:color w:val="auto"/>
              </w:rPr>
            </w:pPr>
            <w:r>
              <w:rPr>
                <w:rFonts w:ascii="Arial" w:cs="Arial" w:eastAsia="Arial" w:hAnsi="Arial"/>
                <w:sz w:val="17"/>
                <w:szCs w:val="17"/>
                <w:color w:val="auto"/>
                <w:w w:val="94"/>
              </w:rPr>
              <w:t>Loss and loss adjustment expenses excluding the effect of catastrophes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3,798</w:t>
            </w:r>
          </w:p>
        </w:tc>
        <w:tc>
          <w:tcPr>
            <w:tcW w:w="22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1,077</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2,721</w:t>
            </w:r>
          </w:p>
        </w:tc>
        <w:tc>
          <w:tcPr>
            <w:tcW w:w="1380" w:type="dxa"/>
            <w:vAlign w:val="bottom"/>
          </w:tcPr>
          <w:p>
            <w:pPr>
              <w:jc w:val="right"/>
              <w:spacing w:after="0"/>
              <w:rPr>
                <w:sz w:val="20"/>
                <w:szCs w:val="20"/>
                <w:color w:val="auto"/>
              </w:rPr>
            </w:pPr>
            <w:r>
              <w:rPr>
                <w:rFonts w:ascii="Arial" w:cs="Arial" w:eastAsia="Arial" w:hAnsi="Arial"/>
                <w:sz w:val="17"/>
                <w:szCs w:val="17"/>
                <w:color w:val="auto"/>
              </w:rPr>
              <w:t>252.6%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Losses from catastrophes (1)</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(146)</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360"/>
              <w:spacing w:after="0"/>
              <w:rPr>
                <w:sz w:val="20"/>
                <w:szCs w:val="20"/>
                <w:color w:val="auto"/>
              </w:rPr>
            </w:pPr>
            <w:r>
              <w:rPr>
                <w:rFonts w:ascii="Arial" w:cs="Arial" w:eastAsia="Arial" w:hAnsi="Arial"/>
                <w:sz w:val="17"/>
                <w:szCs w:val="17"/>
                <w:color w:val="auto"/>
              </w:rPr>
              <w:t>Total ceded loss and loss adjustment expenses</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3,652</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1,077</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2,575</w:t>
            </w:r>
          </w:p>
        </w:tc>
        <w:tc>
          <w:tcPr>
            <w:tcW w:w="1380" w:type="dxa"/>
            <w:vAlign w:val="bottom"/>
          </w:tcPr>
          <w:p>
            <w:pPr>
              <w:jc w:val="right"/>
              <w:spacing w:after="0"/>
              <w:rPr>
                <w:sz w:val="20"/>
                <w:szCs w:val="20"/>
                <w:color w:val="auto"/>
              </w:rPr>
            </w:pPr>
            <w:r>
              <w:rPr>
                <w:rFonts w:ascii="Arial" w:cs="Arial" w:eastAsia="Arial" w:hAnsi="Arial"/>
                <w:sz w:val="17"/>
                <w:szCs w:val="17"/>
                <w:color w:val="auto"/>
              </w:rPr>
              <w:t>239.1%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360"/>
              <w:spacing w:after="0"/>
              <w:rPr>
                <w:sz w:val="20"/>
                <w:szCs w:val="20"/>
                <w:color w:val="auto"/>
              </w:rPr>
            </w:pPr>
            <w:r>
              <w:rPr>
                <w:rFonts w:ascii="Arial" w:cs="Arial" w:eastAsia="Arial" w:hAnsi="Arial"/>
                <w:sz w:val="17"/>
                <w:szCs w:val="17"/>
                <w:color w:val="auto"/>
              </w:rPr>
              <w:t>Net loss and loss adjustment expenses: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4"/>
              </w:rPr>
              <w:t>Loss and loss adjustment expenses excluding the effect of catastrophes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12,907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7,073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5,834</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360"/>
              <w:spacing w:after="0"/>
              <w:rPr>
                <w:sz w:val="20"/>
                <w:szCs w:val="20"/>
                <w:color w:val="auto"/>
              </w:rPr>
            </w:pPr>
            <w:r>
              <w:rPr>
                <w:rFonts w:ascii="Arial" w:cs="Arial" w:eastAsia="Arial" w:hAnsi="Arial"/>
                <w:sz w:val="17"/>
                <w:szCs w:val="17"/>
                <w:color w:val="auto"/>
              </w:rPr>
              <w:t>Losses from catastrophes (1)</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390</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390</w:t>
            </w:r>
          </w:p>
        </w:tc>
        <w:tc>
          <w:tcPr>
            <w:tcW w:w="1380" w:type="dxa"/>
            <w:vAlign w:val="bottom"/>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loss and loss adjustment expenses</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13,297</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7,073</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6,224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Commission expense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6,594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5,500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1,094</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Other underwriting expenses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5,194</w:t>
            </w:r>
          </w:p>
        </w:tc>
        <w:tc>
          <w:tcPr>
            <w:tcW w:w="22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4,475</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719</w:t>
            </w:r>
          </w:p>
        </w:tc>
        <w:tc>
          <w:tcPr>
            <w:tcW w:w="1380" w:type="dxa"/>
            <w:vAlign w:val="bottom"/>
          </w:tcPr>
          <w:p>
            <w:pPr>
              <w:jc w:val="right"/>
              <w:spacing w:after="0"/>
              <w:rPr>
                <w:sz w:val="20"/>
                <w:szCs w:val="20"/>
                <w:color w:val="auto"/>
              </w:rPr>
            </w:pPr>
            <w:r>
              <w:rPr>
                <w:rFonts w:ascii="Arial" w:cs="Arial" w:eastAsia="Arial" w:hAnsi="Arial"/>
                <w:sz w:val="17"/>
                <w:szCs w:val="17"/>
                <w:color w:val="auto"/>
              </w:rPr>
              <w:t>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operating expenses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683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1,069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440</w:t>
            </w:r>
          </w:p>
        </w:tc>
        <w:tc>
          <w:tcPr>
            <w:tcW w:w="22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379</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7"/>
                <w:szCs w:val="17"/>
                <w:color w:val="auto"/>
              </w:rPr>
              <w:t>61</w:t>
            </w:r>
          </w:p>
        </w:tc>
        <w:tc>
          <w:tcPr>
            <w:tcW w:w="1380" w:type="dxa"/>
            <w:vAlign w:val="bottom"/>
          </w:tcPr>
          <w:p>
            <w:pPr>
              <w:jc w:val="right"/>
              <w:spacing w:after="0"/>
              <w:rPr>
                <w:sz w:val="20"/>
                <w:szCs w:val="20"/>
                <w:color w:val="auto"/>
              </w:rPr>
            </w:pPr>
            <w:r>
              <w:rPr>
                <w:rFonts w:ascii="Arial" w:cs="Arial" w:eastAsia="Arial" w:hAnsi="Arial"/>
                <w:sz w:val="17"/>
                <w:szCs w:val="17"/>
                <w:color w:val="auto"/>
              </w:rPr>
              <w:t>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Interest expense</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456</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456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Pr>
          <w:p>
            <w:pPr>
              <w:ind w:left="360"/>
              <w:spacing w:after="0"/>
              <w:rPr>
                <w:sz w:val="20"/>
                <w:szCs w:val="20"/>
                <w:color w:val="auto"/>
              </w:rPr>
            </w:pPr>
            <w:r>
              <w:rPr>
                <w:rFonts w:ascii="Arial" w:cs="Arial" w:eastAsia="Arial" w:hAnsi="Arial"/>
                <w:sz w:val="17"/>
                <w:szCs w:val="17"/>
                <w:color w:val="auto"/>
              </w:rPr>
              <w:t>Total expenses</w:t>
            </w:r>
          </w:p>
        </w:tc>
        <w:tc>
          <w:tcPr>
            <w:tcW w:w="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26,665</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18,496</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8,169</w:t>
            </w:r>
          </w:p>
        </w:tc>
        <w:tc>
          <w:tcPr>
            <w:tcW w:w="1380" w:type="dxa"/>
            <w:vAlign w:val="bottom"/>
          </w:tcPr>
          <w:p>
            <w:pPr>
              <w:jc w:val="right"/>
              <w:spacing w:after="0"/>
              <w:rPr>
                <w:sz w:val="20"/>
                <w:szCs w:val="20"/>
                <w:color w:val="auto"/>
              </w:rPr>
            </w:pPr>
            <w:r>
              <w:rPr>
                <w:rFonts w:ascii="Arial" w:cs="Arial" w:eastAsia="Arial" w:hAnsi="Arial"/>
                <w:sz w:val="17"/>
                <w:szCs w:val="17"/>
                <w:color w:val="auto"/>
              </w:rPr>
              <w:t>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200"/>
              <w:spacing w:after="0"/>
              <w:rPr>
                <w:sz w:val="20"/>
                <w:szCs w:val="20"/>
                <w:color w:val="auto"/>
              </w:rPr>
            </w:pPr>
            <w:r>
              <w:rPr>
                <w:rFonts w:ascii="Arial" w:cs="Arial" w:eastAsia="Arial" w:hAnsi="Arial"/>
                <w:sz w:val="17"/>
                <w:szCs w:val="17"/>
                <w:color w:val="auto"/>
              </w:rPr>
              <w:t>Income from operations before taxes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4,221</w:t>
            </w:r>
          </w:p>
        </w:tc>
        <w:tc>
          <w:tcPr>
            <w:tcW w:w="22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6,118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(1,897)</w:t>
            </w:r>
          </w:p>
        </w:tc>
        <w:tc>
          <w:tcPr>
            <w:tcW w:w="1380" w:type="dxa"/>
            <w:vAlign w:val="bottom"/>
          </w:tcPr>
          <w:p>
            <w:pPr>
              <w:jc w:val="right"/>
              <w:spacing w:after="0"/>
              <w:rPr>
                <w:sz w:val="20"/>
                <w:szCs w:val="20"/>
                <w:color w:val="auto"/>
              </w:rPr>
            </w:pPr>
            <w:r>
              <w:rPr>
                <w:rFonts w:ascii="Arial" w:cs="Arial" w:eastAsia="Arial" w:hAnsi="Arial"/>
                <w:sz w:val="17"/>
                <w:szCs w:val="17"/>
                <w:color w:val="auto"/>
              </w:rPr>
              <w:t>(31.0)%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Income tax expense</w:t>
            </w:r>
          </w:p>
        </w:tc>
        <w:tc>
          <w:tcPr>
            <w:tcW w:w="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287</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2,044</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40"/>
              <w:spacing w:after="0"/>
              <w:rPr>
                <w:sz w:val="20"/>
                <w:szCs w:val="20"/>
                <w:color w:val="auto"/>
              </w:rPr>
            </w:pPr>
            <w:r>
              <w:rPr>
                <w:rFonts w:ascii="Arial" w:cs="Arial" w:eastAsia="Arial" w:hAnsi="Arial"/>
                <w:sz w:val="17"/>
                <w:szCs w:val="17"/>
                <w:b w:val="1"/>
                <w:bCs w:val="1"/>
                <w:color w:val="auto"/>
              </w:rPr>
              <w:t>Net income</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3,934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4,074</w:t>
            </w:r>
          </w:p>
        </w:tc>
        <w:tc>
          <w:tcPr>
            <w:tcW w:w="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(140)</w:t>
            </w:r>
          </w:p>
        </w:tc>
        <w:tc>
          <w:tcPr>
            <w:tcW w:w="1380" w:type="dxa"/>
            <w:vAlign w:val="bottom"/>
          </w:tcPr>
          <w:p>
            <w:pPr>
              <w:jc w:val="right"/>
              <w:spacing w:after="0"/>
              <w:rPr>
                <w:sz w:val="20"/>
                <w:szCs w:val="20"/>
                <w:color w:val="auto"/>
              </w:rPr>
            </w:pPr>
            <w:r>
              <w:rPr>
                <w:rFonts w:ascii="Arial" w:cs="Arial" w:eastAsia="Arial" w:hAnsi="Arial"/>
                <w:sz w:val="17"/>
                <w:szCs w:val="17"/>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40" w:type="dxa"/>
            <w:vAlign w:val="bottom"/>
            <w:vMerge w:val="restart"/>
          </w:tcPr>
          <w:p>
            <w:pPr>
              <w:jc w:val="right"/>
              <w:ind w:right="54"/>
              <w:spacing w:after="0"/>
              <w:rPr>
                <w:sz w:val="20"/>
                <w:szCs w:val="20"/>
                <w:color w:val="auto"/>
              </w:rPr>
            </w:pPr>
            <w:r>
              <w:rPr>
                <w:rFonts w:ascii="Arial" w:cs="Arial" w:eastAsia="Arial" w:hAnsi="Arial"/>
                <w:sz w:val="17"/>
                <w:szCs w:val="17"/>
                <w:color w:val="auto"/>
              </w:rPr>
              <w:t>51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5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620"/>
          </w:cols>
          <w:pgMar w:left="160" w:top="475" w:right="119" w:bottom="1131" w:gutter="0" w:footer="0" w:header="0"/>
        </w:sectPr>
      </w:pPr>
    </w:p>
    <w:bookmarkStart w:id="53" w:name="page54"/>
    <w:bookmarkEnd w:id="53"/>
    <w:p>
      <w:pPr>
        <w:jc w:val="both"/>
        <w:ind w:left="640" w:right="20" w:hanging="316"/>
        <w:spacing w:after="0" w:line="298"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three months ended September 30, 2018 includes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5"/>
                <w:szCs w:val="15"/>
                <w:b w:val="1"/>
                <w:bCs w:val="1"/>
                <w:color w:val="auto"/>
                <w:w w:val="91"/>
              </w:rPr>
              <w:t>Three months ended September 30,</w:t>
            </w:r>
          </w:p>
        </w:tc>
        <w:tc>
          <w:tcPr>
            <w:tcW w:w="13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6"/>
        </w:trPr>
        <w:tc>
          <w:tcPr>
            <w:tcW w:w="6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00" w:type="dxa"/>
            <w:vAlign w:val="bottom"/>
          </w:tcPr>
          <w:p>
            <w:pPr>
              <w:jc w:val="right"/>
              <w:ind w:right="79"/>
              <w:spacing w:after="0" w:line="146" w:lineRule="exact"/>
              <w:rPr>
                <w:sz w:val="20"/>
                <w:szCs w:val="20"/>
                <w:color w:val="auto"/>
              </w:rPr>
            </w:pPr>
            <w:r>
              <w:rPr>
                <w:rFonts w:ascii="Arial" w:cs="Arial" w:eastAsia="Arial" w:hAnsi="Arial"/>
                <w:sz w:val="15"/>
                <w:szCs w:val="15"/>
                <w:b w:val="1"/>
                <w:bCs w:val="1"/>
                <w:color w:val="auto"/>
                <w:w w:val="91"/>
              </w:rPr>
              <w:t>Percentage Point</w:t>
            </w: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9"/>
        </w:trPr>
        <w:tc>
          <w:tcPr>
            <w:tcW w:w="6920" w:type="dxa"/>
            <w:vAlign w:val="bottom"/>
            <w:gridSpan w:val="2"/>
          </w:tcPr>
          <w:p>
            <w:pPr>
              <w:ind w:left="6560"/>
              <w:spacing w:after="0"/>
              <w:rPr>
                <w:sz w:val="20"/>
                <w:szCs w:val="20"/>
                <w:color w:val="auto"/>
              </w:rPr>
            </w:pPr>
            <w:r>
              <w:rPr>
                <w:rFonts w:ascii="Arial" w:cs="Arial" w:eastAsia="Arial" w:hAnsi="Arial"/>
                <w:sz w:val="15"/>
                <w:szCs w:val="15"/>
                <w:b w:val="1"/>
                <w:bCs w:val="1"/>
                <w:color w:val="auto"/>
              </w:rPr>
              <w:t>2018</w:t>
            </w:r>
          </w:p>
        </w:tc>
        <w:tc>
          <w:tcPr>
            <w:tcW w:w="640" w:type="dxa"/>
            <w:vAlign w:val="bottom"/>
          </w:tcPr>
          <w:p>
            <w:pPr>
              <w:spacing w:after="0"/>
              <w:rPr>
                <w:sz w:val="15"/>
                <w:szCs w:val="15"/>
                <w:color w:val="auto"/>
              </w:rPr>
            </w:pPr>
          </w:p>
        </w:tc>
        <w:tc>
          <w:tcPr>
            <w:tcW w:w="1320" w:type="dxa"/>
            <w:vAlign w:val="bottom"/>
          </w:tcPr>
          <w:p>
            <w:pPr>
              <w:jc w:val="right"/>
              <w:ind w:right="559"/>
              <w:spacing w:after="0"/>
              <w:rPr>
                <w:sz w:val="20"/>
                <w:szCs w:val="20"/>
                <w:color w:val="auto"/>
              </w:rPr>
            </w:pPr>
            <w:r>
              <w:rPr>
                <w:rFonts w:ascii="Arial" w:cs="Arial" w:eastAsia="Arial" w:hAnsi="Arial"/>
                <w:sz w:val="15"/>
                <w:szCs w:val="15"/>
                <w:b w:val="1"/>
                <w:bCs w:val="1"/>
                <w:color w:val="auto"/>
              </w:rPr>
              <w:t>2017</w:t>
            </w:r>
          </w:p>
        </w:tc>
        <w:tc>
          <w:tcPr>
            <w:tcW w:w="1300" w:type="dxa"/>
            <w:vAlign w:val="bottom"/>
          </w:tcPr>
          <w:p>
            <w:pPr>
              <w:jc w:val="right"/>
              <w:ind w:right="359"/>
              <w:spacing w:after="0"/>
              <w:rPr>
                <w:sz w:val="20"/>
                <w:szCs w:val="20"/>
                <w:color w:val="auto"/>
              </w:rPr>
            </w:pPr>
            <w:r>
              <w:rPr>
                <w:rFonts w:ascii="Arial" w:cs="Arial" w:eastAsia="Arial" w:hAnsi="Arial"/>
                <w:sz w:val="15"/>
                <w:szCs w:val="15"/>
                <w:b w:val="1"/>
                <w:bCs w:val="1"/>
                <w:color w:val="auto"/>
              </w:rPr>
              <w:t>Change</w:t>
            </w:r>
          </w:p>
        </w:tc>
        <w:tc>
          <w:tcPr>
            <w:tcW w:w="1400" w:type="dxa"/>
            <w:vAlign w:val="bottom"/>
            <w:gridSpan w:val="2"/>
          </w:tcPr>
          <w:p>
            <w:pPr>
              <w:ind w:left="220"/>
              <w:spacing w:after="0"/>
              <w:rPr>
                <w:sz w:val="20"/>
                <w:szCs w:val="20"/>
                <w:color w:val="auto"/>
              </w:rPr>
            </w:pPr>
            <w:r>
              <w:rPr>
                <w:rFonts w:ascii="Arial" w:cs="Arial" w:eastAsia="Arial" w:hAnsi="Arial"/>
                <w:sz w:val="15"/>
                <w:szCs w:val="15"/>
                <w:b w:val="1"/>
                <w:bCs w:val="1"/>
                <w:color w:val="auto"/>
              </w:rPr>
              <w:t>Percent Change</w:t>
            </w:r>
          </w:p>
        </w:tc>
      </w:tr>
      <w:tr>
        <w:trPr>
          <w:trHeight w:val="238"/>
        </w:trPr>
        <w:tc>
          <w:tcPr>
            <w:tcW w:w="60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692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Key ratios:</w:t>
            </w:r>
          </w:p>
        </w:tc>
        <w:tc>
          <w:tcPr>
            <w:tcW w:w="6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6920" w:type="dxa"/>
            <w:vAlign w:val="bottom"/>
            <w:gridSpan w:val="2"/>
          </w:tcPr>
          <w:p>
            <w:pPr>
              <w:ind w:left="200"/>
              <w:spacing w:after="0"/>
              <w:rPr>
                <w:sz w:val="20"/>
                <w:szCs w:val="20"/>
                <w:color w:val="auto"/>
              </w:rPr>
            </w:pPr>
            <w:r>
              <w:rPr>
                <w:rFonts w:ascii="Arial" w:cs="Arial" w:eastAsia="Arial" w:hAnsi="Arial"/>
                <w:sz w:val="17"/>
                <w:szCs w:val="17"/>
                <w:color w:val="auto"/>
              </w:rPr>
              <w:t>Net loss ratio</w:t>
            </w:r>
          </w:p>
        </w:tc>
        <w:tc>
          <w:tcPr>
            <w:tcW w:w="640" w:type="dxa"/>
            <w:vAlign w:val="bottom"/>
          </w:tcPr>
          <w:p>
            <w:pPr>
              <w:jc w:val="right"/>
              <w:ind w:right="54"/>
              <w:spacing w:after="0"/>
              <w:rPr>
                <w:sz w:val="20"/>
                <w:szCs w:val="20"/>
                <w:color w:val="auto"/>
              </w:rPr>
            </w:pPr>
            <w:r>
              <w:rPr>
                <w:rFonts w:ascii="Arial" w:cs="Arial" w:eastAsia="Arial" w:hAnsi="Arial"/>
                <w:sz w:val="17"/>
                <w:szCs w:val="17"/>
                <w:color w:val="auto"/>
                <w:w w:val="99"/>
              </w:rPr>
              <w:t>48.3%</w:t>
            </w:r>
          </w:p>
        </w:tc>
        <w:tc>
          <w:tcPr>
            <w:tcW w:w="1320" w:type="dxa"/>
            <w:vAlign w:val="bottom"/>
          </w:tcPr>
          <w:p>
            <w:pPr>
              <w:jc w:val="right"/>
              <w:spacing w:after="0"/>
              <w:rPr>
                <w:sz w:val="20"/>
                <w:szCs w:val="20"/>
                <w:color w:val="auto"/>
              </w:rPr>
            </w:pPr>
            <w:r>
              <w:rPr>
                <w:rFonts w:ascii="Arial" w:cs="Arial" w:eastAsia="Arial" w:hAnsi="Arial"/>
                <w:sz w:val="17"/>
                <w:szCs w:val="17"/>
                <w:color w:val="auto"/>
              </w:rPr>
              <w:t>32.9%</w:t>
            </w:r>
          </w:p>
        </w:tc>
        <w:tc>
          <w:tcPr>
            <w:tcW w:w="1300" w:type="dxa"/>
            <w:vAlign w:val="bottom"/>
          </w:tcPr>
          <w:p>
            <w:pPr>
              <w:jc w:val="right"/>
              <w:ind w:right="59"/>
              <w:spacing w:after="0"/>
              <w:rPr>
                <w:sz w:val="20"/>
                <w:szCs w:val="20"/>
                <w:color w:val="auto"/>
              </w:rPr>
            </w:pPr>
            <w:r>
              <w:rPr>
                <w:rFonts w:ascii="Arial" w:cs="Arial" w:eastAsia="Arial" w:hAnsi="Arial"/>
                <w:sz w:val="17"/>
                <w:szCs w:val="17"/>
                <w:color w:val="auto"/>
              </w:rPr>
              <w:t>15.4</w:t>
            </w:r>
          </w:p>
        </w:tc>
        <w:tc>
          <w:tcPr>
            <w:tcW w:w="1380" w:type="dxa"/>
            <w:vAlign w:val="bottom"/>
          </w:tcPr>
          <w:p>
            <w:pPr>
              <w:jc w:val="right"/>
              <w:spacing w:after="0"/>
              <w:rPr>
                <w:sz w:val="20"/>
                <w:szCs w:val="20"/>
                <w:color w:val="auto"/>
              </w:rPr>
            </w:pPr>
            <w:r>
              <w:rPr>
                <w:rFonts w:ascii="Arial" w:cs="Arial" w:eastAsia="Arial" w:hAnsi="Arial"/>
                <w:sz w:val="17"/>
                <w:szCs w:val="17"/>
                <w:color w:val="auto"/>
              </w:rPr>
              <w:t>46.8%</w:t>
            </w:r>
          </w:p>
        </w:tc>
        <w:tc>
          <w:tcPr>
            <w:tcW w:w="20" w:type="dxa"/>
            <w:vAlign w:val="bottom"/>
          </w:tcPr>
          <w:p>
            <w:pPr>
              <w:spacing w:after="0"/>
              <w:rPr>
                <w:sz w:val="18"/>
                <w:szCs w:val="18"/>
                <w:color w:val="auto"/>
              </w:rPr>
            </w:pPr>
          </w:p>
        </w:tc>
      </w:tr>
      <w:tr>
        <w:trPr>
          <w:trHeight w:val="218"/>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underwriting expense ratio</w:t>
            </w:r>
          </w:p>
        </w:tc>
        <w:tc>
          <w:tcPr>
            <w:tcW w:w="9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99"/>
              </w:rPr>
              <w:t>37.7%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0.8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8"/>
                <w:szCs w:val="18"/>
                <w:color w:val="auto"/>
              </w:rPr>
            </w:pPr>
          </w:p>
        </w:tc>
      </w:tr>
      <w:tr>
        <w:trPr>
          <w:trHeight w:val="212"/>
        </w:trPr>
        <w:tc>
          <w:tcPr>
            <w:tcW w:w="6920" w:type="dxa"/>
            <w:vAlign w:val="bottom"/>
            <w:gridSpan w:val="2"/>
          </w:tcPr>
          <w:p>
            <w:pPr>
              <w:ind w:left="200"/>
              <w:spacing w:after="0"/>
              <w:rPr>
                <w:sz w:val="20"/>
                <w:szCs w:val="20"/>
                <w:color w:val="auto"/>
              </w:rPr>
            </w:pPr>
            <w:r>
              <w:rPr>
                <w:rFonts w:ascii="Arial" w:cs="Arial" w:eastAsia="Arial" w:hAnsi="Arial"/>
                <w:sz w:val="17"/>
                <w:szCs w:val="17"/>
                <w:color w:val="auto"/>
              </w:rPr>
              <w:t>Net combined ratio</w:t>
            </w:r>
          </w:p>
        </w:tc>
        <w:tc>
          <w:tcPr>
            <w:tcW w:w="640" w:type="dxa"/>
            <w:vAlign w:val="bottom"/>
          </w:tcPr>
          <w:p>
            <w:pPr>
              <w:jc w:val="right"/>
              <w:ind w:right="54"/>
              <w:spacing w:after="0"/>
              <w:rPr>
                <w:sz w:val="20"/>
                <w:szCs w:val="20"/>
                <w:color w:val="auto"/>
              </w:rPr>
            </w:pPr>
            <w:r>
              <w:rPr>
                <w:rFonts w:ascii="Arial" w:cs="Arial" w:eastAsia="Arial" w:hAnsi="Arial"/>
                <w:sz w:val="17"/>
                <w:szCs w:val="17"/>
                <w:color w:val="auto"/>
                <w:w w:val="99"/>
              </w:rPr>
              <w:t>86.0%</w:t>
            </w:r>
          </w:p>
        </w:tc>
        <w:tc>
          <w:tcPr>
            <w:tcW w:w="1320" w:type="dxa"/>
            <w:vAlign w:val="bottom"/>
          </w:tcPr>
          <w:p>
            <w:pPr>
              <w:jc w:val="right"/>
              <w:spacing w:after="0"/>
              <w:rPr>
                <w:sz w:val="20"/>
                <w:szCs w:val="20"/>
                <w:color w:val="auto"/>
              </w:rPr>
            </w:pPr>
            <w:r>
              <w:rPr>
                <w:rFonts w:ascii="Arial" w:cs="Arial" w:eastAsia="Arial" w:hAnsi="Arial"/>
                <w:sz w:val="17"/>
                <w:szCs w:val="17"/>
                <w:color w:val="auto"/>
              </w:rPr>
              <w:t>69.8%</w:t>
            </w:r>
          </w:p>
        </w:tc>
        <w:tc>
          <w:tcPr>
            <w:tcW w:w="1300" w:type="dxa"/>
            <w:vAlign w:val="bottom"/>
          </w:tcPr>
          <w:p>
            <w:pPr>
              <w:jc w:val="right"/>
              <w:ind w:right="59"/>
              <w:spacing w:after="0"/>
              <w:rPr>
                <w:sz w:val="20"/>
                <w:szCs w:val="20"/>
                <w:color w:val="auto"/>
              </w:rPr>
            </w:pPr>
            <w:r>
              <w:rPr>
                <w:rFonts w:ascii="Arial" w:cs="Arial" w:eastAsia="Arial" w:hAnsi="Arial"/>
                <w:sz w:val="17"/>
                <w:szCs w:val="17"/>
                <w:color w:val="auto"/>
              </w:rPr>
              <w:t>16.2</w:t>
            </w:r>
          </w:p>
        </w:tc>
        <w:tc>
          <w:tcPr>
            <w:tcW w:w="1380" w:type="dxa"/>
            <w:vAlign w:val="bottom"/>
          </w:tcPr>
          <w:p>
            <w:pPr>
              <w:jc w:val="right"/>
              <w:spacing w:after="0"/>
              <w:rPr>
                <w:sz w:val="20"/>
                <w:szCs w:val="20"/>
                <w:color w:val="auto"/>
              </w:rPr>
            </w:pPr>
            <w:r>
              <w:rPr>
                <w:rFonts w:ascii="Arial" w:cs="Arial" w:eastAsia="Arial" w:hAnsi="Arial"/>
                <w:sz w:val="17"/>
                <w:szCs w:val="17"/>
                <w:color w:val="auto"/>
              </w:rPr>
              <w:t>23.2%</w:t>
            </w:r>
          </w:p>
        </w:tc>
        <w:tc>
          <w:tcPr>
            <w:tcW w:w="2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162" w:lineRule="exact"/>
        <w:rPr>
          <w:sz w:val="20"/>
          <w:szCs w:val="20"/>
          <w:color w:val="auto"/>
        </w:rPr>
      </w:pPr>
    </w:p>
    <w:p>
      <w:pPr>
        <w:jc w:val="both"/>
        <w:ind w:right="20" w:firstLine="636"/>
        <w:spacing w:after="0" w:line="264" w:lineRule="auto"/>
        <w:rPr>
          <w:sz w:val="20"/>
          <w:szCs w:val="20"/>
          <w:color w:val="auto"/>
        </w:rPr>
      </w:pPr>
      <w:r>
        <w:rPr>
          <w:rFonts w:ascii="Arial" w:cs="Arial" w:eastAsia="Arial" w:hAnsi="Arial"/>
          <w:sz w:val="17"/>
          <w:szCs w:val="17"/>
          <w:color w:val="auto"/>
        </w:rPr>
        <w:t>Direct written premiums during the three months ended September 30, 2018 (“Third Quarter 2018”) were $38,785,000 compared to $32,840,000 during the three months ended September 30, 2018 (“Third Quarter 2017”). The increase of $5,945,000, or 18.1%, was primarily due to an increase in policies in force during Third Quarter 2018 as compared to Third Quarter 2017 driven by continued growth in new business. We wrote more new policies as a result of continued demand for our products in the markets that we serve. We believe that a portion of our growth in new policies is attributable to our upgraded A.M. Best rating of A- that we received in April 2017. During 2017 and 2018, we started writing homeowners policies in our aforementioned Expansion markets. Direct written premiums from our Expansion business were $2,855,000 in Third Quarter 2018, compared to $724,000 in Third Quarter 2017. Policies in-force increased by 19.3% as of September 30, 2018 compared to September 30, 2017.</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162" w:lineRule="exact"/>
        <w:rPr>
          <w:sz w:val="20"/>
          <w:szCs w:val="20"/>
          <w:color w:val="auto"/>
        </w:rPr>
      </w:pPr>
    </w:p>
    <w:p>
      <w:pPr>
        <w:jc w:val="both"/>
        <w:ind w:right="20" w:firstLine="636"/>
        <w:spacing w:after="0" w:line="326" w:lineRule="auto"/>
        <w:rPr>
          <w:sz w:val="20"/>
          <w:szCs w:val="20"/>
          <w:color w:val="auto"/>
        </w:rPr>
      </w:pPr>
      <w:r>
        <w:rPr>
          <w:rFonts w:ascii="Arial" w:cs="Arial" w:eastAsia="Arial" w:hAnsi="Arial"/>
          <w:sz w:val="15"/>
          <w:szCs w:val="15"/>
          <w:color w:val="auto"/>
        </w:rPr>
        <w:t>The following table describes the quota share reinsurance ceding rates in effect during Third Quarter 2018 and Third Quarter 2017. For purposes of the discussion herein, the change in the quota share ceding rates on each of July 1, 2018 and 2017 will be referred to as “the Cut-off”. This table should be referred to in conjunction with the discussions for net written premiums, net premiums earned, ceding commission revenue and net loss and loss adjustment expenses that follow.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80" w:type="dxa"/>
            <w:vAlign w:val="bottom"/>
          </w:tcPr>
          <w:p>
            <w:pPr>
              <w:spacing w:after="0"/>
              <w:rPr>
                <w:sz w:val="15"/>
                <w:szCs w:val="15"/>
                <w:color w:val="auto"/>
              </w:rPr>
            </w:pPr>
          </w:p>
        </w:tc>
        <w:tc>
          <w:tcPr>
            <w:tcW w:w="6580" w:type="dxa"/>
            <w:vAlign w:val="bottom"/>
            <w:tcBorders>
              <w:bottom w:val="single" w:sz="8" w:color="auto"/>
            </w:tcBorders>
            <w:gridSpan w:val="3"/>
          </w:tcPr>
          <w:p>
            <w:pPr>
              <w:jc w:val="right"/>
              <w:ind w:right="2087"/>
              <w:spacing w:after="0"/>
              <w:rPr>
                <w:sz w:val="20"/>
                <w:szCs w:val="20"/>
                <w:color w:val="auto"/>
              </w:rPr>
            </w:pPr>
            <w:r>
              <w:rPr>
                <w:rFonts w:ascii="Arial" w:cs="Arial" w:eastAsia="Arial" w:hAnsi="Arial"/>
                <w:sz w:val="15"/>
                <w:szCs w:val="15"/>
                <w:b w:val="1"/>
                <w:bCs w:val="1"/>
                <w:color w:val="auto"/>
              </w:rPr>
              <w:t>Three months ended September 30,</w:t>
            </w:r>
          </w:p>
        </w:tc>
      </w:tr>
      <w:tr>
        <w:trPr>
          <w:trHeight w:val="165"/>
        </w:trPr>
        <w:tc>
          <w:tcPr>
            <w:tcW w:w="4980" w:type="dxa"/>
            <w:vAlign w:val="bottom"/>
          </w:tcPr>
          <w:p>
            <w:pPr>
              <w:spacing w:after="0"/>
              <w:rPr>
                <w:sz w:val="14"/>
                <w:szCs w:val="14"/>
                <w:color w:val="auto"/>
              </w:rPr>
            </w:pPr>
          </w:p>
        </w:tc>
        <w:tc>
          <w:tcPr>
            <w:tcW w:w="3120" w:type="dxa"/>
            <w:vAlign w:val="bottom"/>
          </w:tcPr>
          <w:p>
            <w:pPr>
              <w:jc w:val="right"/>
              <w:ind w:right="1304"/>
              <w:spacing w:after="0" w:line="159" w:lineRule="exact"/>
              <w:rPr>
                <w:sz w:val="20"/>
                <w:szCs w:val="20"/>
                <w:color w:val="auto"/>
              </w:rPr>
            </w:pPr>
            <w:r>
              <w:rPr>
                <w:rFonts w:ascii="Arial" w:cs="Arial" w:eastAsia="Arial" w:hAnsi="Arial"/>
                <w:sz w:val="15"/>
                <w:szCs w:val="15"/>
                <w:b w:val="1"/>
                <w:bCs w:val="1"/>
                <w:color w:val="auto"/>
              </w:rPr>
              <w:t>2018</w:t>
            </w:r>
          </w:p>
        </w:tc>
        <w:tc>
          <w:tcPr>
            <w:tcW w:w="3460" w:type="dxa"/>
            <w:vAlign w:val="bottom"/>
            <w:gridSpan w:val="2"/>
          </w:tcPr>
          <w:p>
            <w:pPr>
              <w:jc w:val="right"/>
              <w:ind w:right="1287"/>
              <w:spacing w:after="0" w:line="159" w:lineRule="exact"/>
              <w:rPr>
                <w:sz w:val="20"/>
                <w:szCs w:val="20"/>
                <w:color w:val="auto"/>
              </w:rPr>
            </w:pPr>
            <w:r>
              <w:rPr>
                <w:rFonts w:ascii="Arial" w:cs="Arial" w:eastAsia="Arial" w:hAnsi="Arial"/>
                <w:sz w:val="15"/>
                <w:szCs w:val="15"/>
                <w:b w:val="1"/>
                <w:bCs w:val="1"/>
                <w:color w:val="auto"/>
              </w:rPr>
              <w:t>2017</w:t>
            </w:r>
          </w:p>
        </w:tc>
      </w:tr>
      <w:tr>
        <w:trPr>
          <w:trHeight w:val="188"/>
        </w:trPr>
        <w:tc>
          <w:tcPr>
            <w:tcW w:w="4980" w:type="dxa"/>
            <w:vAlign w:val="bottom"/>
          </w:tcPr>
          <w:p>
            <w:pPr>
              <w:spacing w:after="0"/>
              <w:rPr>
                <w:sz w:val="16"/>
                <w:szCs w:val="16"/>
                <w:color w:val="auto"/>
              </w:rPr>
            </w:pPr>
          </w:p>
        </w:tc>
        <w:tc>
          <w:tcPr>
            <w:tcW w:w="3120" w:type="dxa"/>
            <w:vAlign w:val="bottom"/>
            <w:tcBorders>
              <w:top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("2017/2019 Treaty")</w:t>
            </w:r>
          </w:p>
        </w:tc>
        <w:tc>
          <w:tcPr>
            <w:tcW w:w="360" w:type="dxa"/>
            <w:vAlign w:val="bottom"/>
          </w:tcPr>
          <w:p>
            <w:pPr>
              <w:spacing w:after="0"/>
              <w:rPr>
                <w:sz w:val="16"/>
                <w:szCs w:val="16"/>
                <w:color w:val="auto"/>
              </w:rPr>
            </w:pPr>
          </w:p>
        </w:tc>
        <w:tc>
          <w:tcPr>
            <w:tcW w:w="3100" w:type="dxa"/>
            <w:vAlign w:val="bottom"/>
            <w:tcBorders>
              <w:top w:val="single" w:sz="8" w:color="auto"/>
            </w:tcBorders>
          </w:tcPr>
          <w:p>
            <w:pPr>
              <w:jc w:val="right"/>
              <w:ind w:right="787"/>
              <w:spacing w:after="0"/>
              <w:rPr>
                <w:sz w:val="20"/>
                <w:szCs w:val="20"/>
                <w:color w:val="auto"/>
              </w:rPr>
            </w:pPr>
            <w:r>
              <w:rPr>
                <w:rFonts w:ascii="Arial" w:cs="Arial" w:eastAsia="Arial" w:hAnsi="Arial"/>
                <w:sz w:val="15"/>
                <w:szCs w:val="15"/>
                <w:b w:val="1"/>
                <w:bCs w:val="1"/>
                <w:color w:val="auto"/>
              </w:rPr>
              <w:t>("2017/2019 Treaty")</w:t>
            </w:r>
          </w:p>
        </w:tc>
      </w:tr>
      <w:tr>
        <w:trPr>
          <w:trHeight w:val="183"/>
        </w:trPr>
        <w:tc>
          <w:tcPr>
            <w:tcW w:w="49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212"/>
        </w:trPr>
        <w:tc>
          <w:tcPr>
            <w:tcW w:w="49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Quota share reinsurance rates</w:t>
            </w:r>
          </w:p>
        </w:tc>
        <w:tc>
          <w:tcPr>
            <w:tcW w:w="3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r>
      <w:tr>
        <w:trPr>
          <w:trHeight w:val="217"/>
        </w:trPr>
        <w:tc>
          <w:tcPr>
            <w:tcW w:w="4980" w:type="dxa"/>
            <w:vAlign w:val="bottom"/>
          </w:tcPr>
          <w:p>
            <w:pPr>
              <w:ind w:left="200"/>
              <w:spacing w:after="0"/>
              <w:rPr>
                <w:sz w:val="20"/>
                <w:szCs w:val="20"/>
                <w:color w:val="auto"/>
              </w:rPr>
            </w:pPr>
            <w:r>
              <w:rPr>
                <w:rFonts w:ascii="Arial" w:cs="Arial" w:eastAsia="Arial" w:hAnsi="Arial"/>
                <w:sz w:val="17"/>
                <w:szCs w:val="17"/>
                <w:color w:val="auto"/>
              </w:rPr>
              <w:t>Personal lines</w:t>
            </w:r>
          </w:p>
        </w:tc>
        <w:tc>
          <w:tcPr>
            <w:tcW w:w="3120" w:type="dxa"/>
            <w:vAlign w:val="bottom"/>
          </w:tcPr>
          <w:p>
            <w:pPr>
              <w:jc w:val="right"/>
              <w:ind w:right="1144"/>
              <w:spacing w:after="0"/>
              <w:rPr>
                <w:sz w:val="20"/>
                <w:szCs w:val="20"/>
                <w:color w:val="auto"/>
              </w:rPr>
            </w:pPr>
            <w:r>
              <w:rPr>
                <w:rFonts w:ascii="Arial" w:cs="Arial" w:eastAsia="Arial" w:hAnsi="Arial"/>
                <w:sz w:val="17"/>
                <w:szCs w:val="17"/>
                <w:color w:val="auto"/>
              </w:rPr>
              <w:t>10%</w:t>
            </w:r>
          </w:p>
        </w:tc>
        <w:tc>
          <w:tcPr>
            <w:tcW w:w="3460" w:type="dxa"/>
            <w:vAlign w:val="bottom"/>
            <w:gridSpan w:val="2"/>
          </w:tcPr>
          <w:p>
            <w:pPr>
              <w:jc w:val="right"/>
              <w:ind w:right="1147"/>
              <w:spacing w:after="0"/>
              <w:rPr>
                <w:sz w:val="20"/>
                <w:szCs w:val="20"/>
                <w:color w:val="auto"/>
              </w:rPr>
            </w:pPr>
            <w:r>
              <w:rPr>
                <w:rFonts w:ascii="Arial" w:cs="Arial" w:eastAsia="Arial" w:hAnsi="Arial"/>
                <w:sz w:val="17"/>
                <w:szCs w:val="17"/>
                <w:color w:val="auto"/>
              </w:rPr>
              <w:t>20%</w:t>
            </w: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See “Reinsurance” below for changes to our personal lines quota share treaties effective July 1, 2018 and 2017.</w:t>
      </w:r>
    </w:p>
    <w:p>
      <w:pPr>
        <w:spacing w:after="0" w:line="162" w:lineRule="exact"/>
        <w:rPr>
          <w:sz w:val="20"/>
          <w:szCs w:val="20"/>
          <w:color w:val="auto"/>
        </w:rPr>
      </w:pPr>
    </w:p>
    <w:p>
      <w:pPr>
        <w:jc w:val="both"/>
        <w:ind w:right="20" w:firstLine="636"/>
        <w:spacing w:after="0" w:line="266" w:lineRule="auto"/>
        <w:rPr>
          <w:sz w:val="20"/>
          <w:szCs w:val="20"/>
          <w:color w:val="auto"/>
        </w:rPr>
      </w:pPr>
      <w:r>
        <w:rPr>
          <w:rFonts w:ascii="Arial" w:cs="Arial" w:eastAsia="Arial" w:hAnsi="Arial"/>
          <w:sz w:val="17"/>
          <w:szCs w:val="17"/>
          <w:color w:val="auto"/>
        </w:rPr>
        <w:t>Net written premiums increased $3,841,000, or 11.9%, to $36,102,000 in Third Quarter 2018 from $32,261,000 in Third Quarter 2017.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 The increase in net written premiums is due to growth and the reduction of our personal lines quota share reinsurance rate to 10% on July 1, 2018.</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80"/>
          </w:cols>
          <w:pgMar w:left="160" w:top="475" w:right="159" w:bottom="1440" w:gutter="0" w:footer="0" w:header="0"/>
        </w:sectPr>
      </w:pPr>
    </w:p>
    <w:bookmarkStart w:id="54" w:name="page55"/>
    <w:bookmarkEnd w:id="54"/>
    <w:p>
      <w:pPr>
        <w:ind w:left="640"/>
        <w:spacing w:after="0"/>
        <w:rPr>
          <w:sz w:val="20"/>
          <w:szCs w:val="20"/>
          <w:color w:val="auto"/>
        </w:rPr>
      </w:pPr>
      <w:r>
        <w:rPr>
          <w:rFonts w:ascii="Arial" w:cs="Arial" w:eastAsia="Arial" w:hAnsi="Arial"/>
          <w:sz w:val="17"/>
          <w:szCs w:val="17"/>
          <w:i w:val="1"/>
          <w:iCs w:val="1"/>
          <w:color w:val="auto"/>
        </w:rPr>
        <w:t>Change in quota share ceding rate</w:t>
      </w:r>
    </w:p>
    <w:p>
      <w:pPr>
        <w:spacing w:after="0" w:line="162" w:lineRule="exact"/>
        <w:rPr>
          <w:sz w:val="20"/>
          <w:szCs w:val="20"/>
          <w:color w:val="auto"/>
        </w:rPr>
      </w:pPr>
    </w:p>
    <w:p>
      <w:pPr>
        <w:jc w:val="both"/>
        <w:ind w:right="60" w:firstLine="636"/>
        <w:spacing w:after="0" w:line="266" w:lineRule="auto"/>
        <w:rPr>
          <w:sz w:val="20"/>
          <w:szCs w:val="20"/>
          <w:color w:val="auto"/>
        </w:rPr>
      </w:pPr>
      <w:r>
        <w:rPr>
          <w:rFonts w:ascii="Arial" w:cs="Arial" w:eastAsia="Arial" w:hAnsi="Arial"/>
          <w:sz w:val="17"/>
          <w:szCs w:val="17"/>
          <w:color w:val="auto"/>
        </w:rPr>
        <w:t>Effective July 1, 2018, we decreased the quota share ceding rate in our personal lines quota share treaty from 20% to 10%. The Cut-off of this treaty on July 1, 2018 resulted in a $4,553,000 return of unearned premiums from our reinsurers that were previously ceded under the expiring personal lines quota share treaty. Our quota share ceding rate changed from 40% to 20% in Third Quarter 2017 resulting in a $7,140,000 return of unearned premiums from our reinsurers that were previously ceded. The table below shows the effect of the $4,553,000 and $7,140,000 return of ceded premiums on net written premiums for Third Quarter 2018 and Third Quarter 2017,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2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5"/>
                <w:szCs w:val="15"/>
                <w:b w:val="1"/>
                <w:bCs w:val="1"/>
                <w:color w:val="auto"/>
                <w:w w:val="87"/>
              </w:rPr>
              <w:t>Three months ended September 30,</w:t>
            </w:r>
          </w:p>
        </w:tc>
        <w:tc>
          <w:tcPr>
            <w:tcW w:w="1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7"/>
              <w:spacing w:after="0" w:line="159" w:lineRule="exact"/>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9"/>
              <w:spacing w:after="0" w:line="159" w:lineRule="exact"/>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line="159" w:lineRule="exact"/>
              <w:rPr>
                <w:sz w:val="20"/>
                <w:szCs w:val="20"/>
                <w:color w:val="auto"/>
              </w:rPr>
            </w:pPr>
            <w:r>
              <w:rPr>
                <w:rFonts w:ascii="Arial" w:cs="Arial" w:eastAsia="Arial" w:hAnsi="Arial"/>
                <w:sz w:val="15"/>
                <w:szCs w:val="15"/>
                <w:b w:val="1"/>
                <w:bCs w:val="1"/>
                <w:color w:val="auto"/>
              </w:rPr>
              <w:t>Change</w:t>
            </w:r>
          </w:p>
        </w:tc>
        <w:tc>
          <w:tcPr>
            <w:tcW w:w="1380" w:type="dxa"/>
            <w:vAlign w:val="bottom"/>
            <w:tcBorders>
              <w:bottom w:val="single" w:sz="8" w:color="auto"/>
            </w:tcBorders>
          </w:tcPr>
          <w:p>
            <w:pPr>
              <w:jc w:val="right"/>
              <w:ind w:right="337"/>
              <w:spacing w:after="0" w:line="159" w:lineRule="exact"/>
              <w:rPr>
                <w:sz w:val="20"/>
                <w:szCs w:val="20"/>
                <w:color w:val="auto"/>
              </w:rPr>
            </w:pPr>
            <w:r>
              <w:rPr>
                <w:rFonts w:ascii="Arial" w:cs="Arial" w:eastAsia="Arial" w:hAnsi="Arial"/>
                <w:sz w:val="15"/>
                <w:szCs w:val="15"/>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written premiums</w:t>
            </w:r>
          </w:p>
        </w:tc>
        <w:tc>
          <w:tcPr>
            <w:tcW w:w="3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36,102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32,261</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3,841</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100"/>
              <w:spacing w:after="0"/>
              <w:rPr>
                <w:sz w:val="20"/>
                <w:szCs w:val="20"/>
                <w:color w:val="auto"/>
              </w:rPr>
            </w:pPr>
            <w:r>
              <w:rPr>
                <w:rFonts w:ascii="Arial" w:cs="Arial" w:eastAsia="Arial" w:hAnsi="Arial"/>
                <w:sz w:val="17"/>
                <w:szCs w:val="17"/>
                <w:color w:val="auto"/>
              </w:rPr>
              <w:t>Return of premiums previously ceded to prior quota share treaties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4,553</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7,140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(2,587)</w:t>
            </w:r>
          </w:p>
        </w:tc>
        <w:tc>
          <w:tcPr>
            <w:tcW w:w="1380" w:type="dxa"/>
            <w:vAlign w:val="bottom"/>
          </w:tcPr>
          <w:p>
            <w:pPr>
              <w:jc w:val="right"/>
              <w:spacing w:after="0"/>
              <w:rPr>
                <w:sz w:val="20"/>
                <w:szCs w:val="20"/>
                <w:color w:val="auto"/>
              </w:rPr>
            </w:pPr>
            <w:r>
              <w:rPr>
                <w:rFonts w:ascii="Arial" w:cs="Arial" w:eastAsia="Arial" w:hAnsi="Arial"/>
                <w:sz w:val="17"/>
                <w:szCs w:val="17"/>
                <w:color w:val="auto"/>
              </w:rPr>
              <w:t>(36.2)%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Net written premiums without the effect of the July 1 Cut-off</w:t>
            </w:r>
          </w:p>
        </w:tc>
        <w:tc>
          <w:tcPr>
            <w:tcW w:w="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31,549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25,121</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6,428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Without the effect of the July 1 Cut-offs, net written premiums increased by $6,428,000, or 25.6%, in 2018 compared to 2017.</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Excess of loss reinsurance treaties</w:t>
      </w:r>
    </w:p>
    <w:p>
      <w:pPr>
        <w:spacing w:after="0" w:line="162" w:lineRule="exact"/>
        <w:rPr>
          <w:sz w:val="20"/>
          <w:szCs w:val="20"/>
          <w:color w:val="auto"/>
        </w:rPr>
      </w:pPr>
    </w:p>
    <w:p>
      <w:pPr>
        <w:jc w:val="both"/>
        <w:ind w:right="60" w:firstLine="636"/>
        <w:spacing w:after="0" w:line="273" w:lineRule="auto"/>
        <w:rPr>
          <w:sz w:val="20"/>
          <w:szCs w:val="20"/>
          <w:color w:val="auto"/>
        </w:rPr>
      </w:pPr>
      <w:r>
        <w:rPr>
          <w:rFonts w:ascii="Arial" w:cs="Arial" w:eastAsia="Arial" w:hAnsi="Arial"/>
          <w:sz w:val="17"/>
          <w:szCs w:val="17"/>
          <w:color w:val="auto"/>
        </w:rPr>
        <w:t>An increase in written premiums will, to a lesser extent, increase the premiums ceded under our excess of loss treaties. In Third Quarter 2018, our ceded excess of loss reinsurance premiums increased by $125,000 over the comparable ceded premiums for Third Quarter 2017. The decrease was due to an increase in premiums subject to excess of loss reinsurance.</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Catastrophe reinsurance treaties</w:t>
      </w:r>
    </w:p>
    <w:p>
      <w:pPr>
        <w:spacing w:after="0" w:line="162" w:lineRule="exact"/>
        <w:rPr>
          <w:sz w:val="20"/>
          <w:szCs w:val="20"/>
          <w:color w:val="auto"/>
        </w:rPr>
      </w:pPr>
    </w:p>
    <w:p>
      <w:pPr>
        <w:jc w:val="both"/>
        <w:ind w:right="60" w:firstLine="636"/>
        <w:spacing w:after="0" w:line="285" w:lineRule="auto"/>
        <w:rPr>
          <w:sz w:val="20"/>
          <w:szCs w:val="20"/>
          <w:color w:val="auto"/>
        </w:rPr>
      </w:pPr>
      <w:r>
        <w:rPr>
          <w:rFonts w:ascii="Arial" w:cs="Arial" w:eastAsia="Arial" w:hAnsi="Arial"/>
          <w:sz w:val="16"/>
          <w:szCs w:val="16"/>
          <w:color w:val="auto"/>
        </w:rPr>
        <w:t>Most of the premiums written under our personal lines are also subject to our catastrophe treaty. An increase in our personal lines business gives rise to more property exposure, which increases our exposure to catastrophe risk; therefore, our premiums ceded under catastrophe treaties will increase. This results in an increase in premiums ceded under our catastrophe treaty provided that reinsurance rates are stable or are increasing. In Third Quarter 2018, our premiums ceded under catastrophe treaties increased by $935,000 over the comparable ceded premiums for Third Quarter 2017. The increase was due to an increase in our catastrophe coverage and an increase in premiums subject to catastrophe reinsurance, partially offset by more favorable reinsurance rates in Third Quarter 2018. Our ceded catastrophe premiums are paid based on the total direct written premiums subject to the catastrophe reinsurance treaty.</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Net premiums earned</w:t>
      </w:r>
    </w:p>
    <w:p>
      <w:pPr>
        <w:spacing w:after="0" w:line="1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Net premiums earned increased $6,020,000, or 28.0 %, to $27,534,000 in Third Quarter 2018 from $21,514,000 in Third Quarter 2017. The increase was due to the increase in written premiums discussed above and our retaining more earned premiums effective July 1, 2018, as a result of the reduction of the quota share percentage in our personal lines quota share treaty.</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620"/>
          </w:cols>
          <w:pgMar w:left="160" w:top="475" w:right="11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162" w:lineRule="exact"/>
        <w:rPr>
          <w:sz w:val="20"/>
          <w:szCs w:val="20"/>
          <w:color w:val="auto"/>
        </w:rPr>
      </w:pPr>
    </w:p>
    <w:p>
      <w:pPr>
        <w:jc w:val="both"/>
        <w:ind w:right="60" w:firstLine="636"/>
        <w:spacing w:after="0" w:line="287" w:lineRule="auto"/>
        <w:rPr>
          <w:sz w:val="20"/>
          <w:szCs w:val="20"/>
          <w:color w:val="auto"/>
        </w:rPr>
      </w:pPr>
      <w:r>
        <w:rPr>
          <w:rFonts w:ascii="Arial" w:cs="Arial" w:eastAsia="Arial" w:hAnsi="Arial"/>
          <w:sz w:val="17"/>
          <w:szCs w:val="17"/>
          <w:color w:val="auto"/>
        </w:rPr>
        <w:t>The following table details the quota share provisional ceding commission rates in effect during Third Quarter 2018 and Third Quarter 2017. This table should be referred to in conjunction with the discussion for ceding commission revenue that follows.</w:t>
      </w:r>
    </w:p>
    <w:p>
      <w:pPr>
        <w:spacing w:after="0" w:line="97" w:lineRule="exact"/>
        <w:rPr>
          <w:sz w:val="20"/>
          <w:szCs w:val="20"/>
          <w:color w:val="auto"/>
        </w:rPr>
      </w:pPr>
    </w:p>
    <w:p>
      <w:pPr>
        <w:jc w:val="center"/>
        <w:ind w:left="6900"/>
        <w:spacing w:after="0"/>
        <w:rPr>
          <w:sz w:val="20"/>
          <w:szCs w:val="20"/>
          <w:color w:val="auto"/>
        </w:rPr>
      </w:pPr>
      <w:r>
        <w:rPr>
          <w:rFonts w:ascii="Arial" w:cs="Arial" w:eastAsia="Arial" w:hAnsi="Arial"/>
          <w:sz w:val="15"/>
          <w:szCs w:val="15"/>
          <w:b w:val="1"/>
          <w:bCs w:val="1"/>
          <w:color w:val="auto"/>
        </w:rPr>
        <w:t>Three months ended</w:t>
      </w:r>
    </w:p>
    <w:p>
      <w:pPr>
        <w:jc w:val="center"/>
        <w:ind w:left="6900"/>
        <w:spacing w:after="0" w:line="220" w:lineRule="auto"/>
        <w:rPr>
          <w:sz w:val="20"/>
          <w:szCs w:val="20"/>
          <w:color w:val="auto"/>
        </w:rPr>
      </w:pPr>
      <w:r>
        <w:rPr>
          <w:rFonts w:ascii="Arial" w:cs="Arial" w:eastAsia="Arial" w:hAnsi="Arial"/>
          <w:sz w:val="15"/>
          <w:szCs w:val="15"/>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00" w:type="dxa"/>
            <w:vAlign w:val="bottom"/>
          </w:tcPr>
          <w:p>
            <w:pPr>
              <w:spacing w:after="0"/>
              <w:rPr>
                <w:sz w:val="14"/>
                <w:szCs w:val="14"/>
                <w:color w:val="auto"/>
              </w:rPr>
            </w:pPr>
          </w:p>
        </w:tc>
        <w:tc>
          <w:tcPr>
            <w:tcW w:w="2380" w:type="dxa"/>
            <w:vAlign w:val="bottom"/>
            <w:tcBorders>
              <w:top w:val="single" w:sz="8" w:color="auto"/>
              <w:bottom w:val="single" w:sz="8" w:color="auto"/>
            </w:tcBorders>
          </w:tcPr>
          <w:p>
            <w:pPr>
              <w:jc w:val="right"/>
              <w:ind w:right="1043"/>
              <w:spacing w:after="0" w:line="166" w:lineRule="exact"/>
              <w:rPr>
                <w:sz w:val="20"/>
                <w:szCs w:val="20"/>
                <w:color w:val="auto"/>
              </w:rPr>
            </w:pPr>
            <w:r>
              <w:rPr>
                <w:rFonts w:ascii="Arial" w:cs="Arial" w:eastAsia="Arial" w:hAnsi="Arial"/>
                <w:sz w:val="15"/>
                <w:szCs w:val="15"/>
                <w:b w:val="1"/>
                <w:bCs w:val="1"/>
                <w:color w:val="auto"/>
              </w:rPr>
              <w:t>2018</w:t>
            </w:r>
          </w:p>
        </w:tc>
        <w:tc>
          <w:tcPr>
            <w:tcW w:w="2280" w:type="dxa"/>
            <w:vAlign w:val="bottom"/>
            <w:tcBorders>
              <w:top w:val="single" w:sz="8" w:color="auto"/>
              <w:bottom w:val="single" w:sz="8" w:color="auto"/>
            </w:tcBorders>
          </w:tcPr>
          <w:p>
            <w:pPr>
              <w:jc w:val="right"/>
              <w:ind w:right="883"/>
              <w:spacing w:after="0" w:line="166" w:lineRule="exact"/>
              <w:rPr>
                <w:sz w:val="20"/>
                <w:szCs w:val="20"/>
                <w:color w:val="auto"/>
              </w:rPr>
            </w:pPr>
            <w:r>
              <w:rPr>
                <w:rFonts w:ascii="Arial" w:cs="Arial" w:eastAsia="Arial" w:hAnsi="Arial"/>
                <w:sz w:val="15"/>
                <w:szCs w:val="15"/>
                <w:b w:val="1"/>
                <w:bCs w:val="1"/>
                <w:color w:val="auto"/>
              </w:rPr>
              <w:t>2017</w:t>
            </w:r>
          </w:p>
        </w:tc>
      </w:tr>
      <w:tr>
        <w:trPr>
          <w:trHeight w:val="188"/>
        </w:trPr>
        <w:tc>
          <w:tcPr>
            <w:tcW w:w="6900" w:type="dxa"/>
            <w:vAlign w:val="bottom"/>
          </w:tcPr>
          <w:p>
            <w:pPr>
              <w:spacing w:after="0"/>
              <w:rPr>
                <w:sz w:val="16"/>
                <w:szCs w:val="16"/>
                <w:color w:val="auto"/>
              </w:rPr>
            </w:pPr>
          </w:p>
        </w:tc>
        <w:tc>
          <w:tcPr>
            <w:tcW w:w="2380" w:type="dxa"/>
            <w:vAlign w:val="bottom"/>
          </w:tcPr>
          <w:p>
            <w:pPr>
              <w:ind w:left="560"/>
              <w:spacing w:after="0"/>
              <w:rPr>
                <w:sz w:val="20"/>
                <w:szCs w:val="20"/>
                <w:color w:val="auto"/>
              </w:rPr>
            </w:pPr>
            <w:r>
              <w:rPr>
                <w:rFonts w:ascii="Arial" w:cs="Arial" w:eastAsia="Arial" w:hAnsi="Arial"/>
                <w:sz w:val="15"/>
                <w:szCs w:val="15"/>
                <w:b w:val="1"/>
                <w:bCs w:val="1"/>
                <w:color w:val="auto"/>
              </w:rPr>
              <w:t>("2017/2019 Treaty")</w:t>
            </w:r>
          </w:p>
        </w:tc>
        <w:tc>
          <w:tcPr>
            <w:tcW w:w="2280" w:type="dxa"/>
            <w:vAlign w:val="bottom"/>
          </w:tcPr>
          <w:p>
            <w:pPr>
              <w:ind w:left="520"/>
              <w:spacing w:after="0"/>
              <w:rPr>
                <w:sz w:val="20"/>
                <w:szCs w:val="20"/>
                <w:color w:val="auto"/>
              </w:rPr>
            </w:pPr>
            <w:r>
              <w:rPr>
                <w:rFonts w:ascii="Arial" w:cs="Arial" w:eastAsia="Arial" w:hAnsi="Arial"/>
                <w:sz w:val="15"/>
                <w:szCs w:val="15"/>
                <w:b w:val="1"/>
                <w:bCs w:val="1"/>
                <w:color w:val="auto"/>
              </w:rPr>
              <w:t>("2017/2019 Treaty")</w:t>
            </w:r>
          </w:p>
        </w:tc>
      </w:tr>
      <w:tr>
        <w:trPr>
          <w:trHeight w:val="183"/>
        </w:trPr>
        <w:tc>
          <w:tcPr>
            <w:tcW w:w="69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12"/>
        </w:trPr>
        <w:tc>
          <w:tcPr>
            <w:tcW w:w="690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Provisional ceding commission rate on quota share treaty</w:t>
            </w:r>
          </w:p>
        </w:tc>
        <w:tc>
          <w:tcPr>
            <w:tcW w:w="23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7"/>
        </w:trPr>
        <w:tc>
          <w:tcPr>
            <w:tcW w:w="6900" w:type="dxa"/>
            <w:vAlign w:val="bottom"/>
          </w:tcPr>
          <w:p>
            <w:pPr>
              <w:ind w:left="200"/>
              <w:spacing w:after="0"/>
              <w:rPr>
                <w:sz w:val="20"/>
                <w:szCs w:val="20"/>
                <w:color w:val="auto"/>
              </w:rPr>
            </w:pPr>
            <w:r>
              <w:rPr>
                <w:rFonts w:ascii="Arial" w:cs="Arial" w:eastAsia="Arial" w:hAnsi="Arial"/>
                <w:sz w:val="17"/>
                <w:szCs w:val="17"/>
                <w:color w:val="auto"/>
              </w:rPr>
              <w:t>Personal lines</w:t>
            </w:r>
          </w:p>
        </w:tc>
        <w:tc>
          <w:tcPr>
            <w:tcW w:w="2380" w:type="dxa"/>
            <w:vAlign w:val="bottom"/>
          </w:tcPr>
          <w:p>
            <w:pPr>
              <w:jc w:val="right"/>
              <w:ind w:right="1043"/>
              <w:spacing w:after="0"/>
              <w:rPr>
                <w:sz w:val="20"/>
                <w:szCs w:val="20"/>
                <w:color w:val="auto"/>
              </w:rPr>
            </w:pPr>
            <w:r>
              <w:rPr>
                <w:rFonts w:ascii="Arial" w:cs="Arial" w:eastAsia="Arial" w:hAnsi="Arial"/>
                <w:sz w:val="17"/>
                <w:szCs w:val="17"/>
                <w:color w:val="auto"/>
              </w:rPr>
              <w:t>53%</w:t>
            </w:r>
          </w:p>
        </w:tc>
        <w:tc>
          <w:tcPr>
            <w:tcW w:w="2280" w:type="dxa"/>
            <w:vAlign w:val="bottom"/>
          </w:tcPr>
          <w:p>
            <w:pPr>
              <w:jc w:val="right"/>
              <w:ind w:right="863"/>
              <w:spacing w:after="0"/>
              <w:rPr>
                <w:sz w:val="20"/>
                <w:szCs w:val="20"/>
                <w:color w:val="auto"/>
              </w:rPr>
            </w:pPr>
            <w:r>
              <w:rPr>
                <w:rFonts w:ascii="Arial" w:cs="Arial" w:eastAsia="Arial" w:hAnsi="Arial"/>
                <w:sz w:val="17"/>
                <w:szCs w:val="17"/>
                <w:color w:val="auto"/>
              </w:rPr>
              <w:t>53%</w:t>
            </w: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20" w:type="dxa"/>
            <w:vAlign w:val="bottom"/>
            <w:vMerge w:val="restart"/>
          </w:tcPr>
          <w:p>
            <w:pPr>
              <w:spacing w:after="0"/>
              <w:rPr>
                <w:sz w:val="20"/>
                <w:szCs w:val="20"/>
                <w:color w:val="auto"/>
              </w:rPr>
            </w:pPr>
            <w:r>
              <w:rPr>
                <w:rFonts w:ascii="Arial" w:cs="Arial" w:eastAsia="Arial" w:hAnsi="Arial"/>
                <w:sz w:val="15"/>
                <w:szCs w:val="15"/>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5"/>
                <w:szCs w:val="15"/>
                <w:b w:val="1"/>
                <w:bCs w:val="1"/>
                <w:color w:val="auto"/>
                <w:w w:val="87"/>
              </w:rPr>
              <w:t>Three months ended September 30,</w:t>
            </w:r>
          </w:p>
        </w:tc>
        <w:tc>
          <w:tcPr>
            <w:tcW w:w="1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line="159" w:lineRule="exact"/>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8"/>
              <w:spacing w:after="0" w:line="159" w:lineRule="exact"/>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line="159" w:lineRule="exact"/>
              <w:rPr>
                <w:sz w:val="20"/>
                <w:szCs w:val="20"/>
                <w:color w:val="auto"/>
              </w:rPr>
            </w:pPr>
            <w:r>
              <w:rPr>
                <w:rFonts w:ascii="Arial" w:cs="Arial" w:eastAsia="Arial" w:hAnsi="Arial"/>
                <w:sz w:val="15"/>
                <w:szCs w:val="15"/>
                <w:b w:val="1"/>
                <w:bCs w:val="1"/>
                <w:color w:val="auto"/>
              </w:rPr>
              <w:t>Change</w:t>
            </w:r>
          </w:p>
        </w:tc>
        <w:tc>
          <w:tcPr>
            <w:tcW w:w="1380" w:type="dxa"/>
            <w:vAlign w:val="bottom"/>
            <w:tcBorders>
              <w:bottom w:val="single" w:sz="8" w:color="auto"/>
            </w:tcBorders>
          </w:tcPr>
          <w:p>
            <w:pPr>
              <w:jc w:val="right"/>
              <w:ind w:right="336"/>
              <w:spacing w:after="0" w:line="159" w:lineRule="exact"/>
              <w:rPr>
                <w:sz w:val="20"/>
                <w:szCs w:val="20"/>
                <w:color w:val="auto"/>
              </w:rPr>
            </w:pPr>
            <w:r>
              <w:rPr>
                <w:rFonts w:ascii="Arial" w:cs="Arial" w:eastAsia="Arial" w:hAnsi="Arial"/>
                <w:sz w:val="15"/>
                <w:szCs w:val="15"/>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Provisional ceding commissions earned</w:t>
            </w:r>
          </w:p>
        </w:tc>
        <w:tc>
          <w:tcPr>
            <w:tcW w:w="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1,255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1,922</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Contingent ceding commissions earned excluding</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the effect of catastrophes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(210)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(204)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200"/>
              <w:spacing w:after="0"/>
              <w:rPr>
                <w:sz w:val="20"/>
                <w:szCs w:val="20"/>
                <w:color w:val="auto"/>
              </w:rPr>
            </w:pPr>
            <w:r>
              <w:rPr>
                <w:rFonts w:ascii="Arial" w:cs="Arial" w:eastAsia="Arial" w:hAnsi="Arial"/>
                <w:sz w:val="17"/>
                <w:szCs w:val="17"/>
                <w:color w:val="auto"/>
              </w:rPr>
              <w:t>Effect of catastrophes on ceding commissions earned</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(210)</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(204)</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ceding commission revenue</w:t>
            </w:r>
          </w:p>
        </w:tc>
        <w:tc>
          <w:tcPr>
            <w:tcW w:w="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1,045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1,718</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right="60" w:firstLine="636"/>
        <w:spacing w:after="0" w:line="269" w:lineRule="auto"/>
        <w:rPr>
          <w:sz w:val="20"/>
          <w:szCs w:val="20"/>
          <w:color w:val="auto"/>
        </w:rPr>
      </w:pPr>
      <w:r>
        <w:rPr>
          <w:rFonts w:ascii="Arial" w:cs="Arial" w:eastAsia="Arial" w:hAnsi="Arial"/>
          <w:sz w:val="17"/>
          <w:szCs w:val="17"/>
          <w:color w:val="auto"/>
        </w:rPr>
        <w:t>Ceding commission revenue was $1,045,000 in Third Quarter 2018 compared to $1,718,000 in Third Quarter 2017. The decrease of $673,000, or 39.2%, was due to a decrease in provisional ceding commissions earned as well as a decrease in contingent ceding commissions earned. The reduction in provisional ceding commissions occurred due to us making the decision to retain more of our profitable business (see below for discussion of provisional ceding commissions earned and contingent ceding commissions earned).</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162" w:lineRule="exact"/>
        <w:rPr>
          <w:sz w:val="20"/>
          <w:szCs w:val="20"/>
          <w:color w:val="auto"/>
        </w:rPr>
      </w:pPr>
    </w:p>
    <w:p>
      <w:pPr>
        <w:jc w:val="both"/>
        <w:ind w:right="60" w:firstLine="636"/>
        <w:spacing w:after="0" w:line="266" w:lineRule="auto"/>
        <w:rPr>
          <w:sz w:val="20"/>
          <w:szCs w:val="20"/>
          <w:color w:val="auto"/>
        </w:rPr>
      </w:pPr>
      <w:r>
        <w:rPr>
          <w:rFonts w:ascii="Arial" w:cs="Arial" w:eastAsia="Arial" w:hAnsi="Arial"/>
          <w:sz w:val="17"/>
          <w:szCs w:val="17"/>
          <w:color w:val="auto"/>
        </w:rPr>
        <w:t>We receive a provisional ceding commission based on ceded written premiums. In Third Quarter 2018 our provisional ceding rate was 53% under the 2017/2019 Treaty, no change from Third Quarter 2017. The $667,000 decrease in provisional ceding commissions earned is primarily due to the decrease in the quota share ceding rate effective July 1, 2018 to 10%, from the 20% rate in effect from July 1, 2017 through June 30, 2018; thus there were less ceded premiums in Third Quarter 2018 available to earn ceding commissions than there were in Third Quarter 2017. The decrease was partially offset by an increase in personal lines direct written premiums subject to the quota share.</w:t>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620"/>
          </w:cols>
          <w:pgMar w:left="160" w:top="475" w:right="119" w:bottom="1440" w:gutter="0" w:footer="0" w:header="0"/>
        </w:sectPr>
      </w:pPr>
    </w:p>
    <w:bookmarkStart w:id="56" w:name="page57"/>
    <w:bookmarkEnd w:id="56"/>
    <w:p>
      <w:pPr>
        <w:ind w:left="64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162"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6"/>
          <w:szCs w:val="16"/>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2017/2019 Treaty is subject to change based on losses incurred from claims with accident dates beginning July 1, 2017. The amount of contingent ceding commissions we are eligible to receive under our prior years’ quota share treaties is subject to change based on losses incurred related to claims with accident dates before July 1, 2017.</w:t>
      </w:r>
    </w:p>
    <w:p>
      <w:pPr>
        <w:spacing w:after="0" w:line="104"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6"/>
          <w:szCs w:val="16"/>
          <w:color w:val="auto"/>
        </w:rPr>
        <w:t>The 2017/2019 Treaty structure limits the amount of contingent ceding commissions that we can receive by setting a higher provisional commission rate. As a result of the higher upfront provisional ceding commissions that we receive, there is only a limited opportunity to earn contingent ceding commissions under these treaties. Under our current “net” treaty structure, catastrophe losses in excess of the $5,000,000 retention will fall outside of the quota share treaty and such losses will not have an impact on contingent ceding commissions. Contingent ceding commissions were not affected by catastrophes in Third Quarter 2018 and Third Quarter 2017. See “Reinsurance” below for changes to our personal lines quota share treaty effective July 1, 2018.</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Investment Income</w:t>
      </w:r>
    </w:p>
    <w:p>
      <w:pPr>
        <w:spacing w:after="0" w:line="162" w:lineRule="exact"/>
        <w:rPr>
          <w:sz w:val="20"/>
          <w:szCs w:val="20"/>
          <w:color w:val="auto"/>
        </w:rPr>
      </w:pPr>
    </w:p>
    <w:p>
      <w:pPr>
        <w:jc w:val="both"/>
        <w:ind w:firstLine="636"/>
        <w:spacing w:after="0" w:line="298" w:lineRule="auto"/>
        <w:rPr>
          <w:sz w:val="20"/>
          <w:szCs w:val="20"/>
          <w:color w:val="auto"/>
        </w:rPr>
      </w:pPr>
      <w:r>
        <w:rPr>
          <w:rFonts w:ascii="Arial" w:cs="Arial" w:eastAsia="Arial" w:hAnsi="Arial"/>
          <w:sz w:val="16"/>
          <w:szCs w:val="16"/>
          <w:color w:val="auto"/>
        </w:rPr>
        <w:t>Net investment income was $1,602,000 in Third Quarter 2018 compared to $1,033,000 in Third Quarter 2017. The increase of $569,000, or 55.1%, was due to an increase in average invested assets in Third Quarter 2018. The average yield on invested assets was 3.72% as of September 30, 2018 compared to 3.63% as of September 30, 2017. The pre-tax equivalent yield on invested assets was 3.44% and 3.84% as of September 30, 2018 and 2017, respectively.</w:t>
      </w:r>
    </w:p>
    <w:p>
      <w:pPr>
        <w:spacing w:after="0" w:line="96"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7"/>
          <w:szCs w:val="17"/>
          <w:color w:val="auto"/>
        </w:rPr>
        <w:t>Cash and invested assets were $196,595,000 as of September 30, 2018, compared to $155,738,000 as of September 30, 2017. The $40,857,000 increase in cash and invested assets resulted primarily from the net proceeds of approximately $29,122,000 that we received in December 2017 from our debt offering and increased operating cash flows for the period after September 30, 2017.</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Gains and Losses on Investments</w:t>
      </w:r>
    </w:p>
    <w:p>
      <w:pPr>
        <w:spacing w:after="0" w:line="162"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Net gains on investments were $352,000 in Third Quarter 2018 compared to net gains of $21,000 in Third Quarter 2017. The increase of $331,000, was primarily attributable to an accounting standard change (ASU 2016-01, see Note 2) with respect to the changes in fair value of equity securities and other investments. Historically, the change in unrealized gains (losses) for equity securities and other investments would flow through other comprehensive income. As a result of the new accounting standard, the change in unrealized gains (losses) for these investments is now recorded in the statements of income and comprehensive income. Unrealized gains on our equity securities and other investments in Third Quarter 2018 were $409,000. Realized losses on investments were $57,000 in Third Quarter 2018 compared to realized gains of $21,000 in Third Quarter 2017.</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162" w:lineRule="exact"/>
        <w:rPr>
          <w:sz w:val="20"/>
          <w:szCs w:val="20"/>
          <w:color w:val="auto"/>
        </w:rPr>
      </w:pPr>
    </w:p>
    <w:p>
      <w:pPr>
        <w:ind w:right="380" w:firstLine="636"/>
        <w:spacing w:after="0" w:line="287" w:lineRule="auto"/>
        <w:rPr>
          <w:sz w:val="20"/>
          <w:szCs w:val="20"/>
          <w:color w:val="auto"/>
        </w:rPr>
      </w:pPr>
      <w:r>
        <w:rPr>
          <w:rFonts w:ascii="Arial" w:cs="Arial" w:eastAsia="Arial" w:hAnsi="Arial"/>
          <w:sz w:val="17"/>
          <w:szCs w:val="17"/>
          <w:color w:val="auto"/>
        </w:rPr>
        <w:t>Other income was $353,000 in Third Quarter 2018 compared to $328,000 in Third Quarter 2017. The increase of $25,000, or 7.6%, was primarily due to additional write-offs offset by an increase in installment and other fees earned in our insurance underwriting business.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auto"/>
        </w:rPr>
        <w:t>Net Loss and LAE</w:t>
      </w:r>
    </w:p>
    <w:p>
      <w:pPr>
        <w:spacing w:after="0" w:line="162"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Net loss and LAE was $13,297,000 in Third Quarter 2018 compared to $7,073,000 in Third Quarter 2017. The net loss ratio was 48.3% in Third Quarter 2018 compared to 32.9% in Third Quarter 2017, an increase of 15.4 percentage points.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graph summarizes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150495</wp:posOffset>
            </wp:positionV>
            <wp:extent cx="4086860" cy="38004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86860" cy="380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620"/>
        <w:spacing w:after="0"/>
        <w:rPr>
          <w:sz w:val="20"/>
          <w:szCs w:val="20"/>
          <w:color w:val="auto"/>
        </w:rPr>
      </w:pPr>
      <w:r>
        <w:rPr>
          <w:rFonts w:ascii="Arial" w:cs="Arial" w:eastAsia="Arial" w:hAnsi="Arial"/>
          <w:sz w:val="17"/>
          <w:szCs w:val="17"/>
          <w:i w:val="1"/>
          <w:iCs w:val="1"/>
          <w:color w:val="auto"/>
        </w:rPr>
        <w:t>(Components may not sum to totals due to rounding).</w:t>
      </w:r>
    </w:p>
    <w:p>
      <w:pPr>
        <w:spacing w:after="0" w:line="228"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6"/>
          <w:szCs w:val="16"/>
          <w:color w:val="auto"/>
        </w:rPr>
        <w:t>During Third Quarter 2018, the net loss ratio increased compared to Third Quarter 2017 primarily due to an increase in the underlying loss ratio excluding catastrophes and prior year loss development. The underlying loss ratio increased 14.3 points to 47.3% compared to 33.0% for Third Quarter 2017. The increase was driven by a significantly higher impact from large claims in Third Quarter 2018 compared to Third Quarter 2017. During the quarter, there was one full limit personal lines fire claim that had a net impact of 3.3 points on the loss ratio and there were seven other large fire claims, compared with just two during Third Quarter 2017. In addition to the increase in the underlying loss ratio, there were two additional PCS catastrophe events that affected the Company during Third Quarter 2018. These two events were rainstorms in August and September. In addition to these two new events, there were some additional losses recorded from catastrophe events from the second quarter of 2018, but development on the first quarter 2018 winter catastrophe events was slightly favorable during the quarter. The impact from catastrophe events during Third Quarter 2018 was 1.4 points, compared to no catastrophe impact recorded during Third Quarter 2017. Prior year loss development was favorable for the quarter, with a 0.4 point beneficial impact on the loss ratio, compared to a 0.2 point favorable impact in Third Quarter 2017. See table below under “Additional Financial Information” summarizing net loss ratios by line of business.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auto"/>
        </w:rPr>
        <w:t>Commission Expense</w:t>
      </w:r>
    </w:p>
    <w:p>
      <w:pPr>
        <w:spacing w:after="0" w:line="162" w:lineRule="exact"/>
        <w:rPr>
          <w:sz w:val="20"/>
          <w:szCs w:val="20"/>
          <w:color w:val="auto"/>
        </w:rPr>
      </w:pPr>
    </w:p>
    <w:p>
      <w:pPr>
        <w:jc w:val="both"/>
        <w:ind w:right="20" w:firstLine="636"/>
        <w:spacing w:after="0" w:line="273" w:lineRule="auto"/>
        <w:rPr>
          <w:sz w:val="20"/>
          <w:szCs w:val="20"/>
          <w:color w:val="auto"/>
        </w:rPr>
      </w:pPr>
      <w:r>
        <w:rPr>
          <w:rFonts w:ascii="Arial" w:cs="Arial" w:eastAsia="Arial" w:hAnsi="Arial"/>
          <w:sz w:val="17"/>
          <w:szCs w:val="17"/>
          <w:color w:val="auto"/>
        </w:rPr>
        <w:t>Commission expense was $6,594,000 in Third Quarter 2018 or 19.2% of direct earned premiums. Commission expense was $5,500,000 in Third Quarter 2017 or 19.3% of direct earned premiums. The increase of $1,094,000 is due to the increase in direct earned premiums in Third Quarter 2018 as compared to Third Quarter 2017, which grew by approximately 20.8%.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162" w:lineRule="exact"/>
        <w:rPr>
          <w:sz w:val="20"/>
          <w:szCs w:val="20"/>
          <w:color w:val="auto"/>
        </w:rPr>
      </w:pPr>
    </w:p>
    <w:p>
      <w:pPr>
        <w:jc w:val="both"/>
        <w:ind w:right="20" w:firstLine="636"/>
        <w:spacing w:after="0" w:line="269" w:lineRule="auto"/>
        <w:rPr>
          <w:sz w:val="20"/>
          <w:szCs w:val="20"/>
          <w:color w:val="auto"/>
        </w:rPr>
      </w:pPr>
      <w:r>
        <w:rPr>
          <w:rFonts w:ascii="Arial" w:cs="Arial" w:eastAsia="Arial" w:hAnsi="Arial"/>
          <w:sz w:val="17"/>
          <w:szCs w:val="17"/>
          <w:color w:val="auto"/>
        </w:rPr>
        <w:t>Other underwriting expenses were $5,194,000 in Third Quarter 2018 compared to $4,475,000 in Third Quarter 2017. The increase of $719,000, or 16.1%, was primarily due to expenses related to growth in direct written premiums. We are also incurring expenses related to our Expansion Expenses. Expansion Expenses were $447,000 in Third Quarter 2018 compared to $231,000 in Third Quarter 2017. The increase of $216,000 includes the costs of salaries and employment costs, professional fees, IT and data services specifically attributable to the expansion into new states.</w:t>
      </w:r>
    </w:p>
    <w:p>
      <w:pPr>
        <w:spacing w:after="0" w:line="117" w:lineRule="exact"/>
        <w:rPr>
          <w:sz w:val="20"/>
          <w:szCs w:val="20"/>
          <w:color w:val="auto"/>
        </w:rPr>
      </w:pPr>
    </w:p>
    <w:p>
      <w:pPr>
        <w:jc w:val="both"/>
        <w:ind w:right="20" w:firstLine="636"/>
        <w:spacing w:after="0" w:line="263" w:lineRule="auto"/>
        <w:rPr>
          <w:sz w:val="20"/>
          <w:szCs w:val="20"/>
          <w:color w:val="auto"/>
        </w:rPr>
      </w:pPr>
      <w:r>
        <w:rPr>
          <w:rFonts w:ascii="Arial" w:cs="Arial" w:eastAsia="Arial" w:hAnsi="Arial"/>
          <w:sz w:val="17"/>
          <w:szCs w:val="17"/>
          <w:color w:val="auto"/>
        </w:rPr>
        <w:t>Core salaries and employment costs were $2,130,000 in Third Quarter 2018 compared to $1,946,000 in Third Quarter 2017. The increase of $184,000, or 9.5%, was less than the 18.1% increase in total direct written premiums, which is not yet materially affected by our Expansion business. The increase in employment costs was due to hiring of additional staff to service our current level of business and anticipated growth in volume, hiring our Chief Operating Officer in March 2018 as well as annual increases in salaries. Growth related to our Expansion business creates a lag in net premiums earned compared to direct written premiums for that business. This lag in net premiums earned along with the reduction to quota share rates distorts net underwriting expense ratio comparisons between periods. Therefore, we believe that reviewing the ratio of Core other underwriting expenses to Core net premiums earned offers a more consistent comparison between periods and is a more accurate indicator of our overall other underwriting expense efficiency. The following table breaks out the Core and Expansion components of our underwriting expense ratio for the periods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60" w:type="dxa"/>
            <w:vAlign w:val="bottom"/>
            <w:gridSpan w:val="4"/>
          </w:tcPr>
          <w:p>
            <w:pPr>
              <w:jc w:val="right"/>
              <w:ind w:right="80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 or</w:t>
            </w:r>
          </w:p>
        </w:tc>
      </w:tr>
      <w:tr>
        <w:trPr>
          <w:trHeight w:val="179"/>
        </w:trPr>
        <w:tc>
          <w:tcPr>
            <w:tcW w:w="44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Point</w:t>
            </w:r>
          </w:p>
        </w:tc>
      </w:tr>
      <w:tr>
        <w:trPr>
          <w:trHeight w:val="165"/>
        </w:trPr>
        <w:tc>
          <w:tcPr>
            <w:tcW w:w="4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557"/>
              <w:spacing w:after="0" w:line="159" w:lineRule="exact"/>
              <w:rPr>
                <w:sz w:val="20"/>
                <w:szCs w:val="20"/>
                <w:color w:val="auto"/>
              </w:rPr>
            </w:pPr>
            <w:r>
              <w:rPr>
                <w:rFonts w:ascii="Arial" w:cs="Arial" w:eastAsia="Arial" w:hAnsi="Arial"/>
                <w:sz w:val="15"/>
                <w:szCs w:val="15"/>
                <w:b w:val="1"/>
                <w:bCs w:val="1"/>
                <w:color w:val="auto"/>
              </w:rPr>
              <w:t>2018</w:t>
            </w:r>
          </w:p>
        </w:tc>
        <w:tc>
          <w:tcPr>
            <w:tcW w:w="420" w:type="dxa"/>
            <w:vAlign w:val="bottom"/>
          </w:tcPr>
          <w:p>
            <w:pPr>
              <w:spacing w:after="0"/>
              <w:rPr>
                <w:sz w:val="14"/>
                <w:szCs w:val="14"/>
                <w:color w:val="auto"/>
              </w:rPr>
            </w:pPr>
          </w:p>
        </w:tc>
        <w:tc>
          <w:tcPr>
            <w:tcW w:w="880" w:type="dxa"/>
            <w:vAlign w:val="bottom"/>
          </w:tcPr>
          <w:p>
            <w:pPr>
              <w:jc w:val="right"/>
              <w:ind w:right="455"/>
              <w:spacing w:after="0" w:line="159" w:lineRule="exact"/>
              <w:rPr>
                <w:sz w:val="20"/>
                <w:szCs w:val="20"/>
                <w:color w:val="auto"/>
              </w:rPr>
            </w:pPr>
            <w:r>
              <w:rPr>
                <w:rFonts w:ascii="Arial" w:cs="Arial" w:eastAsia="Arial" w:hAnsi="Arial"/>
                <w:sz w:val="15"/>
                <w:szCs w:val="15"/>
                <w:b w:val="1"/>
                <w:bCs w:val="1"/>
                <w:color w:val="auto"/>
                <w:w w:val="95"/>
              </w:rPr>
              <w:t>2017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320"/>
              <w:spacing w:after="0" w:line="159" w:lineRule="exact"/>
              <w:rPr>
                <w:sz w:val="20"/>
                <w:szCs w:val="20"/>
                <w:color w:val="auto"/>
              </w:rPr>
            </w:pPr>
            <w:r>
              <w:rPr>
                <w:rFonts w:ascii="Arial" w:cs="Arial" w:eastAsia="Arial" w:hAnsi="Arial"/>
                <w:sz w:val="15"/>
                <w:szCs w:val="15"/>
                <w:b w:val="1"/>
                <w:bCs w:val="1"/>
                <w:color w:val="auto"/>
                <w:w w:val="87"/>
              </w:rPr>
              <w:t>Change</w:t>
            </w:r>
          </w:p>
        </w:tc>
      </w:tr>
      <w:tr>
        <w:trPr>
          <w:trHeight w:val="238"/>
        </w:trPr>
        <w:tc>
          <w:tcPr>
            <w:tcW w:w="44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4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premiums earned</w:t>
            </w:r>
          </w:p>
        </w:tc>
        <w:tc>
          <w:tcPr>
            <w:tcW w:w="2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4420" w:type="dxa"/>
            <w:vAlign w:val="bottom"/>
          </w:tcPr>
          <w:p>
            <w:pPr>
              <w:ind w:left="200"/>
              <w:spacing w:after="0"/>
              <w:rPr>
                <w:sz w:val="20"/>
                <w:szCs w:val="20"/>
                <w:color w:val="auto"/>
              </w:rPr>
            </w:pPr>
            <w:r>
              <w:rPr>
                <w:rFonts w:ascii="Arial" w:cs="Arial" w:eastAsia="Arial" w:hAnsi="Arial"/>
                <w:sz w:val="17"/>
                <w:szCs w:val="17"/>
                <w:color w:val="auto"/>
              </w:rPr>
              <w:t>Core</w:t>
            </w:r>
          </w:p>
        </w:tc>
        <w:tc>
          <w:tcPr>
            <w:tcW w:w="3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7"/>
              <w:spacing w:after="0"/>
              <w:rPr>
                <w:sz w:val="20"/>
                <w:szCs w:val="20"/>
                <w:color w:val="auto"/>
              </w:rPr>
            </w:pPr>
            <w:r>
              <w:rPr>
                <w:rFonts w:ascii="Arial" w:cs="Arial" w:eastAsia="Arial" w:hAnsi="Arial"/>
                <w:sz w:val="17"/>
                <w:szCs w:val="17"/>
                <w:color w:val="auto"/>
              </w:rPr>
              <w:t>26,434</w:t>
            </w:r>
          </w:p>
        </w:tc>
        <w:tc>
          <w:tcPr>
            <w:tcW w:w="4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21,411</w:t>
            </w:r>
          </w:p>
        </w:tc>
        <w:tc>
          <w:tcPr>
            <w:tcW w:w="80" w:type="dxa"/>
            <w:vAlign w:val="bottom"/>
          </w:tcPr>
          <w:p>
            <w:pPr>
              <w:spacing w:after="0"/>
              <w:rPr>
                <w:sz w:val="18"/>
                <w:szCs w:val="18"/>
                <w:color w:val="auto"/>
              </w:rPr>
            </w:pPr>
          </w:p>
        </w:tc>
        <w:tc>
          <w:tcPr>
            <w:tcW w:w="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5,023</w:t>
            </w:r>
          </w:p>
        </w:tc>
        <w:tc>
          <w:tcPr>
            <w:tcW w:w="20" w:type="dxa"/>
            <w:vAlign w:val="bottom"/>
          </w:tcPr>
          <w:p>
            <w:pPr>
              <w:spacing w:after="0"/>
              <w:rPr>
                <w:sz w:val="18"/>
                <w:szCs w:val="18"/>
                <w:color w:val="auto"/>
              </w:rPr>
            </w:pPr>
          </w:p>
        </w:tc>
      </w:tr>
      <w:tr>
        <w:trPr>
          <w:trHeight w:val="218"/>
        </w:trPr>
        <w:tc>
          <w:tcPr>
            <w:tcW w:w="4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Expansion</w:t>
            </w:r>
          </w:p>
        </w:tc>
        <w:tc>
          <w:tcPr>
            <w:tcW w:w="29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1,100</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103</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997</w:t>
            </w:r>
          </w:p>
        </w:tc>
        <w:tc>
          <w:tcPr>
            <w:tcW w:w="20" w:type="dxa"/>
            <w:vAlign w:val="bottom"/>
          </w:tcPr>
          <w:p>
            <w:pPr>
              <w:spacing w:after="0"/>
              <w:rPr>
                <w:sz w:val="18"/>
                <w:szCs w:val="18"/>
                <w:color w:val="auto"/>
              </w:rPr>
            </w:pPr>
          </w:p>
        </w:tc>
      </w:tr>
      <w:tr>
        <w:trPr>
          <w:trHeight w:val="212"/>
        </w:trPr>
        <w:tc>
          <w:tcPr>
            <w:tcW w:w="4420" w:type="dxa"/>
            <w:vAlign w:val="bottom"/>
          </w:tcPr>
          <w:p>
            <w:pPr>
              <w:ind w:left="200"/>
              <w:spacing w:after="0"/>
              <w:rPr>
                <w:sz w:val="20"/>
                <w:szCs w:val="20"/>
                <w:color w:val="auto"/>
              </w:rPr>
            </w:pPr>
            <w:r>
              <w:rPr>
                <w:rFonts w:ascii="Arial" w:cs="Arial" w:eastAsia="Arial" w:hAnsi="Arial"/>
                <w:sz w:val="17"/>
                <w:szCs w:val="17"/>
                <w:color w:val="auto"/>
              </w:rPr>
              <w:t>Total</w:t>
            </w:r>
          </w:p>
        </w:tc>
        <w:tc>
          <w:tcPr>
            <w:tcW w:w="3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7"/>
              <w:spacing w:after="0"/>
              <w:rPr>
                <w:sz w:val="20"/>
                <w:szCs w:val="20"/>
                <w:color w:val="auto"/>
              </w:rPr>
            </w:pPr>
            <w:r>
              <w:rPr>
                <w:rFonts w:ascii="Arial" w:cs="Arial" w:eastAsia="Arial" w:hAnsi="Arial"/>
                <w:sz w:val="17"/>
                <w:szCs w:val="17"/>
                <w:color w:val="auto"/>
              </w:rPr>
              <w:t>27,534</w:t>
            </w:r>
          </w:p>
        </w:tc>
        <w:tc>
          <w:tcPr>
            <w:tcW w:w="4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21,514</w:t>
            </w:r>
          </w:p>
        </w:tc>
        <w:tc>
          <w:tcPr>
            <w:tcW w:w="80" w:type="dxa"/>
            <w:vAlign w:val="bottom"/>
          </w:tcPr>
          <w:p>
            <w:pPr>
              <w:spacing w:after="0"/>
              <w:rPr>
                <w:sz w:val="18"/>
                <w:szCs w:val="18"/>
                <w:color w:val="auto"/>
              </w:rPr>
            </w:pPr>
          </w:p>
        </w:tc>
        <w:tc>
          <w:tcPr>
            <w:tcW w:w="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6,020</w:t>
            </w:r>
          </w:p>
        </w:tc>
        <w:tc>
          <w:tcPr>
            <w:tcW w:w="2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42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4420" w:type="dxa"/>
            <w:vAlign w:val="bottom"/>
          </w:tcPr>
          <w:p>
            <w:pPr>
              <w:ind w:left="40"/>
              <w:spacing w:after="0"/>
              <w:rPr>
                <w:sz w:val="20"/>
                <w:szCs w:val="20"/>
                <w:color w:val="auto"/>
              </w:rPr>
            </w:pPr>
            <w:r>
              <w:rPr>
                <w:rFonts w:ascii="Arial" w:cs="Arial" w:eastAsia="Arial" w:hAnsi="Arial"/>
                <w:sz w:val="17"/>
                <w:szCs w:val="17"/>
                <w:color w:val="auto"/>
              </w:rPr>
              <w:t>Other underwriting expenses</w:t>
            </w: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Core</w:t>
            </w:r>
          </w:p>
        </w:tc>
        <w:tc>
          <w:tcPr>
            <w:tcW w:w="3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4,747</w:t>
            </w:r>
          </w:p>
        </w:tc>
        <w:tc>
          <w:tcPr>
            <w:tcW w:w="4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4,244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503</w:t>
            </w:r>
          </w:p>
        </w:tc>
        <w:tc>
          <w:tcPr>
            <w:tcW w:w="20" w:type="dxa"/>
            <w:vAlign w:val="bottom"/>
          </w:tcPr>
          <w:p>
            <w:pPr>
              <w:spacing w:after="0"/>
              <w:rPr>
                <w:sz w:val="18"/>
                <w:szCs w:val="18"/>
                <w:color w:val="auto"/>
              </w:rPr>
            </w:pPr>
          </w:p>
        </w:tc>
      </w:tr>
      <w:tr>
        <w:trPr>
          <w:trHeight w:val="218"/>
        </w:trPr>
        <w:tc>
          <w:tcPr>
            <w:tcW w:w="4420" w:type="dxa"/>
            <w:vAlign w:val="bottom"/>
          </w:tcPr>
          <w:p>
            <w:pPr>
              <w:ind w:left="200"/>
              <w:spacing w:after="0"/>
              <w:rPr>
                <w:sz w:val="20"/>
                <w:szCs w:val="20"/>
                <w:color w:val="auto"/>
              </w:rPr>
            </w:pPr>
            <w:r>
              <w:rPr>
                <w:rFonts w:ascii="Arial" w:cs="Arial" w:eastAsia="Arial" w:hAnsi="Arial"/>
                <w:sz w:val="17"/>
                <w:szCs w:val="17"/>
                <w:color w:val="auto"/>
              </w:rPr>
              <w:t>Expansion</w:t>
            </w:r>
          </w:p>
        </w:tc>
        <w:tc>
          <w:tcPr>
            <w:tcW w:w="29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447</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231</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216</w:t>
            </w:r>
          </w:p>
        </w:tc>
        <w:tc>
          <w:tcPr>
            <w:tcW w:w="20" w:type="dxa"/>
            <w:vAlign w:val="bottom"/>
          </w:tcPr>
          <w:p>
            <w:pPr>
              <w:spacing w:after="0"/>
              <w:rPr>
                <w:sz w:val="18"/>
                <w:szCs w:val="18"/>
                <w:color w:val="auto"/>
              </w:rPr>
            </w:pPr>
          </w:p>
        </w:tc>
      </w:tr>
      <w:tr>
        <w:trPr>
          <w:trHeight w:val="252"/>
        </w:trPr>
        <w:tc>
          <w:tcPr>
            <w:tcW w:w="4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3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5,194</w:t>
            </w:r>
          </w:p>
        </w:tc>
        <w:tc>
          <w:tcPr>
            <w:tcW w:w="4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4,475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719</w:t>
            </w:r>
          </w:p>
        </w:tc>
        <w:tc>
          <w:tcPr>
            <w:tcW w:w="20" w:type="dxa"/>
            <w:vAlign w:val="bottom"/>
          </w:tcPr>
          <w:p>
            <w:pPr>
              <w:spacing w:after="0"/>
              <w:rPr>
                <w:sz w:val="21"/>
                <w:szCs w:val="21"/>
                <w:color w:val="auto"/>
              </w:rPr>
            </w:pPr>
          </w:p>
        </w:tc>
      </w:tr>
      <w:tr>
        <w:trPr>
          <w:trHeight w:val="205"/>
        </w:trPr>
        <w:tc>
          <w:tcPr>
            <w:tcW w:w="4420" w:type="dxa"/>
            <w:vAlign w:val="bottom"/>
            <w:tcBorders>
              <w:top w:val="single" w:sz="8" w:color="CCEEFF"/>
            </w:tcBorders>
          </w:tcPr>
          <w:p>
            <w:pPr>
              <w:spacing w:after="0"/>
              <w:rPr>
                <w:sz w:val="17"/>
                <w:szCs w:val="17"/>
                <w:color w:val="auto"/>
              </w:rPr>
            </w:pPr>
          </w:p>
        </w:tc>
        <w:tc>
          <w:tcPr>
            <w:tcW w:w="29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4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underwriting expenses as a percentage</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420" w:type="dxa"/>
            <w:vAlign w:val="bottom"/>
          </w:tcPr>
          <w:p>
            <w:pPr>
              <w:ind w:left="40"/>
              <w:spacing w:after="0"/>
              <w:rPr>
                <w:sz w:val="20"/>
                <w:szCs w:val="20"/>
                <w:color w:val="auto"/>
              </w:rPr>
            </w:pPr>
            <w:r>
              <w:rPr>
                <w:rFonts w:ascii="Arial" w:cs="Arial" w:eastAsia="Arial" w:hAnsi="Arial"/>
                <w:sz w:val="17"/>
                <w:szCs w:val="17"/>
                <w:color w:val="auto"/>
              </w:rPr>
              <w:t>of net premiums earned</w:t>
            </w: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Core</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19.8%</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8"/>
                <w:szCs w:val="18"/>
                <w:color w:val="auto"/>
              </w:rPr>
            </w:pPr>
          </w:p>
        </w:tc>
      </w:tr>
      <w:tr>
        <w:trPr>
          <w:trHeight w:val="212"/>
        </w:trPr>
        <w:tc>
          <w:tcPr>
            <w:tcW w:w="4420" w:type="dxa"/>
            <w:vAlign w:val="bottom"/>
          </w:tcPr>
          <w:p>
            <w:pPr>
              <w:ind w:left="200"/>
              <w:spacing w:after="0"/>
              <w:rPr>
                <w:sz w:val="20"/>
                <w:szCs w:val="20"/>
                <w:color w:val="auto"/>
              </w:rPr>
            </w:pPr>
            <w:r>
              <w:rPr>
                <w:rFonts w:ascii="Arial" w:cs="Arial" w:eastAsia="Arial" w:hAnsi="Arial"/>
                <w:sz w:val="17"/>
                <w:szCs w:val="17"/>
                <w:color w:val="auto"/>
              </w:rPr>
              <w:t>Expansion</w:t>
            </w: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40.6%</w:t>
            </w:r>
          </w:p>
        </w:tc>
        <w:tc>
          <w:tcPr>
            <w:tcW w:w="4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224.3%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-183.6%</w:t>
            </w:r>
          </w:p>
        </w:tc>
        <w:tc>
          <w:tcPr>
            <w:tcW w:w="20" w:type="dxa"/>
            <w:vAlign w:val="bottom"/>
          </w:tcPr>
          <w:p>
            <w:pPr>
              <w:spacing w:after="0"/>
              <w:rPr>
                <w:sz w:val="18"/>
                <w:szCs w:val="18"/>
                <w:color w:val="auto"/>
              </w:rPr>
            </w:pPr>
          </w:p>
        </w:tc>
      </w:tr>
      <w:tr>
        <w:trPr>
          <w:trHeight w:val="212"/>
        </w:trPr>
        <w:tc>
          <w:tcPr>
            <w:tcW w:w="4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20.8%</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r>
      <w:tr>
        <w:trPr>
          <w:trHeight w:val="634"/>
        </w:trPr>
        <w:tc>
          <w:tcPr>
            <w:tcW w:w="44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right"/>
              <w:ind w:right="1434"/>
              <w:spacing w:after="0"/>
              <w:rPr>
                <w:sz w:val="20"/>
                <w:szCs w:val="20"/>
                <w:color w:val="auto"/>
              </w:rPr>
            </w:pPr>
            <w:r>
              <w:rPr>
                <w:rFonts w:ascii="Arial" w:cs="Arial" w:eastAsia="Arial" w:hAnsi="Arial"/>
                <w:sz w:val="17"/>
                <w:szCs w:val="17"/>
                <w:color w:val="auto"/>
              </w:rPr>
              <w:t>57</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580"/>
          </w:cols>
          <w:pgMar w:left="160" w:top="475" w:right="159" w:bottom="1440" w:gutter="0" w:footer="0" w:header="0"/>
        </w:sectPr>
      </w:pPr>
    </w:p>
    <w:bookmarkStart w:id="59" w:name="page60"/>
    <w:bookmarkEnd w:id="59"/>
    <w:p>
      <w:pPr>
        <w:jc w:val="both"/>
        <w:ind w:firstLine="636"/>
        <w:spacing w:after="0" w:line="287" w:lineRule="auto"/>
        <w:rPr>
          <w:sz w:val="20"/>
          <w:szCs w:val="20"/>
          <w:color w:val="auto"/>
        </w:rPr>
      </w:pPr>
      <w:r>
        <w:rPr>
          <w:rFonts w:ascii="Arial" w:cs="Arial" w:eastAsia="Arial" w:hAnsi="Arial"/>
          <w:sz w:val="17"/>
          <w:szCs w:val="17"/>
          <w:color w:val="auto"/>
        </w:rPr>
        <w:t>The ratio of Core other underwriting expenses to Core net premiums earned was 18.0 % in Third Quarter 2018 compared to 19.8% in Third Quarter 2017, a decrease of 1.8 percentage points.</w:t>
      </w:r>
    </w:p>
    <w:p>
      <w:pPr>
        <w:spacing w:after="0" w:line="102"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Our net underwriting expense ratio in Third Quarter 2018 was 37.7% compared to 36.9% in Third Quarter 2017. The following table shows the individual components of our net underwriting expense ratio for the periods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2960" w:type="dxa"/>
            <w:vAlign w:val="bottom"/>
            <w:gridSpan w:val="3"/>
          </w:tcPr>
          <w:p>
            <w:pPr>
              <w:jc w:val="right"/>
              <w:ind w:right="920"/>
              <w:spacing w:after="0"/>
              <w:rPr>
                <w:sz w:val="20"/>
                <w:szCs w:val="20"/>
                <w:color w:val="auto"/>
              </w:rPr>
            </w:pPr>
            <w:r>
              <w:rPr>
                <w:rFonts w:ascii="Arial" w:cs="Arial" w:eastAsia="Arial" w:hAnsi="Arial"/>
                <w:sz w:val="15"/>
                <w:szCs w:val="15"/>
                <w:b w:val="1"/>
                <w:bCs w:val="1"/>
                <w:color w:val="auto"/>
              </w:rPr>
              <w:t>Three months ended</w:t>
            </w:r>
          </w:p>
        </w:tc>
        <w:tc>
          <w:tcPr>
            <w:tcW w:w="1200" w:type="dxa"/>
            <w:vAlign w:val="bottom"/>
          </w:tcPr>
          <w:p>
            <w:pPr>
              <w:spacing w:after="0"/>
              <w:rPr>
                <w:sz w:val="14"/>
                <w:szCs w:val="14"/>
                <w:color w:val="auto"/>
              </w:rPr>
            </w:pPr>
          </w:p>
        </w:tc>
      </w:tr>
      <w:tr>
        <w:trPr>
          <w:trHeight w:val="179"/>
        </w:trPr>
        <w:tc>
          <w:tcPr>
            <w:tcW w:w="7400" w:type="dxa"/>
            <w:vAlign w:val="bottom"/>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256"/>
              <w:spacing w:after="0"/>
              <w:rPr>
                <w:sz w:val="20"/>
                <w:szCs w:val="20"/>
                <w:color w:val="auto"/>
              </w:rPr>
            </w:pPr>
            <w:r>
              <w:rPr>
                <w:rFonts w:ascii="Arial" w:cs="Arial" w:eastAsia="Arial" w:hAnsi="Arial"/>
                <w:sz w:val="15"/>
                <w:szCs w:val="15"/>
                <w:b w:val="1"/>
                <w:bCs w:val="1"/>
                <w:color w:val="auto"/>
              </w:rPr>
              <w:t>Percentage</w:t>
            </w:r>
          </w:p>
        </w:tc>
      </w:tr>
      <w:tr>
        <w:trPr>
          <w:trHeight w:val="165"/>
        </w:trPr>
        <w:tc>
          <w:tcPr>
            <w:tcW w:w="7400" w:type="dxa"/>
            <w:vAlign w:val="bottom"/>
          </w:tcPr>
          <w:p>
            <w:pPr>
              <w:spacing w:after="0"/>
              <w:rPr>
                <w:sz w:val="14"/>
                <w:szCs w:val="14"/>
                <w:color w:val="auto"/>
              </w:rPr>
            </w:pPr>
          </w:p>
        </w:tc>
        <w:tc>
          <w:tcPr>
            <w:tcW w:w="1920" w:type="dxa"/>
            <w:vAlign w:val="bottom"/>
            <w:tcBorders>
              <w:bottom w:val="single" w:sz="8" w:color="auto"/>
            </w:tcBorders>
          </w:tcPr>
          <w:p>
            <w:pPr>
              <w:jc w:val="right"/>
              <w:ind w:right="977"/>
              <w:spacing w:after="0" w:line="159" w:lineRule="exact"/>
              <w:rPr>
                <w:sz w:val="20"/>
                <w:szCs w:val="20"/>
                <w:color w:val="auto"/>
              </w:rPr>
            </w:pPr>
            <w:r>
              <w:rPr>
                <w:rFonts w:ascii="Arial" w:cs="Arial" w:eastAsia="Arial" w:hAnsi="Arial"/>
                <w:sz w:val="15"/>
                <w:szCs w:val="15"/>
                <w:b w:val="1"/>
                <w:bCs w:val="1"/>
                <w:color w:val="auto"/>
              </w:rPr>
              <w:t>2018</w:t>
            </w:r>
          </w:p>
        </w:tc>
        <w:tc>
          <w:tcPr>
            <w:tcW w:w="860" w:type="dxa"/>
            <w:vAlign w:val="bottom"/>
            <w:tcBorders>
              <w:bottom w:val="single" w:sz="8" w:color="auto"/>
            </w:tcBorders>
          </w:tcPr>
          <w:p>
            <w:pPr>
              <w:jc w:val="right"/>
              <w:ind w:right="435"/>
              <w:spacing w:after="0" w:line="159" w:lineRule="exact"/>
              <w:rPr>
                <w:sz w:val="20"/>
                <w:szCs w:val="20"/>
                <w:color w:val="auto"/>
              </w:rPr>
            </w:pPr>
            <w:r>
              <w:rPr>
                <w:rFonts w:ascii="Arial" w:cs="Arial" w:eastAsia="Arial" w:hAnsi="Arial"/>
                <w:sz w:val="15"/>
                <w:szCs w:val="15"/>
                <w:b w:val="1"/>
                <w:bCs w:val="1"/>
                <w:color w:val="auto"/>
                <w:w w:val="95"/>
              </w:rPr>
              <w:t>2017</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6"/>
              <w:spacing w:after="0" w:line="159" w:lineRule="exact"/>
              <w:rPr>
                <w:sz w:val="20"/>
                <w:szCs w:val="20"/>
                <w:color w:val="auto"/>
              </w:rPr>
            </w:pPr>
            <w:r>
              <w:rPr>
                <w:rFonts w:ascii="Arial" w:cs="Arial" w:eastAsia="Arial" w:hAnsi="Arial"/>
                <w:sz w:val="15"/>
                <w:szCs w:val="15"/>
                <w:b w:val="1"/>
                <w:bCs w:val="1"/>
                <w:color w:val="auto"/>
                <w:w w:val="97"/>
              </w:rPr>
              <w:t>Point Change</w:t>
            </w:r>
          </w:p>
        </w:tc>
      </w:tr>
      <w:tr>
        <w:trPr>
          <w:trHeight w:val="238"/>
        </w:trPr>
        <w:tc>
          <w:tcPr>
            <w:tcW w:w="7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2"/>
        </w:trPr>
        <w:tc>
          <w:tcPr>
            <w:tcW w:w="7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Ceding commission revenue - provisional</w:t>
            </w:r>
          </w:p>
        </w:tc>
        <w:tc>
          <w:tcPr>
            <w:tcW w:w="192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rPr>
              <w:t>(4.6)%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4.3</w:t>
            </w:r>
          </w:p>
        </w:tc>
      </w:tr>
      <w:tr>
        <w:trPr>
          <w:trHeight w:val="212"/>
        </w:trPr>
        <w:tc>
          <w:tcPr>
            <w:tcW w:w="7400" w:type="dxa"/>
            <w:vAlign w:val="bottom"/>
          </w:tcPr>
          <w:p>
            <w:pPr>
              <w:ind w:left="40"/>
              <w:spacing w:after="0"/>
              <w:rPr>
                <w:sz w:val="20"/>
                <w:szCs w:val="20"/>
                <w:color w:val="auto"/>
              </w:rPr>
            </w:pPr>
            <w:r>
              <w:rPr>
                <w:rFonts w:ascii="Arial" w:cs="Arial" w:eastAsia="Arial" w:hAnsi="Arial"/>
                <w:sz w:val="17"/>
                <w:szCs w:val="17"/>
                <w:color w:val="auto"/>
              </w:rPr>
              <w:t>Ceding commission revenue - contingent</w:t>
            </w:r>
          </w:p>
        </w:tc>
        <w:tc>
          <w:tcPr>
            <w:tcW w:w="1920" w:type="dxa"/>
            <w:vAlign w:val="bottom"/>
          </w:tcPr>
          <w:p>
            <w:pPr>
              <w:jc w:val="right"/>
              <w:ind w:right="577"/>
              <w:spacing w:after="0"/>
              <w:rPr>
                <w:sz w:val="20"/>
                <w:szCs w:val="20"/>
                <w:color w:val="auto"/>
              </w:rPr>
            </w:pPr>
            <w:r>
              <w:rPr>
                <w:rFonts w:ascii="Arial" w:cs="Arial" w:eastAsia="Arial" w:hAnsi="Arial"/>
                <w:sz w:val="17"/>
                <w:szCs w:val="17"/>
                <w:color w:val="auto"/>
              </w:rPr>
              <w:t>0.8</w:t>
            </w:r>
          </w:p>
        </w:tc>
        <w:tc>
          <w:tcPr>
            <w:tcW w:w="860" w:type="dxa"/>
            <w:vAlign w:val="bottom"/>
          </w:tcPr>
          <w:p>
            <w:pPr>
              <w:jc w:val="right"/>
              <w:ind w:right="55"/>
              <w:spacing w:after="0"/>
              <w:rPr>
                <w:sz w:val="20"/>
                <w:szCs w:val="20"/>
                <w:color w:val="auto"/>
              </w:rPr>
            </w:pPr>
            <w:r>
              <w:rPr>
                <w:rFonts w:ascii="Arial" w:cs="Arial" w:eastAsia="Arial" w:hAnsi="Arial"/>
                <w:sz w:val="17"/>
                <w:szCs w:val="17"/>
                <w:color w:val="auto"/>
              </w:rPr>
              <w:t>0.9</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12"/>
        </w:trPr>
        <w:tc>
          <w:tcPr>
            <w:tcW w:w="7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income</w:t>
            </w:r>
          </w:p>
        </w:tc>
        <w:tc>
          <w:tcPr>
            <w:tcW w:w="1920" w:type="dxa"/>
            <w:vAlign w:val="bottom"/>
            <w:shd w:val="clear" w:color="auto" w:fill="CCEEFF"/>
          </w:tcPr>
          <w:p>
            <w:pPr>
              <w:jc w:val="right"/>
              <w:ind w:right="517"/>
              <w:spacing w:after="0"/>
              <w:rPr>
                <w:sz w:val="20"/>
                <w:szCs w:val="20"/>
                <w:color w:val="auto"/>
              </w:rPr>
            </w:pPr>
            <w:r>
              <w:rPr>
                <w:rFonts w:ascii="Arial" w:cs="Arial" w:eastAsia="Arial" w:hAnsi="Arial"/>
                <w:sz w:val="17"/>
                <w:szCs w:val="17"/>
                <w:color w:val="auto"/>
              </w:rPr>
              <w:t>(1.3)</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0.2</w:t>
            </w:r>
          </w:p>
        </w:tc>
      </w:tr>
      <w:tr>
        <w:trPr>
          <w:trHeight w:val="212"/>
        </w:trPr>
        <w:tc>
          <w:tcPr>
            <w:tcW w:w="7400" w:type="dxa"/>
            <w:vAlign w:val="bottom"/>
          </w:tcPr>
          <w:p>
            <w:pPr>
              <w:ind w:left="40"/>
              <w:spacing w:after="0"/>
              <w:rPr>
                <w:sz w:val="20"/>
                <w:szCs w:val="20"/>
                <w:color w:val="auto"/>
              </w:rPr>
            </w:pPr>
            <w:r>
              <w:rPr>
                <w:rFonts w:ascii="Arial" w:cs="Arial" w:eastAsia="Arial" w:hAnsi="Arial"/>
                <w:sz w:val="17"/>
                <w:szCs w:val="17"/>
                <w:color w:val="auto"/>
              </w:rPr>
              <w:t>Acquisition costs and other underwriting expenses:</w:t>
            </w:r>
          </w:p>
        </w:tc>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Commission expense</w:t>
            </w:r>
          </w:p>
        </w:tc>
        <w:tc>
          <w:tcPr>
            <w:tcW w:w="192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7"/>
                <w:szCs w:val="17"/>
                <w:color w:val="auto"/>
              </w:rPr>
              <w:t>23.9</w:t>
            </w:r>
          </w:p>
        </w:tc>
        <w:tc>
          <w:tcPr>
            <w:tcW w:w="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25.6</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8"/>
        </w:trPr>
        <w:tc>
          <w:tcPr>
            <w:tcW w:w="7400" w:type="dxa"/>
            <w:vAlign w:val="bottom"/>
          </w:tcPr>
          <w:p>
            <w:pPr>
              <w:spacing w:after="0"/>
              <w:rPr>
                <w:sz w:val="18"/>
                <w:szCs w:val="18"/>
                <w:color w:val="auto"/>
              </w:rPr>
            </w:pPr>
          </w:p>
        </w:tc>
        <w:tc>
          <w:tcPr>
            <w:tcW w:w="192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color w:val="auto"/>
              </w:rPr>
              <w:t>18.8</w:t>
            </w: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16.1</w:t>
            </w:r>
          </w:p>
        </w:tc>
        <w:tc>
          <w:tcPr>
            <w:tcW w:w="18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Arial" w:cs="Arial" w:eastAsia="Arial" w:hAnsi="Arial"/>
                <w:sz w:val="17"/>
                <w:szCs w:val="17"/>
                <w:color w:val="auto"/>
              </w:rPr>
              <w:t>2.7</w:t>
            </w:r>
          </w:p>
        </w:tc>
      </w:tr>
      <w:tr>
        <w:trPr>
          <w:trHeight w:val="212"/>
        </w:trPr>
        <w:tc>
          <w:tcPr>
            <w:tcW w:w="7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Other underwriting expenses</w:t>
            </w:r>
          </w:p>
        </w:tc>
        <w:tc>
          <w:tcPr>
            <w:tcW w:w="1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2"/>
        </w:trPr>
        <w:tc>
          <w:tcPr>
            <w:tcW w:w="7400" w:type="dxa"/>
            <w:vAlign w:val="bottom"/>
          </w:tcPr>
          <w:p>
            <w:pPr>
              <w:ind w:left="360"/>
              <w:spacing w:after="0"/>
              <w:rPr>
                <w:sz w:val="20"/>
                <w:szCs w:val="20"/>
                <w:color w:val="auto"/>
              </w:rPr>
            </w:pPr>
            <w:r>
              <w:rPr>
                <w:rFonts w:ascii="Arial" w:cs="Arial" w:eastAsia="Arial" w:hAnsi="Arial"/>
                <w:sz w:val="17"/>
                <w:szCs w:val="17"/>
                <w:color w:val="auto"/>
              </w:rPr>
              <w:t>Core</w:t>
            </w:r>
          </w:p>
        </w:tc>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74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Employment costs</w:t>
            </w:r>
          </w:p>
        </w:tc>
        <w:tc>
          <w:tcPr>
            <w:tcW w:w="1920" w:type="dxa"/>
            <w:vAlign w:val="bottom"/>
            <w:shd w:val="clear" w:color="auto" w:fill="CCEEFF"/>
          </w:tcPr>
          <w:p>
            <w:pPr>
              <w:jc w:val="right"/>
              <w:ind w:right="577"/>
              <w:spacing w:after="0"/>
              <w:rPr>
                <w:sz w:val="20"/>
                <w:szCs w:val="20"/>
                <w:color w:val="auto"/>
              </w:rPr>
            </w:pPr>
            <w:r>
              <w:rPr>
                <w:rFonts w:ascii="Arial" w:cs="Arial" w:eastAsia="Arial" w:hAnsi="Arial"/>
                <w:sz w:val="17"/>
                <w:szCs w:val="17"/>
                <w:color w:val="auto"/>
              </w:rPr>
              <w:t>7.7</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8"/>
        </w:trPr>
        <w:tc>
          <w:tcPr>
            <w:tcW w:w="7400" w:type="dxa"/>
            <w:vAlign w:val="bottom"/>
          </w:tcPr>
          <w:p>
            <w:pPr>
              <w:ind w:left="520"/>
              <w:spacing w:after="0"/>
              <w:rPr>
                <w:sz w:val="20"/>
                <w:szCs w:val="20"/>
                <w:color w:val="auto"/>
              </w:rPr>
            </w:pPr>
            <w:r>
              <w:rPr>
                <w:rFonts w:ascii="Arial" w:cs="Arial" w:eastAsia="Arial" w:hAnsi="Arial"/>
                <w:sz w:val="17"/>
                <w:szCs w:val="17"/>
                <w:color w:val="auto"/>
              </w:rPr>
              <w:t>Other Core Expenses</w:t>
            </w:r>
          </w:p>
        </w:tc>
        <w:tc>
          <w:tcPr>
            <w:tcW w:w="192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color w:val="auto"/>
              </w:rPr>
              <w:t>9.6</w:t>
            </w: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10.7</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2"/>
        </w:trPr>
        <w:tc>
          <w:tcPr>
            <w:tcW w:w="74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Core Expenses</w:t>
            </w:r>
          </w:p>
        </w:tc>
        <w:tc>
          <w:tcPr>
            <w:tcW w:w="1920" w:type="dxa"/>
            <w:vAlign w:val="bottom"/>
            <w:shd w:val="clear" w:color="auto" w:fill="CCEEFF"/>
          </w:tcPr>
          <w:p>
            <w:pPr>
              <w:jc w:val="right"/>
              <w:ind w:right="577"/>
              <w:spacing w:after="0"/>
              <w:rPr>
                <w:sz w:val="20"/>
                <w:szCs w:val="20"/>
                <w:color w:val="auto"/>
              </w:rPr>
            </w:pPr>
            <w:r>
              <w:rPr>
                <w:rFonts w:ascii="Arial" w:cs="Arial" w:eastAsia="Arial" w:hAnsi="Arial"/>
                <w:sz w:val="17"/>
                <w:szCs w:val="17"/>
                <w:color w:val="auto"/>
              </w:rPr>
              <w:t>17.3</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19.7</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8"/>
        </w:trPr>
        <w:tc>
          <w:tcPr>
            <w:tcW w:w="7400" w:type="dxa"/>
            <w:vAlign w:val="bottom"/>
          </w:tcPr>
          <w:p>
            <w:pPr>
              <w:ind w:left="200"/>
              <w:spacing w:after="0"/>
              <w:rPr>
                <w:sz w:val="20"/>
                <w:szCs w:val="20"/>
                <w:color w:val="auto"/>
              </w:rPr>
            </w:pPr>
            <w:r>
              <w:rPr>
                <w:rFonts w:ascii="Arial" w:cs="Arial" w:eastAsia="Arial" w:hAnsi="Arial"/>
                <w:sz w:val="17"/>
                <w:szCs w:val="17"/>
                <w:color w:val="auto"/>
              </w:rPr>
              <w:t>Expansion Expenses</w:t>
            </w:r>
          </w:p>
        </w:tc>
        <w:tc>
          <w:tcPr>
            <w:tcW w:w="192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color w:val="auto"/>
              </w:rPr>
              <w:t>1.6</w:t>
            </w: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Arial" w:cs="Arial" w:eastAsia="Arial" w:hAnsi="Arial"/>
                <w:sz w:val="17"/>
                <w:szCs w:val="17"/>
                <w:color w:val="auto"/>
              </w:rPr>
              <w:t>0.5</w:t>
            </w:r>
          </w:p>
        </w:tc>
      </w:tr>
      <w:tr>
        <w:trPr>
          <w:trHeight w:val="218"/>
        </w:trPr>
        <w:tc>
          <w:tcPr>
            <w:tcW w:w="7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other underwriting expenses</w:t>
            </w:r>
          </w:p>
        </w:tc>
        <w:tc>
          <w:tcPr>
            <w:tcW w:w="192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7"/>
                <w:szCs w:val="17"/>
                <w:color w:val="auto"/>
              </w:rPr>
              <w:t>18.9</w:t>
            </w:r>
          </w:p>
        </w:tc>
        <w:tc>
          <w:tcPr>
            <w:tcW w:w="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20.8</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2"/>
        </w:trPr>
        <w:tc>
          <w:tcPr>
            <w:tcW w:w="7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2"/>
        </w:trPr>
        <w:tc>
          <w:tcPr>
            <w:tcW w:w="7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underwriting expense ratio</w:t>
            </w:r>
          </w:p>
        </w:tc>
        <w:tc>
          <w:tcPr>
            <w:tcW w:w="1920" w:type="dxa"/>
            <w:vAlign w:val="bottom"/>
            <w:shd w:val="clear" w:color="auto" w:fill="CCEEFF"/>
          </w:tcPr>
          <w:p>
            <w:pPr>
              <w:jc w:val="right"/>
              <w:ind w:right="437"/>
              <w:spacing w:after="0"/>
              <w:rPr>
                <w:sz w:val="20"/>
                <w:szCs w:val="20"/>
                <w:color w:val="auto"/>
              </w:rPr>
            </w:pPr>
            <w:r>
              <w:rPr>
                <w:rFonts w:ascii="Arial" w:cs="Arial" w:eastAsia="Arial" w:hAnsi="Arial"/>
                <w:sz w:val="17"/>
                <w:szCs w:val="17"/>
                <w:color w:val="auto"/>
              </w:rPr>
              <w:t>37.7%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36.9%</w:t>
            </w: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0.8</w:t>
            </w:r>
          </w:p>
        </w:tc>
      </w:tr>
      <w:tr>
        <w:trPr>
          <w:trHeight w:val="20"/>
        </w:trPr>
        <w:tc>
          <w:tcPr>
            <w:tcW w:w="74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3"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7"/>
          <w:szCs w:val="17"/>
          <w:color w:val="auto"/>
        </w:rPr>
        <w:t>The decrease in our other underwriting expense ratio excluding the impact of ceding commission revenue and commission expense was driven by a decline of 2.4 points in the impact from employment costs and other expenses attributable to our growing Core business, partially offset by the impact from increased costs related to Expansion business.</w:t>
      </w:r>
    </w:p>
    <w:p>
      <w:pPr>
        <w:spacing w:after="0" w:line="114" w:lineRule="exact"/>
        <w:rPr>
          <w:sz w:val="20"/>
          <w:szCs w:val="20"/>
          <w:color w:val="auto"/>
        </w:rPr>
      </w:pPr>
    </w:p>
    <w:p>
      <w:pPr>
        <w:jc w:val="both"/>
        <w:ind w:firstLine="636"/>
        <w:spacing w:after="0" w:line="357" w:lineRule="auto"/>
        <w:rPr>
          <w:sz w:val="20"/>
          <w:szCs w:val="20"/>
          <w:color w:val="auto"/>
        </w:rPr>
      </w:pPr>
      <w:r>
        <w:rPr>
          <w:rFonts w:ascii="Arial" w:cs="Arial" w:eastAsia="Arial" w:hAnsi="Arial"/>
          <w:sz w:val="15"/>
          <w:szCs w:val="15"/>
          <w:color w:val="auto"/>
        </w:rPr>
        <w:t>The overall increase of 0.8 percentage points in the net underwriting expense ratio was driven almost entirely by the change in our quota share ceding rates and its impact on provisional ceding commission revenue as a result of the additional retention resulting from the Cut-off to our quota share treaty on July 1, 2018.</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162"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7"/>
          <w:szCs w:val="17"/>
          <w:color w:val="auto"/>
        </w:rPr>
        <w:t>Other operating expenses, related to the expenses of our holding company, were $683,000 in Third Quarter 2018 compared to $1,069,000 in Third Quarter 2017. The decrease in Third Quarter 2018 of $386,000, or 36.1%, was primarily due to decreases in executive bonus compensation, partially offset by an increase in salary and equity compensation due to the hiring of our new Chief Operating Officer in March 2018.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162"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17"/>
          <w:szCs w:val="17"/>
          <w:color w:val="auto"/>
        </w:rPr>
        <w:t>Depreciation and amortization was $440,000 in Third Quarter 2018 compared to $379,000 in Third Quarter 2017. The increase of $61,000, or 16.1%, in depreciation and amortization was primarily due to depreciation of our new system platform for processing business being written in Expansion states. The increase was also impacted by newly purchased assets used to upgrade our systems infrastructure and improvements to the Kingston, New York home office building from which we operate.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auto"/>
        </w:rPr>
        <w:t>Interest Expense</w:t>
      </w:r>
    </w:p>
    <w:p>
      <w:pPr>
        <w:spacing w:after="0" w:line="162"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Interest expense in Third Quarter 2018 was $456,000 and -0- in Third Quarter 2017. We incurred interest expense in connection with our $30.0 million issuance of long-term debt in December 2017.</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162"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17"/>
          <w:szCs w:val="17"/>
          <w:color w:val="auto"/>
        </w:rPr>
        <w:t>Income tax expense in Third Quarter 2018 was $287,000, which resulted in an effective tax rate of 6.8%. Income tax expense in Third Quarter 2017 was $2,044,000, which resulted in an effective tax rate of 33.4%. The change in our effective tax rate includes the change in the federal tax rate from 35% to 21%. In addition, permanent differences in Third Quarter 2018 had a greater impact on reducing the current year effective tax rate due to a decrease in income before taxes in Third Quarter 2018 compared to the Third Quarter 2017 amount. Income before taxes was $4,221,000 in Third Quarter 2018 compared to income before taxes of $6,118,000 in Third Quarter 2017.</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Income</w:t>
      </w:r>
    </w:p>
    <w:p>
      <w:pPr>
        <w:spacing w:after="0" w:line="162"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17"/>
          <w:szCs w:val="17"/>
          <w:color w:val="auto"/>
        </w:rPr>
        <w:t>Net income was $3,934,000 in Third Quarter 2018 compared to net income of $4,074,000 in Third Quarter 2017. The decrease in net income of $140,000, or 3.4%, was due to the circumstances described above, which caused the increase in our net loss ratio, decrease in ceding commission revenue, net losses on investments, increases in other underwriting expenses, depreciation and amortization and interest expense, partially offset by the increase in our net premiums earned, net investment income and decrease in other operating expenses.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Additional Financial Information</w:t>
      </w:r>
    </w:p>
    <w:p>
      <w:pPr>
        <w:spacing w:after="0" w:line="168" w:lineRule="exact"/>
        <w:rPr>
          <w:sz w:val="20"/>
          <w:szCs w:val="20"/>
          <w:color w:val="auto"/>
        </w:rPr>
      </w:pPr>
    </w:p>
    <w:p>
      <w:pPr>
        <w:jc w:val="both"/>
        <w:ind w:right="20" w:firstLine="636"/>
        <w:spacing w:after="0" w:line="273"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3"/>
          </w:tcPr>
          <w:p>
            <w:pPr>
              <w:jc w:val="right"/>
              <w:ind w:right="374"/>
              <w:spacing w:after="0"/>
              <w:rPr>
                <w:sz w:val="20"/>
                <w:szCs w:val="20"/>
                <w:color w:val="auto"/>
              </w:rPr>
            </w:pPr>
            <w:r>
              <w:rPr>
                <w:rFonts w:ascii="Arial" w:cs="Arial" w:eastAsia="Arial" w:hAnsi="Arial"/>
                <w:sz w:val="15"/>
                <w:szCs w:val="15"/>
                <w:b w:val="1"/>
                <w:bCs w:val="1"/>
                <w:color w:val="auto"/>
                <w:w w:val="96"/>
              </w:rPr>
              <w:t>For the Three Months Ended</w:t>
            </w:r>
          </w:p>
        </w:tc>
        <w:tc>
          <w:tcPr>
            <w:tcW w:w="300" w:type="dxa"/>
            <w:vAlign w:val="bottom"/>
          </w:tcPr>
          <w:p>
            <w:pPr>
              <w:spacing w:after="0"/>
              <w:rPr>
                <w:sz w:val="14"/>
                <w:szCs w:val="14"/>
                <w:color w:val="auto"/>
              </w:rPr>
            </w:pPr>
          </w:p>
        </w:tc>
        <w:tc>
          <w:tcPr>
            <w:tcW w:w="2460" w:type="dxa"/>
            <w:vAlign w:val="bottom"/>
            <w:gridSpan w:val="3"/>
          </w:tcPr>
          <w:p>
            <w:pPr>
              <w:jc w:val="right"/>
              <w:ind w:right="394"/>
              <w:spacing w:after="0"/>
              <w:rPr>
                <w:sz w:val="20"/>
                <w:szCs w:val="20"/>
                <w:color w:val="auto"/>
              </w:rPr>
            </w:pPr>
            <w:r>
              <w:rPr>
                <w:rFonts w:ascii="Arial" w:cs="Arial" w:eastAsia="Arial" w:hAnsi="Arial"/>
                <w:sz w:val="15"/>
                <w:szCs w:val="15"/>
                <w:b w:val="1"/>
                <w:bCs w:val="1"/>
                <w:color w:val="auto"/>
              </w:rPr>
              <w:t>For the Nine Months Ended</w:t>
            </w:r>
          </w:p>
        </w:tc>
      </w:tr>
      <w:tr>
        <w:trPr>
          <w:trHeight w:val="179"/>
        </w:trPr>
        <w:tc>
          <w:tcPr>
            <w:tcW w:w="6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20" w:type="dxa"/>
            <w:vAlign w:val="bottom"/>
            <w:tcBorders>
              <w:bottom w:val="single" w:sz="8" w:color="auto"/>
            </w:tcBorders>
          </w:tcPr>
          <w:p>
            <w:pPr>
              <w:spacing w:after="0"/>
              <w:rPr>
                <w:sz w:val="15"/>
                <w:szCs w:val="15"/>
                <w:color w:val="auto"/>
              </w:rPr>
            </w:pPr>
          </w:p>
        </w:tc>
      </w:tr>
      <w:tr>
        <w:trPr>
          <w:trHeight w:val="165"/>
        </w:trPr>
        <w:tc>
          <w:tcPr>
            <w:tcW w:w="60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5"/>
              <w:spacing w:after="0" w:line="159" w:lineRule="exact"/>
              <w:rPr>
                <w:sz w:val="20"/>
                <w:szCs w:val="20"/>
                <w:color w:val="auto"/>
              </w:rPr>
            </w:pPr>
            <w:r>
              <w:rPr>
                <w:rFonts w:ascii="Arial" w:cs="Arial" w:eastAsia="Arial" w:hAnsi="Arial"/>
                <w:sz w:val="15"/>
                <w:szCs w:val="15"/>
                <w:b w:val="1"/>
                <w:bCs w:val="1"/>
                <w:color w:val="auto"/>
              </w:rPr>
              <w:t>2018</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4"/>
              <w:spacing w:after="0" w:line="159" w:lineRule="exact"/>
              <w:rPr>
                <w:sz w:val="20"/>
                <w:szCs w:val="20"/>
                <w:color w:val="auto"/>
              </w:rPr>
            </w:pPr>
            <w:r>
              <w:rPr>
                <w:rFonts w:ascii="Arial" w:cs="Arial" w:eastAsia="Arial" w:hAnsi="Arial"/>
                <w:sz w:val="15"/>
                <w:szCs w:val="15"/>
                <w:b w:val="1"/>
                <w:bCs w:val="1"/>
                <w:color w:val="auto"/>
              </w:rPr>
              <w:t>2017</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5"/>
              <w:spacing w:after="0" w:line="159" w:lineRule="exact"/>
              <w:rPr>
                <w:sz w:val="20"/>
                <w:szCs w:val="20"/>
                <w:color w:val="auto"/>
              </w:rPr>
            </w:pPr>
            <w:r>
              <w:rPr>
                <w:rFonts w:ascii="Arial" w:cs="Arial" w:eastAsia="Arial" w:hAnsi="Arial"/>
                <w:sz w:val="15"/>
                <w:szCs w:val="15"/>
                <w:b w:val="1"/>
                <w:bCs w:val="1"/>
                <w:color w:val="auto"/>
              </w:rPr>
              <w:t>2018</w:t>
            </w: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4"/>
              <w:spacing w:after="0" w:line="159" w:lineRule="exact"/>
              <w:rPr>
                <w:sz w:val="20"/>
                <w:szCs w:val="20"/>
                <w:color w:val="auto"/>
              </w:rPr>
            </w:pPr>
            <w:r>
              <w:rPr>
                <w:rFonts w:ascii="Arial" w:cs="Arial" w:eastAsia="Arial" w:hAnsi="Arial"/>
                <w:sz w:val="15"/>
                <w:szCs w:val="15"/>
                <w:b w:val="1"/>
                <w:bCs w:val="1"/>
                <w:color w:val="auto"/>
              </w:rPr>
              <w:t>2017</w:t>
            </w:r>
          </w:p>
        </w:tc>
      </w:tr>
      <w:tr>
        <w:trPr>
          <w:trHeight w:val="238"/>
        </w:trPr>
        <w:tc>
          <w:tcPr>
            <w:tcW w:w="6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8"/>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Gross premiums written:</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Personal lines</w:t>
            </w:r>
          </w:p>
        </w:tc>
        <w:tc>
          <w:tcPr>
            <w:tcW w:w="3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32,544,609</w:t>
            </w:r>
          </w:p>
        </w:tc>
        <w:tc>
          <w:tcPr>
            <w:tcW w:w="44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4"/>
              <w:spacing w:after="0"/>
              <w:rPr>
                <w:sz w:val="20"/>
                <w:szCs w:val="20"/>
                <w:color w:val="auto"/>
              </w:rPr>
            </w:pPr>
            <w:r>
              <w:rPr>
                <w:rFonts w:ascii="Arial" w:cs="Arial" w:eastAsia="Arial" w:hAnsi="Arial"/>
                <w:sz w:val="17"/>
                <w:szCs w:val="17"/>
                <w:color w:val="auto"/>
                <w:w w:val="89"/>
              </w:rPr>
              <w:t>26,729,634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87,022,189</w:t>
            </w:r>
          </w:p>
        </w:tc>
        <w:tc>
          <w:tcPr>
            <w:tcW w:w="4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4"/>
              <w:spacing w:after="0"/>
              <w:rPr>
                <w:sz w:val="20"/>
                <w:szCs w:val="20"/>
                <w:color w:val="auto"/>
              </w:rPr>
            </w:pPr>
            <w:r>
              <w:rPr>
                <w:rFonts w:ascii="Arial" w:cs="Arial" w:eastAsia="Arial" w:hAnsi="Arial"/>
                <w:sz w:val="17"/>
                <w:szCs w:val="17"/>
                <w:color w:val="auto"/>
                <w:w w:val="89"/>
              </w:rPr>
              <w:t>69,331,085</w:t>
            </w: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Commercial lines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3,807,533</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3,634,037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12,825,369</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9"/>
              </w:rPr>
              <w:t>11,380,912</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34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2,363,844</w:t>
            </w:r>
          </w:p>
        </w:tc>
        <w:tc>
          <w:tcPr>
            <w:tcW w:w="44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2,422,352</w:t>
            </w:r>
          </w:p>
        </w:tc>
        <w:tc>
          <w:tcPr>
            <w:tcW w:w="30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7,142,413</w:t>
            </w:r>
          </w:p>
        </w:tc>
        <w:tc>
          <w:tcPr>
            <w:tcW w:w="46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8,549,878</w:t>
            </w:r>
          </w:p>
        </w:tc>
      </w:tr>
      <w:tr>
        <w:trPr>
          <w:trHeight w:val="218"/>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69,486</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65,778</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186,285</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180,086</w:t>
            </w: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38,785,472</w:t>
            </w:r>
          </w:p>
        </w:tc>
        <w:tc>
          <w:tcPr>
            <w:tcW w:w="4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9"/>
              </w:rPr>
              <w:t>32,851,801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7"/>
              </w:rPr>
              <w:t>107,176,256</w:t>
            </w:r>
          </w:p>
        </w:tc>
        <w:tc>
          <w:tcPr>
            <w:tcW w:w="4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9"/>
              </w:rPr>
              <w:t>89,441,961</w:t>
            </w:r>
          </w:p>
        </w:tc>
      </w:tr>
      <w:tr>
        <w:trPr>
          <w:trHeight w:val="20"/>
        </w:trPr>
        <w:tc>
          <w:tcPr>
            <w:tcW w:w="6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5"/>
        </w:trPr>
        <w:tc>
          <w:tcPr>
            <w:tcW w:w="6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Net premiums written:</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Excluding the effect of quota share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60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adjustments on July 1</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25,799,427</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9"/>
              </w:rPr>
              <w:t>19,373,782</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64,463,230</w:t>
            </w:r>
          </w:p>
        </w:tc>
        <w:tc>
          <w:tcPr>
            <w:tcW w:w="4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9"/>
              </w:rPr>
              <w:t>42,684,254</w:t>
            </w: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Return of premiums previously ceded to</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6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prior quota share treaties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4,553,345</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7,140,088</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4,553,345</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7,140,088</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Personal lines (2)</w:t>
            </w:r>
          </w:p>
        </w:tc>
        <w:tc>
          <w:tcPr>
            <w:tcW w:w="34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30,352,772</w:t>
            </w:r>
          </w:p>
        </w:tc>
        <w:tc>
          <w:tcPr>
            <w:tcW w:w="44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w w:val="89"/>
              </w:rPr>
              <w:t>26,513,870</w:t>
            </w:r>
          </w:p>
        </w:tc>
        <w:tc>
          <w:tcPr>
            <w:tcW w:w="30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69,016,575</w:t>
            </w:r>
          </w:p>
        </w:tc>
        <w:tc>
          <w:tcPr>
            <w:tcW w:w="46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w w:val="89"/>
              </w:rPr>
              <w:t>49,824,342</w:t>
            </w: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Commercial lines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3,311,706</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3,250,326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11,438,135</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9"/>
              </w:rPr>
              <w:t>10,196,459</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34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2,363,844</w:t>
            </w:r>
          </w:p>
        </w:tc>
        <w:tc>
          <w:tcPr>
            <w:tcW w:w="44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2,422,352</w:t>
            </w:r>
          </w:p>
        </w:tc>
        <w:tc>
          <w:tcPr>
            <w:tcW w:w="30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7,142,413</w:t>
            </w:r>
          </w:p>
        </w:tc>
        <w:tc>
          <w:tcPr>
            <w:tcW w:w="46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8,549,878</w:t>
            </w:r>
          </w:p>
        </w:tc>
      </w:tr>
      <w:tr>
        <w:trPr>
          <w:trHeight w:val="218"/>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73,449</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74,771</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169,709</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152,245</w:t>
            </w: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36,101,771</w:t>
            </w:r>
          </w:p>
        </w:tc>
        <w:tc>
          <w:tcPr>
            <w:tcW w:w="4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9"/>
              </w:rPr>
              <w:t>32,261,319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87,766,832</w:t>
            </w:r>
          </w:p>
        </w:tc>
        <w:tc>
          <w:tcPr>
            <w:tcW w:w="4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9"/>
              </w:rPr>
              <w:t>68,722,924</w:t>
            </w:r>
          </w:p>
        </w:tc>
      </w:tr>
      <w:tr>
        <w:trPr>
          <w:trHeight w:val="20"/>
        </w:trPr>
        <w:tc>
          <w:tcPr>
            <w:tcW w:w="6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5"/>
        </w:trPr>
        <w:tc>
          <w:tcPr>
            <w:tcW w:w="6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Net premiums earned:</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 (2)</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21,537,581</w:t>
            </w:r>
          </w:p>
        </w:tc>
        <w:tc>
          <w:tcPr>
            <w:tcW w:w="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9"/>
              </w:rPr>
              <w:t>15,395,435</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56,809,219</w:t>
            </w:r>
          </w:p>
        </w:tc>
        <w:tc>
          <w:tcPr>
            <w:tcW w:w="4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9"/>
              </w:rPr>
              <w:t>37,125,043</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Commercial lines</w:t>
            </w:r>
          </w:p>
        </w:tc>
        <w:tc>
          <w:tcPr>
            <w:tcW w:w="34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3,542,230</w:t>
            </w:r>
          </w:p>
        </w:tc>
        <w:tc>
          <w:tcPr>
            <w:tcW w:w="44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3,125,137</w:t>
            </w:r>
          </w:p>
        </w:tc>
        <w:tc>
          <w:tcPr>
            <w:tcW w:w="30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10,195,912</w:t>
            </w:r>
          </w:p>
        </w:tc>
        <w:tc>
          <w:tcPr>
            <w:tcW w:w="46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8,953,476</w:t>
            </w: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Livery physical damage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2,398,005</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2,939,032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7,320,065</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8,616,365</w:t>
            </w:r>
          </w:p>
        </w:tc>
      </w:tr>
      <w:tr>
        <w:trPr>
          <w:trHeight w:val="218"/>
        </w:trPr>
        <w:tc>
          <w:tcPr>
            <w:tcW w:w="6020" w:type="dxa"/>
            <w:vAlign w:val="bottom"/>
          </w:tcPr>
          <w:p>
            <w:pPr>
              <w:ind w:left="40"/>
              <w:spacing w:after="0"/>
              <w:rPr>
                <w:sz w:val="20"/>
                <w:szCs w:val="20"/>
                <w:color w:val="auto"/>
              </w:rPr>
            </w:pPr>
            <w:r>
              <w:rPr>
                <w:rFonts w:ascii="Arial" w:cs="Arial" w:eastAsia="Arial" w:hAnsi="Arial"/>
                <w:sz w:val="17"/>
                <w:szCs w:val="17"/>
                <w:color w:val="auto"/>
              </w:rPr>
              <w:t>Other(1)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56,091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54,804</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150,942</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142,999</w:t>
            </w:r>
          </w:p>
        </w:tc>
      </w:tr>
      <w:tr>
        <w:trPr>
          <w:trHeight w:val="252"/>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27,533,907</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9"/>
              </w:rPr>
              <w:t>21,514,408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74,476,138</w:t>
            </w:r>
          </w:p>
        </w:tc>
        <w:tc>
          <w:tcPr>
            <w:tcW w:w="4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9"/>
              </w:rPr>
              <w:t>54,837,883</w:t>
            </w:r>
          </w:p>
        </w:tc>
      </w:tr>
      <w:tr>
        <w:trPr>
          <w:trHeight w:val="205"/>
        </w:trPr>
        <w:tc>
          <w:tcPr>
            <w:tcW w:w="6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loss and loss adjustment expenses (3):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Personal lines</w:t>
            </w:r>
          </w:p>
        </w:tc>
        <w:tc>
          <w:tcPr>
            <w:tcW w:w="3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9,652,796</w:t>
            </w:r>
          </w:p>
        </w:tc>
        <w:tc>
          <w:tcPr>
            <w:tcW w:w="44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3,553,087</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31,096,528</w:t>
            </w:r>
          </w:p>
        </w:tc>
        <w:tc>
          <w:tcPr>
            <w:tcW w:w="4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4"/>
              <w:spacing w:after="0"/>
              <w:rPr>
                <w:sz w:val="20"/>
                <w:szCs w:val="20"/>
                <w:color w:val="auto"/>
              </w:rPr>
            </w:pPr>
            <w:r>
              <w:rPr>
                <w:rFonts w:ascii="Arial" w:cs="Arial" w:eastAsia="Arial" w:hAnsi="Arial"/>
                <w:sz w:val="17"/>
                <w:szCs w:val="17"/>
                <w:color w:val="auto"/>
                <w:w w:val="89"/>
              </w:rPr>
              <w:t>13,304,934</w:t>
            </w: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Commercial lines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2,263,789</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1,535,862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5,514,051</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4,294,440</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340" w:type="dxa"/>
            <w:vAlign w:val="bottom"/>
          </w:tcPr>
          <w:p>
            <w:pPr>
              <w:spacing w:after="0"/>
              <w:rPr>
                <w:sz w:val="18"/>
                <w:szCs w:val="18"/>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894,874</w:t>
            </w:r>
          </w:p>
        </w:tc>
        <w:tc>
          <w:tcPr>
            <w:tcW w:w="44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1,417,332</w:t>
            </w:r>
          </w:p>
        </w:tc>
        <w:tc>
          <w:tcPr>
            <w:tcW w:w="30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3,160,670</w:t>
            </w:r>
          </w:p>
        </w:tc>
        <w:tc>
          <w:tcPr>
            <w:tcW w:w="46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3,643,007</w:t>
            </w: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(63,570)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10,226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313,408</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32,824</w:t>
            </w:r>
          </w:p>
        </w:tc>
      </w:tr>
      <w:tr>
        <w:trPr>
          <w:trHeight w:val="218"/>
        </w:trPr>
        <w:tc>
          <w:tcPr>
            <w:tcW w:w="6020" w:type="dxa"/>
            <w:vAlign w:val="bottom"/>
          </w:tcPr>
          <w:p>
            <w:pPr>
              <w:ind w:left="40"/>
              <w:spacing w:after="0"/>
              <w:rPr>
                <w:sz w:val="20"/>
                <w:szCs w:val="20"/>
                <w:color w:val="auto"/>
              </w:rPr>
            </w:pPr>
            <w:r>
              <w:rPr>
                <w:rFonts w:ascii="Arial" w:cs="Arial" w:eastAsia="Arial" w:hAnsi="Arial"/>
                <w:sz w:val="17"/>
                <w:szCs w:val="17"/>
                <w:color w:val="auto"/>
              </w:rPr>
              <w:t>Unallocated loss adjustment expenses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548,819</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556,816</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1,654,466</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1,546,036</w:t>
            </w:r>
          </w:p>
        </w:tc>
      </w:tr>
      <w:tr>
        <w:trPr>
          <w:trHeight w:val="252"/>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13,296,708</w:t>
            </w:r>
          </w:p>
        </w:tc>
        <w:tc>
          <w:tcPr>
            <w:tcW w:w="4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7,073,323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41,739,123</w:t>
            </w:r>
          </w:p>
        </w:tc>
        <w:tc>
          <w:tcPr>
            <w:tcW w:w="4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9"/>
              </w:rPr>
              <w:t>22,821,241</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Net loss ratio (3):</w:t>
            </w:r>
          </w:p>
        </w:tc>
        <w:tc>
          <w:tcPr>
            <w:tcW w:w="36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240" w:type="dxa"/>
            <w:vAlign w:val="bottom"/>
          </w:tcPr>
          <w:p>
            <w:pPr>
              <w:spacing w:after="0"/>
              <w:rPr>
                <w:sz w:val="20"/>
                <w:szCs w:val="20"/>
                <w:color w:val="auto"/>
              </w:rPr>
            </w:pPr>
            <w:r>
              <w:rPr>
                <w:rFonts w:ascii="Arial" w:cs="Arial" w:eastAsia="Arial" w:hAnsi="Arial"/>
                <w:sz w:val="17"/>
                <w:szCs w:val="17"/>
                <w:color w:val="auto"/>
              </w:rPr>
              <w:t>Personal lines</w:t>
            </w:r>
          </w:p>
        </w:tc>
        <w:tc>
          <w:tcPr>
            <w:tcW w:w="3640" w:type="dxa"/>
            <w:vAlign w:val="bottom"/>
          </w:tcPr>
          <w:p>
            <w:pPr>
              <w:jc w:val="right"/>
              <w:ind w:right="374"/>
              <w:spacing w:after="0"/>
              <w:rPr>
                <w:sz w:val="20"/>
                <w:szCs w:val="20"/>
                <w:color w:val="auto"/>
              </w:rPr>
            </w:pPr>
            <w:r>
              <w:rPr>
                <w:rFonts w:ascii="Arial" w:cs="Arial" w:eastAsia="Arial" w:hAnsi="Arial"/>
                <w:sz w:val="17"/>
                <w:szCs w:val="17"/>
                <w:color w:val="auto"/>
              </w:rPr>
              <w:t>44.8%</w:t>
            </w:r>
          </w:p>
        </w:tc>
        <w:tc>
          <w:tcPr>
            <w:tcW w:w="1360" w:type="dxa"/>
            <w:vAlign w:val="bottom"/>
          </w:tcPr>
          <w:p>
            <w:pPr>
              <w:jc w:val="right"/>
              <w:ind w:right="354"/>
              <w:spacing w:after="0"/>
              <w:rPr>
                <w:sz w:val="20"/>
                <w:szCs w:val="20"/>
                <w:color w:val="auto"/>
              </w:rPr>
            </w:pPr>
            <w:r>
              <w:rPr>
                <w:rFonts w:ascii="Arial" w:cs="Arial" w:eastAsia="Arial" w:hAnsi="Arial"/>
                <w:sz w:val="17"/>
                <w:szCs w:val="17"/>
                <w:color w:val="auto"/>
              </w:rPr>
              <w:t>23.1%</w:t>
            </w:r>
          </w:p>
        </w:tc>
        <w:tc>
          <w:tcPr>
            <w:tcW w:w="1420" w:type="dxa"/>
            <w:vAlign w:val="bottom"/>
          </w:tcPr>
          <w:p>
            <w:pPr>
              <w:jc w:val="right"/>
              <w:ind w:right="374"/>
              <w:spacing w:after="0"/>
              <w:rPr>
                <w:sz w:val="20"/>
                <w:szCs w:val="20"/>
                <w:color w:val="auto"/>
              </w:rPr>
            </w:pPr>
            <w:r>
              <w:rPr>
                <w:rFonts w:ascii="Arial" w:cs="Arial" w:eastAsia="Arial" w:hAnsi="Arial"/>
                <w:sz w:val="17"/>
                <w:szCs w:val="17"/>
                <w:color w:val="auto"/>
              </w:rPr>
              <w:t>54.7%</w:t>
            </w:r>
          </w:p>
        </w:tc>
        <w:tc>
          <w:tcPr>
            <w:tcW w:w="900" w:type="dxa"/>
            <w:vAlign w:val="bottom"/>
          </w:tcPr>
          <w:p>
            <w:pPr>
              <w:jc w:val="right"/>
              <w:spacing w:after="0"/>
              <w:rPr>
                <w:sz w:val="20"/>
                <w:szCs w:val="20"/>
                <w:color w:val="auto"/>
              </w:rPr>
            </w:pPr>
            <w:r>
              <w:rPr>
                <w:rFonts w:ascii="Arial" w:cs="Arial" w:eastAsia="Arial" w:hAnsi="Arial"/>
                <w:sz w:val="17"/>
                <w:szCs w:val="17"/>
                <w:color w:val="auto"/>
              </w:rPr>
              <w:t>35.8%</w:t>
            </w:r>
          </w:p>
        </w:tc>
        <w:tc>
          <w:tcPr>
            <w:tcW w:w="20" w:type="dxa"/>
            <w:vAlign w:val="bottom"/>
          </w:tcPr>
          <w:p>
            <w:pPr>
              <w:spacing w:after="0"/>
              <w:rPr>
                <w:sz w:val="18"/>
                <w:szCs w:val="18"/>
                <w:color w:val="auto"/>
              </w:rPr>
            </w:pPr>
          </w:p>
        </w:tc>
      </w:tr>
      <w:tr>
        <w:trPr>
          <w:trHeight w:val="212"/>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364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63.9%</w:t>
            </w:r>
          </w:p>
        </w:tc>
        <w:tc>
          <w:tcPr>
            <w:tcW w:w="13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49.1%</w:t>
            </w:r>
          </w:p>
        </w:tc>
        <w:tc>
          <w:tcPr>
            <w:tcW w:w="14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54.1%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20" w:type="dxa"/>
            <w:vAlign w:val="bottom"/>
          </w:tcPr>
          <w:p>
            <w:pPr>
              <w:spacing w:after="0"/>
              <w:rPr>
                <w:sz w:val="18"/>
                <w:szCs w:val="18"/>
                <w:color w:val="auto"/>
              </w:rPr>
            </w:pPr>
          </w:p>
        </w:tc>
      </w:tr>
      <w:tr>
        <w:trPr>
          <w:trHeight w:val="212"/>
        </w:trPr>
        <w:tc>
          <w:tcPr>
            <w:tcW w:w="4240" w:type="dxa"/>
            <w:vAlign w:val="bottom"/>
          </w:tcPr>
          <w:p>
            <w:pPr>
              <w:spacing w:after="0"/>
              <w:rPr>
                <w:sz w:val="20"/>
                <w:szCs w:val="20"/>
                <w:color w:val="auto"/>
              </w:rPr>
            </w:pPr>
            <w:r>
              <w:rPr>
                <w:rFonts w:ascii="Arial" w:cs="Arial" w:eastAsia="Arial" w:hAnsi="Arial"/>
                <w:sz w:val="17"/>
                <w:szCs w:val="17"/>
                <w:color w:val="auto"/>
              </w:rPr>
              <w:t>Livery physical damage</w:t>
            </w:r>
          </w:p>
        </w:tc>
        <w:tc>
          <w:tcPr>
            <w:tcW w:w="3640" w:type="dxa"/>
            <w:vAlign w:val="bottom"/>
          </w:tcPr>
          <w:p>
            <w:pPr>
              <w:jc w:val="right"/>
              <w:ind w:right="374"/>
              <w:spacing w:after="0"/>
              <w:rPr>
                <w:sz w:val="20"/>
                <w:szCs w:val="20"/>
                <w:color w:val="auto"/>
              </w:rPr>
            </w:pPr>
            <w:r>
              <w:rPr>
                <w:rFonts w:ascii="Arial" w:cs="Arial" w:eastAsia="Arial" w:hAnsi="Arial"/>
                <w:sz w:val="17"/>
                <w:szCs w:val="17"/>
                <w:color w:val="auto"/>
              </w:rPr>
              <w:t>37.3%</w:t>
            </w:r>
          </w:p>
        </w:tc>
        <w:tc>
          <w:tcPr>
            <w:tcW w:w="1360" w:type="dxa"/>
            <w:vAlign w:val="bottom"/>
          </w:tcPr>
          <w:p>
            <w:pPr>
              <w:jc w:val="right"/>
              <w:ind w:right="354"/>
              <w:spacing w:after="0"/>
              <w:rPr>
                <w:sz w:val="20"/>
                <w:szCs w:val="20"/>
                <w:color w:val="auto"/>
              </w:rPr>
            </w:pPr>
            <w:r>
              <w:rPr>
                <w:rFonts w:ascii="Arial" w:cs="Arial" w:eastAsia="Arial" w:hAnsi="Arial"/>
                <w:sz w:val="17"/>
                <w:szCs w:val="17"/>
                <w:color w:val="auto"/>
              </w:rPr>
              <w:t>48.2%</w:t>
            </w:r>
          </w:p>
        </w:tc>
        <w:tc>
          <w:tcPr>
            <w:tcW w:w="1420" w:type="dxa"/>
            <w:vAlign w:val="bottom"/>
          </w:tcPr>
          <w:p>
            <w:pPr>
              <w:jc w:val="right"/>
              <w:ind w:right="374"/>
              <w:spacing w:after="0"/>
              <w:rPr>
                <w:sz w:val="20"/>
                <w:szCs w:val="20"/>
                <w:color w:val="auto"/>
              </w:rPr>
            </w:pPr>
            <w:r>
              <w:rPr>
                <w:rFonts w:ascii="Arial" w:cs="Arial" w:eastAsia="Arial" w:hAnsi="Arial"/>
                <w:sz w:val="17"/>
                <w:szCs w:val="17"/>
                <w:color w:val="auto"/>
              </w:rPr>
              <w:t>43.2%</w:t>
            </w:r>
          </w:p>
        </w:tc>
        <w:tc>
          <w:tcPr>
            <w:tcW w:w="900" w:type="dxa"/>
            <w:vAlign w:val="bottom"/>
          </w:tcPr>
          <w:p>
            <w:pPr>
              <w:jc w:val="right"/>
              <w:spacing w:after="0"/>
              <w:rPr>
                <w:sz w:val="20"/>
                <w:szCs w:val="20"/>
                <w:color w:val="auto"/>
              </w:rPr>
            </w:pPr>
            <w:r>
              <w:rPr>
                <w:rFonts w:ascii="Arial" w:cs="Arial" w:eastAsia="Arial" w:hAnsi="Arial"/>
                <w:sz w:val="17"/>
                <w:szCs w:val="17"/>
                <w:color w:val="auto"/>
              </w:rPr>
              <w:t>42.3%</w:t>
            </w:r>
          </w:p>
        </w:tc>
        <w:tc>
          <w:tcPr>
            <w:tcW w:w="20" w:type="dxa"/>
            <w:vAlign w:val="bottom"/>
          </w:tcPr>
          <w:p>
            <w:pPr>
              <w:spacing w:after="0"/>
              <w:rPr>
                <w:sz w:val="18"/>
                <w:szCs w:val="18"/>
                <w:color w:val="auto"/>
              </w:rPr>
            </w:pPr>
          </w:p>
        </w:tc>
      </w:tr>
      <w:tr>
        <w:trPr>
          <w:trHeight w:val="212"/>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Other(1)</w:t>
            </w:r>
          </w:p>
        </w:tc>
        <w:tc>
          <w:tcPr>
            <w:tcW w:w="364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-113.3%</w:t>
            </w:r>
          </w:p>
        </w:tc>
        <w:tc>
          <w:tcPr>
            <w:tcW w:w="13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18.7%</w:t>
            </w:r>
          </w:p>
        </w:tc>
        <w:tc>
          <w:tcPr>
            <w:tcW w:w="14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207.6%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20" w:type="dxa"/>
            <w:vAlign w:val="bottom"/>
          </w:tcPr>
          <w:p>
            <w:pPr>
              <w:spacing w:after="0"/>
              <w:rPr>
                <w:sz w:val="18"/>
                <w:szCs w:val="18"/>
                <w:color w:val="auto"/>
              </w:rPr>
            </w:pPr>
          </w:p>
        </w:tc>
      </w:tr>
      <w:tr>
        <w:trPr>
          <w:trHeight w:val="217"/>
        </w:trPr>
        <w:tc>
          <w:tcPr>
            <w:tcW w:w="4240" w:type="dxa"/>
            <w:vAlign w:val="bottom"/>
          </w:tcPr>
          <w:p>
            <w:pPr>
              <w:ind w:left="160"/>
              <w:spacing w:after="0"/>
              <w:rPr>
                <w:sz w:val="20"/>
                <w:szCs w:val="20"/>
                <w:color w:val="auto"/>
              </w:rPr>
            </w:pPr>
            <w:r>
              <w:rPr>
                <w:rFonts w:ascii="Arial" w:cs="Arial" w:eastAsia="Arial" w:hAnsi="Arial"/>
                <w:sz w:val="17"/>
                <w:szCs w:val="17"/>
                <w:color w:val="auto"/>
              </w:rPr>
              <w:t>Total</w:t>
            </w:r>
          </w:p>
        </w:tc>
        <w:tc>
          <w:tcPr>
            <w:tcW w:w="3640" w:type="dxa"/>
            <w:vAlign w:val="bottom"/>
          </w:tcPr>
          <w:p>
            <w:pPr>
              <w:jc w:val="right"/>
              <w:ind w:right="374"/>
              <w:spacing w:after="0"/>
              <w:rPr>
                <w:sz w:val="20"/>
                <w:szCs w:val="20"/>
                <w:color w:val="auto"/>
              </w:rPr>
            </w:pPr>
            <w:r>
              <w:rPr>
                <w:rFonts w:ascii="Arial" w:cs="Arial" w:eastAsia="Arial" w:hAnsi="Arial"/>
                <w:sz w:val="17"/>
                <w:szCs w:val="17"/>
                <w:color w:val="auto"/>
              </w:rPr>
              <w:t>48.3%</w:t>
            </w:r>
          </w:p>
        </w:tc>
        <w:tc>
          <w:tcPr>
            <w:tcW w:w="1360" w:type="dxa"/>
            <w:vAlign w:val="bottom"/>
          </w:tcPr>
          <w:p>
            <w:pPr>
              <w:jc w:val="right"/>
              <w:ind w:right="354"/>
              <w:spacing w:after="0"/>
              <w:rPr>
                <w:sz w:val="20"/>
                <w:szCs w:val="20"/>
                <w:color w:val="auto"/>
              </w:rPr>
            </w:pPr>
            <w:r>
              <w:rPr>
                <w:rFonts w:ascii="Arial" w:cs="Arial" w:eastAsia="Arial" w:hAnsi="Arial"/>
                <w:sz w:val="17"/>
                <w:szCs w:val="17"/>
                <w:color w:val="auto"/>
              </w:rPr>
              <w:t>32.9%</w:t>
            </w:r>
          </w:p>
        </w:tc>
        <w:tc>
          <w:tcPr>
            <w:tcW w:w="1420" w:type="dxa"/>
            <w:vAlign w:val="bottom"/>
          </w:tcPr>
          <w:p>
            <w:pPr>
              <w:jc w:val="right"/>
              <w:ind w:right="374"/>
              <w:spacing w:after="0"/>
              <w:rPr>
                <w:sz w:val="20"/>
                <w:szCs w:val="20"/>
                <w:color w:val="auto"/>
              </w:rPr>
            </w:pPr>
            <w:r>
              <w:rPr>
                <w:rFonts w:ascii="Arial" w:cs="Arial" w:eastAsia="Arial" w:hAnsi="Arial"/>
                <w:sz w:val="17"/>
                <w:szCs w:val="17"/>
                <w:color w:val="auto"/>
              </w:rPr>
              <w:t>56.0%</w:t>
            </w:r>
          </w:p>
        </w:tc>
        <w:tc>
          <w:tcPr>
            <w:tcW w:w="900" w:type="dxa"/>
            <w:vAlign w:val="bottom"/>
          </w:tcPr>
          <w:p>
            <w:pPr>
              <w:jc w:val="right"/>
              <w:spacing w:after="0"/>
              <w:rPr>
                <w:sz w:val="20"/>
                <w:szCs w:val="20"/>
                <w:color w:val="auto"/>
              </w:rPr>
            </w:pPr>
            <w:r>
              <w:rPr>
                <w:rFonts w:ascii="Arial" w:cs="Arial" w:eastAsia="Arial" w:hAnsi="Arial"/>
                <w:sz w:val="17"/>
                <w:szCs w:val="17"/>
                <w:color w:val="auto"/>
              </w:rPr>
              <w:t>41.6%</w:t>
            </w:r>
          </w:p>
        </w:tc>
        <w:tc>
          <w:tcPr>
            <w:tcW w:w="20" w:type="dxa"/>
            <w:vAlign w:val="bottom"/>
          </w:tcPr>
          <w:p>
            <w:pPr>
              <w:spacing w:after="0"/>
              <w:rPr>
                <w:sz w:val="18"/>
                <w:szCs w:val="18"/>
                <w:color w:val="auto"/>
              </w:rPr>
            </w:pPr>
          </w:p>
        </w:tc>
      </w:tr>
    </w:tbl>
    <w:p>
      <w:pPr>
        <w:spacing w:after="0" w:line="198" w:lineRule="exact"/>
        <w:rPr>
          <w:sz w:val="20"/>
          <w:szCs w:val="20"/>
          <w:color w:val="auto"/>
        </w:rPr>
      </w:pPr>
    </w:p>
    <w:p>
      <w:pPr>
        <w:ind w:left="320" w:right="20" w:hanging="314"/>
        <w:spacing w:after="0" w:line="263"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 includes, among other things, premiums and loss and loss adjustment expenses from our participation in a mandatory state joint underwriting association and loss and loss adjustment expenses from commercial auto.</w:t>
      </w:r>
    </w:p>
    <w:p>
      <w:pPr>
        <w:ind w:left="320" w:right="20" w:hanging="314"/>
        <w:spacing w:after="0" w:line="260"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 discussions above with regard to “Net Written Premiums and Net Premiums Earned”, as to changes in quota share ceding rates, effective July 1, 2018 and 2017.</w:t>
      </w:r>
    </w:p>
    <w:p>
      <w:pPr>
        <w:ind w:left="320" w:hanging="314"/>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 discussions above with regard to “Net Loss and LAE”, as to catastrophe losses in 2018.</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80"/>
          </w:cols>
          <w:pgMar w:left="160" w:top="469" w:right="15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Insurance Underwriting Business on a Standalone Basis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insurance underwriting business reported on a standalone basis for the periods indicated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gridSpan w:val="3"/>
          </w:tcPr>
          <w:p>
            <w:pPr>
              <w:jc w:val="right"/>
              <w:ind w:right="754"/>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4"/>
          </w:tcPr>
          <w:p>
            <w:pPr>
              <w:ind w:left="44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79"/>
        </w:trPr>
        <w:tc>
          <w:tcPr>
            <w:tcW w:w="4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5"/>
              <w:spacing w:after="0" w:line="159" w:lineRule="exact"/>
              <w:rPr>
                <w:sz w:val="20"/>
                <w:szCs w:val="20"/>
                <w:color w:val="auto"/>
              </w:rPr>
            </w:pPr>
            <w:r>
              <w:rPr>
                <w:rFonts w:ascii="Arial" w:cs="Arial" w:eastAsia="Arial" w:hAnsi="Arial"/>
                <w:sz w:val="15"/>
                <w:szCs w:val="15"/>
                <w:b w:val="1"/>
                <w:bCs w:val="1"/>
                <w:color w:val="auto"/>
              </w:rPr>
              <w:t>2018</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4"/>
              <w:spacing w:after="0" w:line="159" w:lineRule="exact"/>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5"/>
              <w:spacing w:after="0" w:line="159" w:lineRule="exact"/>
              <w:rPr>
                <w:sz w:val="20"/>
                <w:szCs w:val="20"/>
                <w:color w:val="auto"/>
              </w:rPr>
            </w:pPr>
            <w:r>
              <w:rPr>
                <w:rFonts w:ascii="Arial" w:cs="Arial" w:eastAsia="Arial" w:hAnsi="Arial"/>
                <w:sz w:val="15"/>
                <w:szCs w:val="15"/>
                <w:b w:val="1"/>
                <w:bCs w:val="1"/>
                <w:color w:val="auto"/>
              </w:rPr>
              <w:t>2018</w:t>
            </w: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4"/>
              <w:spacing w:after="0" w:line="159" w:lineRule="exact"/>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1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0"/>
              <w:spacing w:after="0"/>
              <w:rPr>
                <w:sz w:val="20"/>
                <w:szCs w:val="20"/>
                <w:color w:val="auto"/>
              </w:rPr>
            </w:pPr>
            <w:r>
              <w:rPr>
                <w:rFonts w:ascii="Arial" w:cs="Arial" w:eastAsia="Arial" w:hAnsi="Arial"/>
                <w:sz w:val="17"/>
                <w:szCs w:val="17"/>
                <w:color w:val="auto"/>
              </w:rPr>
              <w:t>Net premiums earned</w:t>
            </w:r>
          </w:p>
        </w:tc>
        <w:tc>
          <w:tcPr>
            <w:tcW w:w="1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27,533,907</w:t>
            </w:r>
          </w:p>
        </w:tc>
        <w:tc>
          <w:tcPr>
            <w:tcW w:w="3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4"/>
              <w:spacing w:after="0"/>
              <w:rPr>
                <w:sz w:val="20"/>
                <w:szCs w:val="20"/>
                <w:color w:val="auto"/>
              </w:rPr>
            </w:pPr>
            <w:r>
              <w:rPr>
                <w:rFonts w:ascii="Arial" w:cs="Arial" w:eastAsia="Arial" w:hAnsi="Arial"/>
                <w:sz w:val="17"/>
                <w:szCs w:val="17"/>
                <w:color w:val="auto"/>
                <w:w w:val="91"/>
              </w:rPr>
              <w:t>21,514,408</w:t>
            </w:r>
          </w:p>
        </w:tc>
        <w:tc>
          <w:tcPr>
            <w:tcW w:w="2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74,476,138</w:t>
            </w:r>
          </w:p>
        </w:tc>
        <w:tc>
          <w:tcPr>
            <w:tcW w:w="3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4"/>
              <w:spacing w:after="0"/>
              <w:rPr>
                <w:sz w:val="20"/>
                <w:szCs w:val="20"/>
                <w:color w:val="auto"/>
              </w:rPr>
            </w:pPr>
            <w:r>
              <w:rPr>
                <w:rFonts w:ascii="Arial" w:cs="Arial" w:eastAsia="Arial" w:hAnsi="Arial"/>
                <w:sz w:val="17"/>
                <w:szCs w:val="17"/>
                <w:color w:val="auto"/>
                <w:w w:val="89"/>
              </w:rPr>
              <w:t>54,837,883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Ceding commission revenue</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1,044,529</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1,717,610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4,430,855</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8,208,000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0"/>
              <w:spacing w:after="0"/>
              <w:rPr>
                <w:sz w:val="20"/>
                <w:szCs w:val="20"/>
                <w:color w:val="auto"/>
              </w:rPr>
            </w:pPr>
            <w:r>
              <w:rPr>
                <w:rFonts w:ascii="Arial" w:cs="Arial" w:eastAsia="Arial" w:hAnsi="Arial"/>
                <w:sz w:val="17"/>
                <w:szCs w:val="17"/>
                <w:color w:val="auto"/>
              </w:rPr>
              <w:t>Net investment income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1,544,327</w:t>
            </w:r>
          </w:p>
        </w:tc>
        <w:tc>
          <w:tcPr>
            <w:tcW w:w="380" w:type="dxa"/>
            <w:vAlign w:val="bottom"/>
          </w:tcPr>
          <w:p>
            <w:pPr>
              <w:spacing w:after="0"/>
              <w:rPr>
                <w:sz w:val="18"/>
                <w:szCs w:val="18"/>
                <w:color w:val="auto"/>
              </w:rPr>
            </w:pP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1,033,307</w:t>
            </w:r>
          </w:p>
        </w:tc>
        <w:tc>
          <w:tcPr>
            <w:tcW w:w="26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4,459,479</w:t>
            </w:r>
          </w:p>
        </w:tc>
        <w:tc>
          <w:tcPr>
            <w:tcW w:w="38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2,917,111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gains (losses) on investments</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346,300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20,998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(283,061)</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96,915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200"/>
              <w:spacing w:after="0"/>
              <w:rPr>
                <w:sz w:val="20"/>
                <w:szCs w:val="20"/>
                <w:color w:val="auto"/>
              </w:rPr>
            </w:pPr>
            <w:r>
              <w:rPr>
                <w:rFonts w:ascii="Arial" w:cs="Arial" w:eastAsia="Arial" w:hAnsi="Arial"/>
                <w:sz w:val="17"/>
                <w:szCs w:val="17"/>
                <w:color w:val="auto"/>
              </w:rPr>
              <w:t>Other income</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352,476</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317,269</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937,264</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880,930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30,821,539</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91"/>
              </w:rPr>
              <w:t>24,603,592</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84,020,675</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9"/>
              </w:rPr>
              <w:t>66,940,839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13,296,708</w:t>
            </w:r>
          </w:p>
        </w:tc>
        <w:tc>
          <w:tcPr>
            <w:tcW w:w="380" w:type="dxa"/>
            <w:vAlign w:val="bottom"/>
          </w:tcPr>
          <w:p>
            <w:pPr>
              <w:spacing w:after="0"/>
              <w:rPr>
                <w:sz w:val="18"/>
                <w:szCs w:val="18"/>
                <w:color w:val="auto"/>
              </w:rPr>
            </w:pP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7,073,323</w:t>
            </w:r>
          </w:p>
        </w:tc>
        <w:tc>
          <w:tcPr>
            <w:tcW w:w="26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41,739,123</w:t>
            </w:r>
          </w:p>
        </w:tc>
        <w:tc>
          <w:tcPr>
            <w:tcW w:w="38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w w:val="89"/>
              </w:rPr>
              <w:t>22,821,241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Commission expense</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6,594,323</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5,500,483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18,411,460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9"/>
              </w:rPr>
              <w:t>15,491,027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0"/>
              <w:spacing w:after="0"/>
              <w:rPr>
                <w:sz w:val="20"/>
                <w:szCs w:val="20"/>
                <w:color w:val="auto"/>
              </w:rPr>
            </w:pPr>
            <w:r>
              <w:rPr>
                <w:rFonts w:ascii="Arial" w:cs="Arial" w:eastAsia="Arial" w:hAnsi="Arial"/>
                <w:sz w:val="17"/>
                <w:szCs w:val="17"/>
                <w:color w:val="auto"/>
              </w:rPr>
              <w:t>Other underwriting expenses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5,193,679</w:t>
            </w:r>
          </w:p>
        </w:tc>
        <w:tc>
          <w:tcPr>
            <w:tcW w:w="380" w:type="dxa"/>
            <w:vAlign w:val="bottom"/>
          </w:tcPr>
          <w:p>
            <w:pPr>
              <w:spacing w:after="0"/>
              <w:rPr>
                <w:sz w:val="18"/>
                <w:szCs w:val="18"/>
                <w:color w:val="auto"/>
              </w:rPr>
            </w:pP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4,475,455</w:t>
            </w:r>
          </w:p>
        </w:tc>
        <w:tc>
          <w:tcPr>
            <w:tcW w:w="26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15,301,168</w:t>
            </w:r>
          </w:p>
        </w:tc>
        <w:tc>
          <w:tcPr>
            <w:tcW w:w="38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w w:val="89"/>
              </w:rPr>
              <w:t>12,887,488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440,383</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378,518</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1,273,975</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1,023,390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360"/>
              <w:spacing w:after="0"/>
              <w:rPr>
                <w:sz w:val="20"/>
                <w:szCs w:val="20"/>
                <w:color w:val="auto"/>
              </w:rPr>
            </w:pPr>
            <w:r>
              <w:rPr>
                <w:rFonts w:ascii="Arial" w:cs="Arial" w:eastAsia="Arial" w:hAnsi="Arial"/>
                <w:sz w:val="17"/>
                <w:szCs w:val="17"/>
                <w:color w:val="auto"/>
              </w:rPr>
              <w:t>Total expenses</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25,525,093</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1"/>
              </w:rPr>
              <w:t>17,427,779</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76,725,726</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9"/>
              </w:rPr>
              <w:t>52,223,146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0"/>
              <w:spacing w:after="0"/>
              <w:rPr>
                <w:sz w:val="20"/>
                <w:szCs w:val="20"/>
                <w:color w:val="auto"/>
              </w:rPr>
            </w:pPr>
            <w:r>
              <w:rPr>
                <w:rFonts w:ascii="Arial" w:cs="Arial" w:eastAsia="Arial" w:hAnsi="Arial"/>
                <w:sz w:val="17"/>
                <w:szCs w:val="17"/>
                <w:color w:val="auto"/>
              </w:rPr>
              <w:t>Income from operations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5,296,446</w:t>
            </w:r>
          </w:p>
        </w:tc>
        <w:tc>
          <w:tcPr>
            <w:tcW w:w="380" w:type="dxa"/>
            <w:vAlign w:val="bottom"/>
          </w:tcPr>
          <w:p>
            <w:pPr>
              <w:spacing w:after="0"/>
              <w:rPr>
                <w:sz w:val="18"/>
                <w:szCs w:val="18"/>
                <w:color w:val="auto"/>
              </w:rPr>
            </w:pP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7,175,813</w:t>
            </w:r>
          </w:p>
        </w:tc>
        <w:tc>
          <w:tcPr>
            <w:tcW w:w="26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7,294,949</w:t>
            </w:r>
          </w:p>
        </w:tc>
        <w:tc>
          <w:tcPr>
            <w:tcW w:w="38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color w:val="auto"/>
                <w:w w:val="89"/>
              </w:rPr>
              <w:t>14,717,693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Income tax expense</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1,075,104</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2,399,048</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1,452,750</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4,911,977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b w:val="1"/>
                <w:bCs w:val="1"/>
                <w:color w:val="auto"/>
              </w:rPr>
              <w:t>Net incom</w:t>
            </w:r>
            <w:r>
              <w:rPr>
                <w:rFonts w:ascii="Arial" w:cs="Arial" w:eastAsia="Arial" w:hAnsi="Arial"/>
                <w:sz w:val="17"/>
                <w:szCs w:val="17"/>
                <w:color w:val="auto"/>
              </w:rPr>
              <w:t>e</w:t>
            </w:r>
          </w:p>
        </w:tc>
        <w:tc>
          <w:tcPr>
            <w:tcW w:w="1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4,221,342</w:t>
            </w:r>
          </w:p>
        </w:tc>
        <w:tc>
          <w:tcPr>
            <w:tcW w:w="3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4,776,765</w:t>
            </w:r>
          </w:p>
        </w:tc>
        <w:tc>
          <w:tcPr>
            <w:tcW w:w="2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5,842,199</w:t>
            </w:r>
          </w:p>
        </w:tc>
        <w:tc>
          <w:tcPr>
            <w:tcW w:w="3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4"/>
              <w:spacing w:after="0"/>
              <w:rPr>
                <w:sz w:val="20"/>
                <w:szCs w:val="20"/>
                <w:color w:val="auto"/>
              </w:rPr>
            </w:pPr>
            <w:r>
              <w:rPr>
                <w:rFonts w:ascii="Arial" w:cs="Arial" w:eastAsia="Arial" w:hAnsi="Arial"/>
                <w:sz w:val="17"/>
                <w:szCs w:val="17"/>
                <w:color w:val="auto"/>
              </w:rPr>
              <w:t>9,805,716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Key Measures:</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Net loss ratio</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48.3%</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56.0%</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underwriting expense ratio</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Net combined ratio</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94.1%</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0"/>
              <w:spacing w:after="0"/>
              <w:rPr>
                <w:sz w:val="20"/>
                <w:szCs w:val="20"/>
                <w:color w:val="auto"/>
              </w:rPr>
            </w:pPr>
            <w:r>
              <w:rPr>
                <w:rFonts w:ascii="Arial" w:cs="Arial" w:eastAsia="Arial" w:hAnsi="Arial"/>
                <w:sz w:val="17"/>
                <w:szCs w:val="17"/>
                <w:color w:val="auto"/>
              </w:rPr>
              <w:t>Reconciliation of net underwriting expense ratio:</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Acquisition costs and other</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360"/>
              <w:spacing w:after="0"/>
              <w:rPr>
                <w:sz w:val="20"/>
                <w:szCs w:val="20"/>
                <w:color w:val="auto"/>
              </w:rPr>
            </w:pPr>
            <w:r>
              <w:rPr>
                <w:rFonts w:ascii="Arial" w:cs="Arial" w:eastAsia="Arial" w:hAnsi="Arial"/>
                <w:sz w:val="17"/>
                <w:szCs w:val="17"/>
                <w:color w:val="auto"/>
              </w:rPr>
              <w:t>underwriting expenses</w:t>
            </w:r>
          </w:p>
        </w:tc>
        <w:tc>
          <w:tcPr>
            <w:tcW w:w="1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11,788,002</w:t>
            </w:r>
          </w:p>
        </w:tc>
        <w:tc>
          <w:tcPr>
            <w:tcW w:w="3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9,975,938</w:t>
            </w:r>
          </w:p>
        </w:tc>
        <w:tc>
          <w:tcPr>
            <w:tcW w:w="2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33,712,628</w:t>
            </w:r>
          </w:p>
        </w:tc>
        <w:tc>
          <w:tcPr>
            <w:tcW w:w="3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4"/>
              <w:spacing w:after="0"/>
              <w:rPr>
                <w:sz w:val="20"/>
                <w:szCs w:val="20"/>
                <w:color w:val="auto"/>
              </w:rPr>
            </w:pPr>
            <w:r>
              <w:rPr>
                <w:rFonts w:ascii="Arial" w:cs="Arial" w:eastAsia="Arial" w:hAnsi="Arial"/>
                <w:sz w:val="17"/>
                <w:szCs w:val="17"/>
                <w:color w:val="auto"/>
                <w:w w:val="89"/>
              </w:rPr>
              <w:t>28,378,515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Ceding commission revenue</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(1,044,529)</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96"/>
              </w:rPr>
              <w:t>(1,717,610)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(4,430,855)</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(8,208,000)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200"/>
              <w:spacing w:after="0"/>
              <w:rPr>
                <w:sz w:val="20"/>
                <w:szCs w:val="20"/>
                <w:color w:val="auto"/>
              </w:rPr>
            </w:pPr>
            <w:r>
              <w:rPr>
                <w:rFonts w:ascii="Arial" w:cs="Arial" w:eastAsia="Arial" w:hAnsi="Arial"/>
                <w:sz w:val="17"/>
                <w:szCs w:val="17"/>
                <w:color w:val="auto"/>
              </w:rPr>
              <w:t>Less: Other income</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(352,476)</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(317,269)</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(937,264)</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underwriting expenses</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10,390,997</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7,941,059</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28,344,509</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9"/>
              </w:rPr>
              <w:t>19,289,585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64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premiums earned</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27,533,907</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1"/>
              </w:rPr>
              <w:t>21,514,408</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74,476,138</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9"/>
              </w:rPr>
              <w:t>54,837,883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64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Underwriting Expense Ratio</w:t>
            </w: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27"/>
        </w:trPr>
        <w:tc>
          <w:tcPr>
            <w:tcW w:w="46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80"/>
          </w:cols>
          <w:pgMar w:left="160" w:top="469" w:right="15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An analysis of our direct, assumed and ceded earned premiums, loss and loss adjustment expenses, and loss ratios is shown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74"/>
              <w:spacing w:after="0"/>
              <w:rPr>
                <w:sz w:val="20"/>
                <w:szCs w:val="20"/>
                <w:color w:val="auto"/>
              </w:rPr>
            </w:pPr>
            <w:r>
              <w:rPr>
                <w:rFonts w:ascii="Arial" w:cs="Arial" w:eastAsia="Arial" w:hAnsi="Arial"/>
                <w:sz w:val="15"/>
                <w:szCs w:val="15"/>
                <w:b w:val="1"/>
                <w:bCs w:val="1"/>
                <w:color w:val="auto"/>
              </w:rPr>
              <w:t>Direct</w:t>
            </w:r>
          </w:p>
        </w:tc>
        <w:tc>
          <w:tcPr>
            <w:tcW w:w="260" w:type="dxa"/>
            <w:vAlign w:val="bottom"/>
          </w:tcPr>
          <w:p>
            <w:pPr>
              <w:spacing w:after="0"/>
              <w:rPr>
                <w:sz w:val="15"/>
                <w:szCs w:val="15"/>
                <w:color w:val="auto"/>
              </w:rPr>
            </w:pPr>
          </w:p>
        </w:tc>
        <w:tc>
          <w:tcPr>
            <w:tcW w:w="1140" w:type="dxa"/>
            <w:vAlign w:val="bottom"/>
          </w:tcPr>
          <w:p>
            <w:pPr>
              <w:jc w:val="right"/>
              <w:ind w:right="394"/>
              <w:spacing w:after="0"/>
              <w:rPr>
                <w:sz w:val="20"/>
                <w:szCs w:val="20"/>
                <w:color w:val="auto"/>
              </w:rPr>
            </w:pPr>
            <w:r>
              <w:rPr>
                <w:rFonts w:ascii="Arial" w:cs="Arial" w:eastAsia="Arial" w:hAnsi="Arial"/>
                <w:sz w:val="15"/>
                <w:szCs w:val="15"/>
                <w:b w:val="1"/>
                <w:bCs w:val="1"/>
                <w:color w:val="auto"/>
                <w:w w:val="94"/>
              </w:rPr>
              <w:t>Assumed</w:t>
            </w:r>
          </w:p>
        </w:tc>
        <w:tc>
          <w:tcPr>
            <w:tcW w:w="240" w:type="dxa"/>
            <w:vAlign w:val="bottom"/>
          </w:tcPr>
          <w:p>
            <w:pPr>
              <w:spacing w:after="0"/>
              <w:rPr>
                <w:sz w:val="15"/>
                <w:szCs w:val="15"/>
                <w:color w:val="auto"/>
              </w:rPr>
            </w:pPr>
          </w:p>
        </w:tc>
        <w:tc>
          <w:tcPr>
            <w:tcW w:w="1140" w:type="dxa"/>
            <w:vAlign w:val="bottom"/>
          </w:tcPr>
          <w:p>
            <w:pPr>
              <w:jc w:val="right"/>
              <w:ind w:right="454"/>
              <w:spacing w:after="0"/>
              <w:rPr>
                <w:sz w:val="20"/>
                <w:szCs w:val="20"/>
                <w:color w:val="auto"/>
              </w:rPr>
            </w:pPr>
            <w:r>
              <w:rPr>
                <w:rFonts w:ascii="Arial" w:cs="Arial" w:eastAsia="Arial" w:hAnsi="Arial"/>
                <w:sz w:val="15"/>
                <w:szCs w:val="15"/>
                <w:b w:val="1"/>
                <w:bCs w:val="1"/>
                <w:color w:val="auto"/>
              </w:rPr>
              <w:t>Ceded</w:t>
            </w:r>
          </w:p>
        </w:tc>
        <w:tc>
          <w:tcPr>
            <w:tcW w:w="240" w:type="dxa"/>
            <w:vAlign w:val="bottom"/>
          </w:tcPr>
          <w:p>
            <w:pPr>
              <w:spacing w:after="0"/>
              <w:rPr>
                <w:sz w:val="15"/>
                <w:szCs w:val="15"/>
                <w:color w:val="auto"/>
              </w:rPr>
            </w:pPr>
          </w:p>
        </w:tc>
        <w:tc>
          <w:tcPr>
            <w:tcW w:w="1080" w:type="dxa"/>
            <w:vAlign w:val="bottom"/>
            <w:gridSpan w:val="2"/>
          </w:tcPr>
          <w:p>
            <w:pPr>
              <w:ind w:left="280"/>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Nine months ended September 30, 2018</w:t>
            </w:r>
          </w:p>
        </w:tc>
        <w:tc>
          <w:tcPr>
            <w:tcW w:w="1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0"/>
              <w:spacing w:after="0"/>
              <w:rPr>
                <w:sz w:val="20"/>
                <w:szCs w:val="20"/>
                <w:color w:val="auto"/>
              </w:rPr>
            </w:pPr>
            <w:r>
              <w:rPr>
                <w:rFonts w:ascii="Arial" w:cs="Arial" w:eastAsia="Arial" w:hAnsi="Arial"/>
                <w:sz w:val="17"/>
                <w:szCs w:val="17"/>
                <w:color w:val="auto"/>
              </w:rPr>
              <w:t>Written premiums</w:t>
            </w:r>
          </w:p>
        </w:tc>
        <w:tc>
          <w:tcPr>
            <w:tcW w:w="1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4"/>
              <w:spacing w:after="0"/>
              <w:rPr>
                <w:sz w:val="20"/>
                <w:szCs w:val="20"/>
                <w:color w:val="auto"/>
              </w:rPr>
            </w:pPr>
            <w:r>
              <w:rPr>
                <w:rFonts w:ascii="Arial" w:cs="Arial" w:eastAsia="Arial" w:hAnsi="Arial"/>
                <w:sz w:val="17"/>
                <w:szCs w:val="17"/>
                <w:color w:val="auto"/>
                <w:w w:val="97"/>
              </w:rPr>
              <w:t>107,175,413</w:t>
            </w:r>
          </w:p>
        </w:tc>
        <w:tc>
          <w:tcPr>
            <w:tcW w:w="2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842</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4"/>
              <w:spacing w:after="0"/>
              <w:rPr>
                <w:sz w:val="20"/>
                <w:szCs w:val="20"/>
                <w:color w:val="auto"/>
              </w:rPr>
            </w:pPr>
            <w:r>
              <w:rPr>
                <w:rFonts w:ascii="Arial" w:cs="Arial" w:eastAsia="Arial" w:hAnsi="Arial"/>
                <w:sz w:val="17"/>
                <w:szCs w:val="17"/>
                <w:color w:val="auto"/>
                <w:w w:val="99"/>
              </w:rPr>
              <w:t>(19,409,423)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87,766,832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Change in unearned premiums</w:t>
            </w:r>
          </w:p>
        </w:tc>
        <w:tc>
          <w:tcPr>
            <w:tcW w:w="1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(9,930,503)</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3,762</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(3,363,953)</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(13,290,694)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0"/>
              <w:spacing w:after="0"/>
              <w:rPr>
                <w:sz w:val="20"/>
                <w:szCs w:val="20"/>
                <w:color w:val="auto"/>
              </w:rPr>
            </w:pPr>
            <w:r>
              <w:rPr>
                <w:rFonts w:ascii="Arial" w:cs="Arial" w:eastAsia="Arial" w:hAnsi="Arial"/>
                <w:sz w:val="17"/>
                <w:szCs w:val="17"/>
                <w:color w:val="auto"/>
              </w:rPr>
              <w:t>Earned premiums</w:t>
            </w:r>
          </w:p>
        </w:tc>
        <w:tc>
          <w:tcPr>
            <w:tcW w:w="1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97,244,910</w:t>
            </w:r>
          </w:p>
        </w:tc>
        <w:tc>
          <w:tcPr>
            <w:tcW w:w="2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4,604</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4"/>
              <w:spacing w:after="0"/>
              <w:rPr>
                <w:sz w:val="20"/>
                <w:szCs w:val="20"/>
                <w:color w:val="auto"/>
              </w:rPr>
            </w:pPr>
            <w:r>
              <w:rPr>
                <w:rFonts w:ascii="Arial" w:cs="Arial" w:eastAsia="Arial" w:hAnsi="Arial"/>
                <w:sz w:val="17"/>
                <w:szCs w:val="17"/>
                <w:color w:val="auto"/>
                <w:w w:val="99"/>
              </w:rPr>
              <w:t>(22,773,376)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74,476,138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0"/>
              <w:spacing w:after="0"/>
              <w:rPr>
                <w:sz w:val="20"/>
                <w:szCs w:val="20"/>
                <w:color w:val="auto"/>
              </w:rPr>
            </w:pPr>
            <w:r>
              <w:rPr>
                <w:rFonts w:ascii="Arial" w:cs="Arial" w:eastAsia="Arial" w:hAnsi="Arial"/>
                <w:sz w:val="17"/>
                <w:szCs w:val="17"/>
                <w:color w:val="auto"/>
              </w:rPr>
              <w:t>Loss and loss adjustment expenses exluding</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the effect of catastrophes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42,575,980</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27,037</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(6,983,566)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35,619,451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200"/>
              <w:spacing w:after="0"/>
              <w:rPr>
                <w:sz w:val="20"/>
                <w:szCs w:val="20"/>
                <w:color w:val="auto"/>
              </w:rPr>
            </w:pPr>
            <w:r>
              <w:rPr>
                <w:rFonts w:ascii="Arial" w:cs="Arial" w:eastAsia="Arial" w:hAnsi="Arial"/>
                <w:sz w:val="17"/>
                <w:szCs w:val="17"/>
                <w:color w:val="auto"/>
              </w:rPr>
              <w:t>Catastrophe loss</w:t>
            </w: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10,804,633</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(4,684,961)</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6,119,672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53,380,613</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27,037</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99"/>
              </w:rPr>
              <w:t>(11,668,527)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41,739,123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5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200"/>
              <w:spacing w:after="0"/>
              <w:rPr>
                <w:sz w:val="20"/>
                <w:szCs w:val="20"/>
                <w:color w:val="auto"/>
              </w:rPr>
            </w:pPr>
            <w:r>
              <w:rPr>
                <w:rFonts w:ascii="Arial" w:cs="Arial" w:eastAsia="Arial" w:hAnsi="Arial"/>
                <w:sz w:val="17"/>
                <w:szCs w:val="17"/>
                <w:color w:val="auto"/>
              </w:rPr>
              <w:t>Catastrophe loss</w:t>
            </w: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Loss ratio</w:t>
            </w: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587.3%</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Nine months ended September 30, 2017</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0"/>
              <w:spacing w:after="0"/>
              <w:rPr>
                <w:sz w:val="20"/>
                <w:szCs w:val="20"/>
                <w:color w:val="auto"/>
              </w:rPr>
            </w:pPr>
            <w:r>
              <w:rPr>
                <w:rFonts w:ascii="Arial" w:cs="Arial" w:eastAsia="Arial" w:hAnsi="Arial"/>
                <w:sz w:val="17"/>
                <w:szCs w:val="17"/>
                <w:color w:val="auto"/>
              </w:rPr>
              <w:t>Written premiums</w:t>
            </w:r>
          </w:p>
        </w:tc>
        <w:tc>
          <w:tcPr>
            <w:tcW w:w="1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89,423,758</w:t>
            </w:r>
          </w:p>
        </w:tc>
        <w:tc>
          <w:tcPr>
            <w:tcW w:w="2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18,203</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4"/>
              <w:spacing w:after="0"/>
              <w:rPr>
                <w:sz w:val="20"/>
                <w:szCs w:val="20"/>
                <w:color w:val="auto"/>
              </w:rPr>
            </w:pPr>
            <w:r>
              <w:rPr>
                <w:rFonts w:ascii="Arial" w:cs="Arial" w:eastAsia="Arial" w:hAnsi="Arial"/>
                <w:sz w:val="17"/>
                <w:szCs w:val="17"/>
                <w:color w:val="auto"/>
                <w:w w:val="99"/>
              </w:rPr>
              <w:t>(20,719,037)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68,722,924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Change in unearned premiums</w:t>
            </w:r>
          </w:p>
        </w:tc>
        <w:tc>
          <w:tcPr>
            <w:tcW w:w="1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(8,456,690)</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8,162</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(5,436,513)</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(13,885,041)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0"/>
              <w:spacing w:after="0"/>
              <w:rPr>
                <w:sz w:val="20"/>
                <w:szCs w:val="20"/>
                <w:color w:val="auto"/>
              </w:rPr>
            </w:pPr>
            <w:r>
              <w:rPr>
                <w:rFonts w:ascii="Arial" w:cs="Arial" w:eastAsia="Arial" w:hAnsi="Arial"/>
                <w:sz w:val="17"/>
                <w:szCs w:val="17"/>
                <w:color w:val="auto"/>
              </w:rPr>
              <w:t>Earned premiums</w:t>
            </w:r>
          </w:p>
        </w:tc>
        <w:tc>
          <w:tcPr>
            <w:tcW w:w="1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80,967,068</w:t>
            </w:r>
          </w:p>
        </w:tc>
        <w:tc>
          <w:tcPr>
            <w:tcW w:w="2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26,365</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4"/>
              <w:spacing w:after="0"/>
              <w:rPr>
                <w:sz w:val="20"/>
                <w:szCs w:val="20"/>
                <w:color w:val="auto"/>
              </w:rPr>
            </w:pPr>
            <w:r>
              <w:rPr>
                <w:rFonts w:ascii="Arial" w:cs="Arial" w:eastAsia="Arial" w:hAnsi="Arial"/>
                <w:sz w:val="17"/>
                <w:szCs w:val="17"/>
                <w:color w:val="auto"/>
                <w:w w:val="99"/>
              </w:rPr>
              <w:t>(26,155,550)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54,837,883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0"/>
              <w:spacing w:after="0"/>
              <w:rPr>
                <w:sz w:val="20"/>
                <w:szCs w:val="20"/>
                <w:color w:val="auto"/>
              </w:rPr>
            </w:pPr>
            <w:r>
              <w:rPr>
                <w:rFonts w:ascii="Arial" w:cs="Arial" w:eastAsia="Arial" w:hAnsi="Arial"/>
                <w:sz w:val="17"/>
                <w:szCs w:val="17"/>
                <w:color w:val="auto"/>
              </w:rPr>
              <w:t>Loss and loss adjustment expenses exluding</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the effect of catastrophes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31,281,727</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42,751</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(8,503,237)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22,821,241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200"/>
              <w:spacing w:after="0"/>
              <w:rPr>
                <w:sz w:val="20"/>
                <w:szCs w:val="20"/>
                <w:color w:val="auto"/>
              </w:rPr>
            </w:pPr>
            <w:r>
              <w:rPr>
                <w:rFonts w:ascii="Arial" w:cs="Arial" w:eastAsia="Arial" w:hAnsi="Arial"/>
                <w:sz w:val="17"/>
                <w:szCs w:val="17"/>
                <w:color w:val="auto"/>
              </w:rPr>
              <w:t>Catastrophe loss</w:t>
            </w: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31,281,727</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42,751</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(8,503,237)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22,821,241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5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200"/>
              <w:spacing w:after="0"/>
              <w:rPr>
                <w:sz w:val="20"/>
                <w:szCs w:val="20"/>
                <w:color w:val="auto"/>
              </w:rPr>
            </w:pPr>
            <w:r>
              <w:rPr>
                <w:rFonts w:ascii="Arial" w:cs="Arial" w:eastAsia="Arial" w:hAnsi="Arial"/>
                <w:sz w:val="17"/>
                <w:szCs w:val="17"/>
                <w:color w:val="auto"/>
              </w:rPr>
              <w:t>Catastrophe loss</w:t>
            </w: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Loss ratio</w:t>
            </w: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162.2%</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Three months ended September 30, 2018</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0"/>
              <w:spacing w:after="0"/>
              <w:rPr>
                <w:sz w:val="20"/>
                <w:szCs w:val="20"/>
                <w:color w:val="auto"/>
              </w:rPr>
            </w:pPr>
            <w:r>
              <w:rPr>
                <w:rFonts w:ascii="Arial" w:cs="Arial" w:eastAsia="Arial" w:hAnsi="Arial"/>
                <w:sz w:val="17"/>
                <w:szCs w:val="17"/>
                <w:color w:val="auto"/>
              </w:rPr>
              <w:t>Written premiums</w:t>
            </w:r>
          </w:p>
        </w:tc>
        <w:tc>
          <w:tcPr>
            <w:tcW w:w="1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38,785,453</w:t>
            </w:r>
          </w:p>
        </w:tc>
        <w:tc>
          <w:tcPr>
            <w:tcW w:w="2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18</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4"/>
              <w:spacing w:after="0"/>
              <w:rPr>
                <w:sz w:val="20"/>
                <w:szCs w:val="20"/>
                <w:color w:val="auto"/>
              </w:rPr>
            </w:pPr>
            <w:r>
              <w:rPr>
                <w:rFonts w:ascii="Arial" w:cs="Arial" w:eastAsia="Arial" w:hAnsi="Arial"/>
                <w:sz w:val="17"/>
                <w:szCs w:val="17"/>
                <w:color w:val="auto"/>
              </w:rPr>
              <w:t>(2,683,699)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36,101,772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Change in unearned premiums</w:t>
            </w:r>
          </w:p>
        </w:tc>
        <w:tc>
          <w:tcPr>
            <w:tcW w:w="1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(4,435,174)</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698</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(4,133,389)</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(8,567,865)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0"/>
              <w:spacing w:after="0"/>
              <w:rPr>
                <w:sz w:val="20"/>
                <w:szCs w:val="20"/>
                <w:color w:val="auto"/>
              </w:rPr>
            </w:pPr>
            <w:r>
              <w:rPr>
                <w:rFonts w:ascii="Arial" w:cs="Arial" w:eastAsia="Arial" w:hAnsi="Arial"/>
                <w:sz w:val="17"/>
                <w:szCs w:val="17"/>
                <w:color w:val="auto"/>
              </w:rPr>
              <w:t>Earned premiums</w:t>
            </w:r>
          </w:p>
        </w:tc>
        <w:tc>
          <w:tcPr>
            <w:tcW w:w="1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34,350,279</w:t>
            </w:r>
          </w:p>
        </w:tc>
        <w:tc>
          <w:tcPr>
            <w:tcW w:w="2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716</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4"/>
              <w:spacing w:after="0"/>
              <w:rPr>
                <w:sz w:val="20"/>
                <w:szCs w:val="20"/>
                <w:color w:val="auto"/>
              </w:rPr>
            </w:pPr>
            <w:r>
              <w:rPr>
                <w:rFonts w:ascii="Arial" w:cs="Arial" w:eastAsia="Arial" w:hAnsi="Arial"/>
                <w:sz w:val="17"/>
                <w:szCs w:val="17"/>
                <w:color w:val="auto"/>
              </w:rPr>
              <w:t>(6,817,088)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27,533,907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0"/>
              <w:spacing w:after="0"/>
              <w:rPr>
                <w:sz w:val="20"/>
                <w:szCs w:val="20"/>
                <w:color w:val="auto"/>
              </w:rPr>
            </w:pPr>
            <w:r>
              <w:rPr>
                <w:rFonts w:ascii="Arial" w:cs="Arial" w:eastAsia="Arial" w:hAnsi="Arial"/>
                <w:sz w:val="17"/>
                <w:szCs w:val="17"/>
                <w:color w:val="auto"/>
              </w:rPr>
              <w:t>Loss and loss adjustment expenses exluding</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the effect of catastrophes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16,700,865</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4,104</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(3,797,536)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12,907,433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200"/>
              <w:spacing w:after="0"/>
              <w:rPr>
                <w:sz w:val="20"/>
                <w:szCs w:val="20"/>
                <w:color w:val="auto"/>
              </w:rPr>
            </w:pPr>
            <w:r>
              <w:rPr>
                <w:rFonts w:ascii="Arial" w:cs="Arial" w:eastAsia="Arial" w:hAnsi="Arial"/>
                <w:sz w:val="17"/>
                <w:szCs w:val="17"/>
                <w:color w:val="auto"/>
              </w:rPr>
              <w:t>Catastrophe loss</w:t>
            </w: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243,244</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146,031</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389,275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16,944,109</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4,104</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(3,651,505)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13,296,708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5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200"/>
              <w:spacing w:after="0"/>
              <w:rPr>
                <w:sz w:val="20"/>
                <w:szCs w:val="20"/>
                <w:color w:val="auto"/>
              </w:rPr>
            </w:pPr>
            <w:r>
              <w:rPr>
                <w:rFonts w:ascii="Arial" w:cs="Arial" w:eastAsia="Arial" w:hAnsi="Arial"/>
                <w:sz w:val="17"/>
                <w:szCs w:val="17"/>
                <w:color w:val="auto"/>
              </w:rPr>
              <w:t>Catastrophe loss</w:t>
            </w: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Loss ratio</w:t>
            </w: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573.2%</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Three months ended September 30, 2017</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0"/>
              <w:spacing w:after="0"/>
              <w:rPr>
                <w:sz w:val="20"/>
                <w:szCs w:val="20"/>
                <w:color w:val="auto"/>
              </w:rPr>
            </w:pPr>
            <w:r>
              <w:rPr>
                <w:rFonts w:ascii="Arial" w:cs="Arial" w:eastAsia="Arial" w:hAnsi="Arial"/>
                <w:sz w:val="17"/>
                <w:szCs w:val="17"/>
                <w:color w:val="auto"/>
              </w:rPr>
              <w:t>Written premiums</w:t>
            </w:r>
          </w:p>
        </w:tc>
        <w:tc>
          <w:tcPr>
            <w:tcW w:w="1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32,839,891</w:t>
            </w:r>
          </w:p>
        </w:tc>
        <w:tc>
          <w:tcPr>
            <w:tcW w:w="2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11,910</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4"/>
              <w:spacing w:after="0"/>
              <w:rPr>
                <w:sz w:val="20"/>
                <w:szCs w:val="20"/>
                <w:color w:val="auto"/>
              </w:rPr>
            </w:pPr>
            <w:r>
              <w:rPr>
                <w:rFonts w:ascii="Arial" w:cs="Arial" w:eastAsia="Arial" w:hAnsi="Arial"/>
                <w:sz w:val="17"/>
                <w:szCs w:val="17"/>
                <w:color w:val="auto"/>
              </w:rPr>
              <w:t>(590,482)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32,261,319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Change in unearned premiums</w:t>
            </w:r>
          </w:p>
        </w:tc>
        <w:tc>
          <w:tcPr>
            <w:tcW w:w="1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(4,407,894)</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(165)</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(6,338,852)</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(10,746,911)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0"/>
              <w:spacing w:after="0"/>
              <w:rPr>
                <w:sz w:val="20"/>
                <w:szCs w:val="20"/>
                <w:color w:val="auto"/>
              </w:rPr>
            </w:pPr>
            <w:r>
              <w:rPr>
                <w:rFonts w:ascii="Arial" w:cs="Arial" w:eastAsia="Arial" w:hAnsi="Arial"/>
                <w:sz w:val="17"/>
                <w:szCs w:val="17"/>
                <w:color w:val="auto"/>
              </w:rPr>
              <w:t>Earned premiums</w:t>
            </w:r>
          </w:p>
        </w:tc>
        <w:tc>
          <w:tcPr>
            <w:tcW w:w="1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28,431,997</w:t>
            </w:r>
          </w:p>
        </w:tc>
        <w:tc>
          <w:tcPr>
            <w:tcW w:w="2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11,745</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4"/>
              <w:spacing w:after="0"/>
              <w:rPr>
                <w:sz w:val="20"/>
                <w:szCs w:val="20"/>
                <w:color w:val="auto"/>
              </w:rPr>
            </w:pPr>
            <w:r>
              <w:rPr>
                <w:rFonts w:ascii="Arial" w:cs="Arial" w:eastAsia="Arial" w:hAnsi="Arial"/>
                <w:sz w:val="17"/>
                <w:szCs w:val="17"/>
                <w:color w:val="auto"/>
              </w:rPr>
              <w:t>(6,929,334)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21,514,408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0"/>
              <w:spacing w:after="0"/>
              <w:rPr>
                <w:sz w:val="20"/>
                <w:szCs w:val="20"/>
                <w:color w:val="auto"/>
              </w:rPr>
            </w:pPr>
            <w:r>
              <w:rPr>
                <w:rFonts w:ascii="Arial" w:cs="Arial" w:eastAsia="Arial" w:hAnsi="Arial"/>
                <w:sz w:val="17"/>
                <w:szCs w:val="17"/>
                <w:color w:val="auto"/>
              </w:rPr>
              <w:t>Loss and loss adjustment expenses exluding</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the effect of catastrophes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8,123,601</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26,418</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(1,076,696)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7,073,323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200"/>
              <w:spacing w:after="0"/>
              <w:rPr>
                <w:sz w:val="20"/>
                <w:szCs w:val="20"/>
                <w:color w:val="auto"/>
              </w:rPr>
            </w:pPr>
            <w:r>
              <w:rPr>
                <w:rFonts w:ascii="Arial" w:cs="Arial" w:eastAsia="Arial" w:hAnsi="Arial"/>
                <w:sz w:val="17"/>
                <w:szCs w:val="17"/>
                <w:color w:val="auto"/>
              </w:rPr>
              <w:t>Catastrophe loss</w:t>
            </w: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8,123,601</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26,418</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(1,076,696)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7,073,323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5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200"/>
              <w:spacing w:after="0"/>
              <w:rPr>
                <w:sz w:val="20"/>
                <w:szCs w:val="20"/>
                <w:color w:val="auto"/>
              </w:rPr>
            </w:pPr>
            <w:r>
              <w:rPr>
                <w:rFonts w:ascii="Arial" w:cs="Arial" w:eastAsia="Arial" w:hAnsi="Arial"/>
                <w:sz w:val="17"/>
                <w:szCs w:val="17"/>
                <w:color w:val="auto"/>
              </w:rPr>
              <w:t>Catastrophe loss</w:t>
            </w: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Loss ratio</w:t>
            </w: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224.9%</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7"/>
        </w:trPr>
        <w:tc>
          <w:tcPr>
            <w:tcW w:w="4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62</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80"/>
          </w:cols>
          <w:pgMar w:left="160" w:top="475" w:right="15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t>The key measures for our insurance underwriting business for the periods indicated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3"/>
          </w:tcPr>
          <w:p>
            <w:pPr>
              <w:jc w:val="right"/>
              <w:ind w:right="655"/>
              <w:spacing w:after="0"/>
              <w:rPr>
                <w:sz w:val="20"/>
                <w:szCs w:val="20"/>
                <w:color w:val="auto"/>
              </w:rPr>
            </w:pPr>
            <w:r>
              <w:rPr>
                <w:rFonts w:ascii="Arial" w:cs="Arial" w:eastAsia="Arial" w:hAnsi="Arial"/>
                <w:sz w:val="15"/>
                <w:szCs w:val="15"/>
                <w:b w:val="1"/>
                <w:bCs w:val="1"/>
                <w:color w:val="auto"/>
              </w:rPr>
              <w:t>Three months ended</w:t>
            </w:r>
          </w:p>
        </w:tc>
        <w:tc>
          <w:tcPr>
            <w:tcW w:w="340" w:type="dxa"/>
            <w:vAlign w:val="bottom"/>
          </w:tcPr>
          <w:p>
            <w:pPr>
              <w:spacing w:after="0"/>
              <w:rPr>
                <w:sz w:val="14"/>
                <w:szCs w:val="14"/>
                <w:color w:val="auto"/>
              </w:rPr>
            </w:pPr>
          </w:p>
        </w:tc>
        <w:tc>
          <w:tcPr>
            <w:tcW w:w="2420" w:type="dxa"/>
            <w:vAlign w:val="bottom"/>
            <w:gridSpan w:val="3"/>
          </w:tcPr>
          <w:p>
            <w:pPr>
              <w:jc w:val="right"/>
              <w:ind w:right="675"/>
              <w:spacing w:after="0"/>
              <w:rPr>
                <w:sz w:val="20"/>
                <w:szCs w:val="20"/>
                <w:color w:val="auto"/>
              </w:rPr>
            </w:pPr>
            <w:r>
              <w:rPr>
                <w:rFonts w:ascii="Arial" w:cs="Arial" w:eastAsia="Arial" w:hAnsi="Arial"/>
                <w:sz w:val="15"/>
                <w:szCs w:val="15"/>
                <w:b w:val="1"/>
                <w:bCs w:val="1"/>
                <w:color w:val="auto"/>
              </w:rPr>
              <w:t>Nine months ended</w:t>
            </w:r>
          </w:p>
        </w:tc>
      </w:tr>
      <w:tr>
        <w:trPr>
          <w:trHeight w:val="179"/>
        </w:trPr>
        <w:tc>
          <w:tcPr>
            <w:tcW w:w="6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September 30,</w:t>
            </w:r>
          </w:p>
        </w:tc>
        <w:tc>
          <w:tcPr>
            <w:tcW w:w="920" w:type="dxa"/>
            <w:vAlign w:val="bottom"/>
            <w:tcBorders>
              <w:bottom w:val="single" w:sz="8" w:color="auto"/>
            </w:tcBorders>
          </w:tcPr>
          <w:p>
            <w:pPr>
              <w:spacing w:after="0"/>
              <w:rPr>
                <w:sz w:val="15"/>
                <w:szCs w:val="15"/>
                <w:color w:val="auto"/>
              </w:rPr>
            </w:pPr>
          </w:p>
        </w:tc>
      </w:tr>
      <w:tr>
        <w:trPr>
          <w:trHeight w:val="165"/>
        </w:trPr>
        <w:tc>
          <w:tcPr>
            <w:tcW w:w="60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8"/>
              <w:spacing w:after="0" w:line="159" w:lineRule="exact"/>
              <w:rPr>
                <w:sz w:val="20"/>
                <w:szCs w:val="20"/>
                <w:color w:val="auto"/>
              </w:rPr>
            </w:pPr>
            <w:r>
              <w:rPr>
                <w:rFonts w:ascii="Arial" w:cs="Arial" w:eastAsia="Arial" w:hAnsi="Arial"/>
                <w:sz w:val="15"/>
                <w:szCs w:val="15"/>
                <w:b w:val="1"/>
                <w:bCs w:val="1"/>
                <w:color w:val="auto"/>
              </w:rPr>
              <w:t>2018</w:t>
            </w: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line="159" w:lineRule="exact"/>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8"/>
              <w:spacing w:after="0" w:line="159" w:lineRule="exact"/>
              <w:rPr>
                <w:sz w:val="20"/>
                <w:szCs w:val="20"/>
                <w:color w:val="auto"/>
              </w:rPr>
            </w:pPr>
            <w:r>
              <w:rPr>
                <w:rFonts w:ascii="Arial" w:cs="Arial" w:eastAsia="Arial" w:hAnsi="Arial"/>
                <w:sz w:val="15"/>
                <w:szCs w:val="15"/>
                <w:b w:val="1"/>
                <w:bCs w:val="1"/>
                <w:color w:val="auto"/>
              </w:rPr>
              <w:t>2018</w:t>
            </w: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5"/>
              <w:spacing w:after="0" w:line="159" w:lineRule="exact"/>
              <w:rPr>
                <w:sz w:val="20"/>
                <w:szCs w:val="20"/>
                <w:color w:val="auto"/>
              </w:rPr>
            </w:pPr>
            <w:r>
              <w:rPr>
                <w:rFonts w:ascii="Arial" w:cs="Arial" w:eastAsia="Arial" w:hAnsi="Arial"/>
                <w:sz w:val="15"/>
                <w:szCs w:val="15"/>
                <w:b w:val="1"/>
                <w:bCs w:val="1"/>
                <w:color w:val="auto"/>
              </w:rPr>
              <w:t>2017</w:t>
            </w:r>
          </w:p>
        </w:tc>
      </w:tr>
      <w:tr>
        <w:trPr>
          <w:trHeight w:val="238"/>
        </w:trPr>
        <w:tc>
          <w:tcPr>
            <w:tcW w:w="6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premiums earned</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27,533,907</w:t>
            </w:r>
          </w:p>
        </w:tc>
        <w:tc>
          <w:tcPr>
            <w:tcW w:w="4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9"/>
              </w:rPr>
              <w:t>21,514,408</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74,476,138</w:t>
            </w:r>
          </w:p>
        </w:tc>
        <w:tc>
          <w:tcPr>
            <w:tcW w:w="4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9"/>
              </w:rPr>
              <w:t>54,837,883</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Ceding commission revenue</w:t>
            </w:r>
          </w:p>
        </w:tc>
        <w:tc>
          <w:tcPr>
            <w:tcW w:w="340" w:type="dxa"/>
            <w:vAlign w:val="bottom"/>
          </w:tcPr>
          <w:p>
            <w:pPr>
              <w:spacing w:after="0"/>
              <w:rPr>
                <w:sz w:val="18"/>
                <w:szCs w:val="18"/>
                <w:color w:val="auto"/>
              </w:rPr>
            </w:pPr>
          </w:p>
        </w:tc>
        <w:tc>
          <w:tcPr>
            <w:tcW w:w="1040" w:type="dxa"/>
            <w:vAlign w:val="bottom"/>
          </w:tcPr>
          <w:p>
            <w:pPr>
              <w:jc w:val="right"/>
              <w:ind w:right="58"/>
              <w:spacing w:after="0"/>
              <w:rPr>
                <w:sz w:val="20"/>
                <w:szCs w:val="20"/>
                <w:color w:val="auto"/>
              </w:rPr>
            </w:pPr>
            <w:r>
              <w:rPr>
                <w:rFonts w:ascii="Arial" w:cs="Arial" w:eastAsia="Arial" w:hAnsi="Arial"/>
                <w:sz w:val="17"/>
                <w:szCs w:val="17"/>
                <w:color w:val="auto"/>
              </w:rPr>
              <w:t>1,044,529</w:t>
            </w:r>
          </w:p>
        </w:tc>
        <w:tc>
          <w:tcPr>
            <w:tcW w:w="48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1,717,610</w:t>
            </w:r>
          </w:p>
        </w:tc>
        <w:tc>
          <w:tcPr>
            <w:tcW w:w="340" w:type="dxa"/>
            <w:vAlign w:val="bottom"/>
          </w:tcPr>
          <w:p>
            <w:pPr>
              <w:spacing w:after="0"/>
              <w:rPr>
                <w:sz w:val="18"/>
                <w:szCs w:val="18"/>
                <w:color w:val="auto"/>
              </w:rPr>
            </w:pPr>
          </w:p>
        </w:tc>
        <w:tc>
          <w:tcPr>
            <w:tcW w:w="1040" w:type="dxa"/>
            <w:vAlign w:val="bottom"/>
          </w:tcPr>
          <w:p>
            <w:pPr>
              <w:jc w:val="right"/>
              <w:ind w:right="58"/>
              <w:spacing w:after="0"/>
              <w:rPr>
                <w:sz w:val="20"/>
                <w:szCs w:val="20"/>
                <w:color w:val="auto"/>
              </w:rPr>
            </w:pPr>
            <w:r>
              <w:rPr>
                <w:rFonts w:ascii="Arial" w:cs="Arial" w:eastAsia="Arial" w:hAnsi="Arial"/>
                <w:sz w:val="17"/>
                <w:szCs w:val="17"/>
                <w:color w:val="auto"/>
              </w:rPr>
              <w:t>4,430,855</w:t>
            </w:r>
          </w:p>
        </w:tc>
        <w:tc>
          <w:tcPr>
            <w:tcW w:w="46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8,208,000</w:t>
            </w: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income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352,476</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317,269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937,264</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880,930</w:t>
            </w:r>
          </w:p>
        </w:tc>
      </w:tr>
      <w:tr>
        <w:trPr>
          <w:trHeight w:val="212"/>
        </w:trPr>
        <w:tc>
          <w:tcPr>
            <w:tcW w:w="6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Loss and loss adjustment expenses (1)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13,296,708</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7,073,323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41,739,123</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9"/>
              </w:rPr>
              <w:t>22,821,241</w:t>
            </w:r>
          </w:p>
        </w:tc>
      </w:tr>
      <w:tr>
        <w:trPr>
          <w:trHeight w:val="212"/>
        </w:trPr>
        <w:tc>
          <w:tcPr>
            <w:tcW w:w="6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Acquistion costs and other underwriting expenses: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Commission expense</w:t>
            </w:r>
          </w:p>
        </w:tc>
        <w:tc>
          <w:tcPr>
            <w:tcW w:w="340" w:type="dxa"/>
            <w:vAlign w:val="bottom"/>
          </w:tcPr>
          <w:p>
            <w:pPr>
              <w:spacing w:after="0"/>
              <w:rPr>
                <w:sz w:val="18"/>
                <w:szCs w:val="18"/>
                <w:color w:val="auto"/>
              </w:rPr>
            </w:pPr>
          </w:p>
        </w:tc>
        <w:tc>
          <w:tcPr>
            <w:tcW w:w="1040" w:type="dxa"/>
            <w:vAlign w:val="bottom"/>
          </w:tcPr>
          <w:p>
            <w:pPr>
              <w:jc w:val="right"/>
              <w:ind w:right="58"/>
              <w:spacing w:after="0"/>
              <w:rPr>
                <w:sz w:val="20"/>
                <w:szCs w:val="20"/>
                <w:color w:val="auto"/>
              </w:rPr>
            </w:pPr>
            <w:r>
              <w:rPr>
                <w:rFonts w:ascii="Arial" w:cs="Arial" w:eastAsia="Arial" w:hAnsi="Arial"/>
                <w:sz w:val="17"/>
                <w:szCs w:val="17"/>
                <w:color w:val="auto"/>
              </w:rPr>
              <w:t>6,594,323</w:t>
            </w:r>
          </w:p>
        </w:tc>
        <w:tc>
          <w:tcPr>
            <w:tcW w:w="48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5,500,483</w:t>
            </w:r>
          </w:p>
        </w:tc>
        <w:tc>
          <w:tcPr>
            <w:tcW w:w="340" w:type="dxa"/>
            <w:vAlign w:val="bottom"/>
          </w:tcPr>
          <w:p>
            <w:pPr>
              <w:spacing w:after="0"/>
              <w:rPr>
                <w:sz w:val="18"/>
                <w:szCs w:val="18"/>
                <w:color w:val="auto"/>
              </w:rPr>
            </w:pPr>
          </w:p>
        </w:tc>
        <w:tc>
          <w:tcPr>
            <w:tcW w:w="1040" w:type="dxa"/>
            <w:vAlign w:val="bottom"/>
          </w:tcPr>
          <w:p>
            <w:pPr>
              <w:jc w:val="right"/>
              <w:ind w:right="58"/>
              <w:spacing w:after="0"/>
              <w:rPr>
                <w:sz w:val="20"/>
                <w:szCs w:val="20"/>
                <w:color w:val="auto"/>
              </w:rPr>
            </w:pPr>
            <w:r>
              <w:rPr>
                <w:rFonts w:ascii="Arial" w:cs="Arial" w:eastAsia="Arial" w:hAnsi="Arial"/>
                <w:sz w:val="17"/>
                <w:szCs w:val="17"/>
                <w:color w:val="auto"/>
              </w:rPr>
              <w:t>18,411,460</w:t>
            </w:r>
          </w:p>
        </w:tc>
        <w:tc>
          <w:tcPr>
            <w:tcW w:w="46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w w:val="89"/>
              </w:rPr>
              <w:t>15,491,027</w:t>
            </w:r>
          </w:p>
        </w:tc>
      </w:tr>
      <w:tr>
        <w:trPr>
          <w:trHeight w:val="218"/>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 underwriting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5,193,679</w:t>
            </w: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4,475,455</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15,301,168</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9"/>
              </w:rPr>
              <w:t>12,887,488</w:t>
            </w:r>
          </w:p>
        </w:tc>
      </w:tr>
      <w:tr>
        <w:trPr>
          <w:trHeight w:val="212"/>
        </w:trPr>
        <w:tc>
          <w:tcPr>
            <w:tcW w:w="6020" w:type="dxa"/>
            <w:vAlign w:val="bottom"/>
          </w:tcPr>
          <w:p>
            <w:pPr>
              <w:ind w:left="40"/>
              <w:spacing w:after="0"/>
              <w:rPr>
                <w:sz w:val="20"/>
                <w:szCs w:val="20"/>
                <w:color w:val="auto"/>
              </w:rPr>
            </w:pPr>
            <w:r>
              <w:rPr>
                <w:rFonts w:ascii="Arial" w:cs="Arial" w:eastAsia="Arial" w:hAnsi="Arial"/>
                <w:sz w:val="17"/>
                <w:szCs w:val="17"/>
                <w:color w:val="auto"/>
              </w:rPr>
              <w:t>Total acquistion costs and other</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underwriting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11,788,002</w:t>
            </w: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9,975,938</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33,712,628</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9"/>
              </w:rPr>
              <w:t>28,378,515</w:t>
            </w:r>
          </w:p>
        </w:tc>
      </w:tr>
      <w:tr>
        <w:trPr>
          <w:trHeight w:val="212"/>
        </w:trPr>
        <w:tc>
          <w:tcPr>
            <w:tcW w:w="6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Underwriting income</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3,846,202</w:t>
            </w:r>
          </w:p>
        </w:tc>
        <w:tc>
          <w:tcPr>
            <w:tcW w:w="4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6,500,026</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4,392,506</w:t>
            </w:r>
          </w:p>
        </w:tc>
        <w:tc>
          <w:tcPr>
            <w:tcW w:w="4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9"/>
              </w:rPr>
              <w:t>12,727,057</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Key Measures: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Net loss ratio excluding the effect of catastrophes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46.9%</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47.8%</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Effect of catastrophe loss on net loss ratio (1)</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200"/>
              <w:spacing w:after="0"/>
              <w:rPr>
                <w:sz w:val="20"/>
                <w:szCs w:val="20"/>
                <w:color w:val="auto"/>
              </w:rPr>
            </w:pPr>
            <w:r>
              <w:rPr>
                <w:rFonts w:ascii="Arial" w:cs="Arial" w:eastAsia="Arial" w:hAnsi="Arial"/>
                <w:sz w:val="17"/>
                <w:szCs w:val="17"/>
                <w:color w:val="auto"/>
              </w:rPr>
              <w:t>Net loss ratio</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Net underwriting expense ratio excluding the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effect of catastrophes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Effect of catastrophe loss on net underwriting</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expense ratio (2)</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200"/>
              <w:spacing w:after="0"/>
              <w:rPr>
                <w:sz w:val="20"/>
                <w:szCs w:val="20"/>
                <w:color w:val="auto"/>
              </w:rPr>
            </w:pPr>
            <w:r>
              <w:rPr>
                <w:rFonts w:ascii="Arial" w:cs="Arial" w:eastAsia="Arial" w:hAnsi="Arial"/>
                <w:sz w:val="17"/>
                <w:szCs w:val="17"/>
                <w:color w:val="auto"/>
              </w:rPr>
              <w:t>Net underwriting expense ratio</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Net combined ratio excluding the effect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of catastrophes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Effect of catastrophe loss on net combined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ratio (1) (2)</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Net combined ratio</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20" w:type="dxa"/>
            <w:vAlign w:val="bottom"/>
          </w:tcPr>
          <w:p>
            <w:pPr>
              <w:ind w:left="200"/>
              <w:spacing w:after="0"/>
              <w:rPr>
                <w:sz w:val="20"/>
                <w:szCs w:val="20"/>
                <w:color w:val="auto"/>
              </w:rPr>
            </w:pPr>
            <w:r>
              <w:rPr>
                <w:rFonts w:ascii="Arial" w:cs="Arial" w:eastAsia="Arial" w:hAnsi="Arial"/>
                <w:sz w:val="17"/>
                <w:szCs w:val="17"/>
                <w:color w:val="auto"/>
              </w:rPr>
              <w:t>Reconciliation of net underwriting expense ratio:</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Acquisition costs and other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tcPr>
          <w:p>
            <w:pPr>
              <w:ind w:left="360"/>
              <w:spacing w:after="0"/>
              <w:rPr>
                <w:sz w:val="20"/>
                <w:szCs w:val="20"/>
                <w:color w:val="auto"/>
              </w:rPr>
            </w:pPr>
            <w:r>
              <w:rPr>
                <w:rFonts w:ascii="Arial" w:cs="Arial" w:eastAsia="Arial" w:hAnsi="Arial"/>
                <w:sz w:val="17"/>
                <w:szCs w:val="17"/>
                <w:color w:val="auto"/>
              </w:rPr>
              <w:t>underwriting expenses</w:t>
            </w:r>
          </w:p>
        </w:tc>
        <w:tc>
          <w:tcPr>
            <w:tcW w:w="3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11,788,002</w:t>
            </w:r>
          </w:p>
        </w:tc>
        <w:tc>
          <w:tcPr>
            <w:tcW w:w="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9,975,938</w:t>
            </w:r>
          </w:p>
        </w:tc>
        <w:tc>
          <w:tcPr>
            <w:tcW w:w="2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33,712,628</w:t>
            </w:r>
          </w:p>
        </w:tc>
        <w:tc>
          <w:tcPr>
            <w:tcW w:w="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4"/>
              <w:spacing w:after="0"/>
              <w:rPr>
                <w:sz w:val="20"/>
                <w:szCs w:val="20"/>
                <w:color w:val="auto"/>
              </w:rPr>
            </w:pPr>
            <w:r>
              <w:rPr>
                <w:rFonts w:ascii="Arial" w:cs="Arial" w:eastAsia="Arial" w:hAnsi="Arial"/>
                <w:sz w:val="17"/>
                <w:szCs w:val="17"/>
                <w:color w:val="auto"/>
              </w:rPr>
              <w:t>28,378,515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Ceding commission revenue (2)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(1,044,529)</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(1,717,610)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(4,430,855)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200"/>
              <w:spacing w:after="0"/>
              <w:rPr>
                <w:sz w:val="20"/>
                <w:szCs w:val="20"/>
                <w:color w:val="auto"/>
              </w:rPr>
            </w:pPr>
            <w:r>
              <w:rPr>
                <w:rFonts w:ascii="Arial" w:cs="Arial" w:eastAsia="Arial" w:hAnsi="Arial"/>
                <w:sz w:val="17"/>
                <w:szCs w:val="17"/>
                <w:color w:val="auto"/>
              </w:rPr>
              <w:t>Less: Other income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(352,476)</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(317,269)</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(937,264)</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10,390,997</w:t>
            </w:r>
          </w:p>
        </w:tc>
        <w:tc>
          <w:tcPr>
            <w:tcW w:w="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7,941,059</w:t>
            </w: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28,344,509</w:t>
            </w:r>
          </w:p>
        </w:tc>
        <w:tc>
          <w:tcPr>
            <w:tcW w:w="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19,289,585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earned premium</w:t>
            </w:r>
          </w:p>
        </w:tc>
        <w:tc>
          <w:tcPr>
            <w:tcW w:w="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27,533,907</w:t>
            </w:r>
          </w:p>
        </w:tc>
        <w:tc>
          <w:tcPr>
            <w:tcW w:w="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21,514,408</w:t>
            </w: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74,476,138</w:t>
            </w:r>
          </w:p>
        </w:tc>
        <w:tc>
          <w:tcPr>
            <w:tcW w:w="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54,837,883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Underwriting Expense Ratio</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20" w:right="20" w:hanging="314"/>
        <w:spacing w:after="0" w:line="263"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the three months ended September 30, 2018, includes the sum of net catastrophe losses and loss adjustment expenses of $389,276. For the nine months ended September 30, 2018, includes the sum of net catastrophe losses and loss adjustment expenses of $6,119,672.</w:t>
      </w:r>
    </w:p>
    <w:p>
      <w:pPr>
        <w:jc w:val="both"/>
        <w:ind w:left="320" w:right="20" w:hanging="314"/>
        <w:spacing w:after="0" w:line="266"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the three months ended September 30, 2018, the effect of catastrophe loss on our net underwriting expense ratio does not include a reduction of contingent ceding commission revenue as well as the indirect effects of a $102,577 decrease in other underwriting expenses. For the nine months ended September 30, 2018, the effect of catastrophe loss on our net underwriting expense ratio includes the direct effect of reduced contingent ceding commission revenue by $459,068 and does not include the indirect effects of a $267,508 decrease in other underwriting expenses.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80"/>
          </w:cols>
          <w:pgMar w:left="160" w:top="475" w:right="15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Investments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Portfolio Summary</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Fixed-Maturity Securities</w:t>
      </w:r>
    </w:p>
    <w:p>
      <w:pPr>
        <w:spacing w:after="0" w:line="228" w:lineRule="exact"/>
        <w:rPr>
          <w:sz w:val="20"/>
          <w:szCs w:val="20"/>
          <w:color w:val="auto"/>
        </w:rPr>
      </w:pPr>
    </w:p>
    <w:p>
      <w:pPr>
        <w:ind w:right="360" w:firstLine="636"/>
        <w:spacing w:after="0" w:line="287" w:lineRule="auto"/>
        <w:rPr>
          <w:sz w:val="20"/>
          <w:szCs w:val="20"/>
          <w:color w:val="auto"/>
        </w:rPr>
      </w:pPr>
      <w:r>
        <w:rPr>
          <w:rFonts w:ascii="Arial" w:cs="Arial" w:eastAsia="Arial" w:hAnsi="Arial"/>
          <w:sz w:val="17"/>
          <w:szCs w:val="17"/>
          <w:color w:val="auto"/>
        </w:rPr>
        <w:t>The following table presents a breakdown of the amortized cost, fair value, and unrealized gains and losses of our investments in fixed-maturity securities classified as available-for-sale as of September 30, 2018 and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5"/>
                <w:szCs w:val="15"/>
                <w:b w:val="1"/>
                <w:bCs w:val="1"/>
                <w:color w:val="auto"/>
              </w:rPr>
              <w:t>September 30, 2018</w:t>
            </w:r>
          </w:p>
        </w:tc>
        <w:tc>
          <w:tcPr>
            <w:tcW w:w="1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4"/>
                <w:szCs w:val="24"/>
                <w:color w:val="auto"/>
              </w:rPr>
            </w:pP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7"/>
              </w:rPr>
              <w:t>Cost or</w:t>
            </w:r>
          </w:p>
        </w:tc>
        <w:tc>
          <w:tcPr>
            <w:tcW w:w="220" w:type="dxa"/>
            <w:vAlign w:val="bottom"/>
          </w:tcPr>
          <w:p>
            <w:pPr>
              <w:spacing w:after="0"/>
              <w:rPr>
                <w:sz w:val="24"/>
                <w:szCs w:val="24"/>
                <w:color w:val="auto"/>
              </w:rPr>
            </w:pPr>
          </w:p>
        </w:tc>
        <w:tc>
          <w:tcPr>
            <w:tcW w:w="940" w:type="dxa"/>
            <w:vAlign w:val="bottom"/>
            <w:vMerge w:val="restart"/>
          </w:tcPr>
          <w:p>
            <w:pPr>
              <w:jc w:val="right"/>
              <w:ind w:right="279"/>
              <w:spacing w:after="0"/>
              <w:rPr>
                <w:sz w:val="20"/>
                <w:szCs w:val="20"/>
                <w:color w:val="auto"/>
              </w:rPr>
            </w:pPr>
            <w:r>
              <w:rPr>
                <w:rFonts w:ascii="Arial" w:cs="Arial" w:eastAsia="Arial" w:hAnsi="Arial"/>
                <w:sz w:val="15"/>
                <w:szCs w:val="15"/>
                <w:b w:val="1"/>
                <w:bCs w:val="1"/>
                <w:color w:val="auto"/>
              </w:rPr>
              <w:t>Gross</w:t>
            </w: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5"/>
                <w:szCs w:val="15"/>
                <w:b w:val="1"/>
                <w:bCs w:val="1"/>
                <w:color w:val="auto"/>
                <w:w w:val="92"/>
              </w:rPr>
              <w:t>Gross Unrealized Losses</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right="161"/>
              <w:spacing w:after="0" w:line="146" w:lineRule="exact"/>
              <w:rPr>
                <w:sz w:val="20"/>
                <w:szCs w:val="20"/>
                <w:color w:val="auto"/>
              </w:rPr>
            </w:pPr>
            <w:r>
              <w:rPr>
                <w:rFonts w:ascii="Arial" w:cs="Arial" w:eastAsia="Arial" w:hAnsi="Arial"/>
                <w:sz w:val="15"/>
                <w:szCs w:val="15"/>
                <w:b w:val="1"/>
                <w:bCs w:val="1"/>
                <w:color w:val="auto"/>
                <w:w w:val="75"/>
              </w:rPr>
              <w:t>Less</w:t>
            </w:r>
          </w:p>
        </w:tc>
        <w:tc>
          <w:tcPr>
            <w:tcW w:w="240" w:type="dxa"/>
            <w:vAlign w:val="bottom"/>
          </w:tcPr>
          <w:p>
            <w:pPr>
              <w:spacing w:after="0"/>
              <w:rPr>
                <w:sz w:val="12"/>
                <w:szCs w:val="12"/>
                <w:color w:val="auto"/>
              </w:rPr>
            </w:pPr>
          </w:p>
        </w:tc>
        <w:tc>
          <w:tcPr>
            <w:tcW w:w="880" w:type="dxa"/>
            <w:vAlign w:val="bottom"/>
          </w:tcPr>
          <w:p>
            <w:pPr>
              <w:jc w:val="center"/>
              <w:ind w:right="139"/>
              <w:spacing w:after="0" w:line="146" w:lineRule="exact"/>
              <w:rPr>
                <w:sz w:val="20"/>
                <w:szCs w:val="20"/>
                <w:color w:val="auto"/>
              </w:rPr>
            </w:pPr>
            <w:r>
              <w:rPr>
                <w:rFonts w:ascii="Arial" w:cs="Arial" w:eastAsia="Arial" w:hAnsi="Arial"/>
                <w:sz w:val="15"/>
                <w:szCs w:val="15"/>
                <w:b w:val="1"/>
                <w:bCs w:val="1"/>
                <w:color w:val="auto"/>
                <w:w w:val="94"/>
              </w:rPr>
              <w:t>More</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4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89"/>
              </w:rPr>
              <w:t>Amortized</w:t>
            </w:r>
          </w:p>
        </w:tc>
        <w:tc>
          <w:tcPr>
            <w:tcW w:w="220" w:type="dxa"/>
            <w:vAlign w:val="bottom"/>
          </w:tcPr>
          <w:p>
            <w:pPr>
              <w:spacing w:after="0"/>
              <w:rPr>
                <w:sz w:val="13"/>
                <w:szCs w:val="13"/>
                <w:color w:val="auto"/>
              </w:rPr>
            </w:pPr>
          </w:p>
        </w:tc>
        <w:tc>
          <w:tcPr>
            <w:tcW w:w="940" w:type="dxa"/>
            <w:vAlign w:val="bottom"/>
          </w:tcPr>
          <w:p>
            <w:pPr>
              <w:jc w:val="right"/>
              <w:ind w:right="159"/>
              <w:spacing w:after="0" w:line="159" w:lineRule="exact"/>
              <w:rPr>
                <w:sz w:val="20"/>
                <w:szCs w:val="20"/>
                <w:color w:val="auto"/>
              </w:rPr>
            </w:pPr>
            <w:r>
              <w:rPr>
                <w:rFonts w:ascii="Arial" w:cs="Arial" w:eastAsia="Arial" w:hAnsi="Arial"/>
                <w:sz w:val="15"/>
                <w:szCs w:val="15"/>
                <w:b w:val="1"/>
                <w:bCs w:val="1"/>
                <w:color w:val="auto"/>
                <w:w w:val="89"/>
              </w:rPr>
              <w:t>Unrealized</w:t>
            </w:r>
          </w:p>
        </w:tc>
        <w:tc>
          <w:tcPr>
            <w:tcW w:w="240" w:type="dxa"/>
            <w:vAlign w:val="bottom"/>
          </w:tcPr>
          <w:p>
            <w:pPr>
              <w:spacing w:after="0"/>
              <w:rPr>
                <w:sz w:val="13"/>
                <w:szCs w:val="13"/>
                <w:color w:val="auto"/>
              </w:rPr>
            </w:pPr>
          </w:p>
        </w:tc>
        <w:tc>
          <w:tcPr>
            <w:tcW w:w="940" w:type="dxa"/>
            <w:vAlign w:val="bottom"/>
          </w:tcPr>
          <w:p>
            <w:pPr>
              <w:jc w:val="center"/>
              <w:ind w:right="201"/>
              <w:spacing w:after="0" w:line="159" w:lineRule="exact"/>
              <w:rPr>
                <w:sz w:val="20"/>
                <w:szCs w:val="20"/>
                <w:color w:val="auto"/>
              </w:rPr>
            </w:pPr>
            <w:r>
              <w:rPr>
                <w:rFonts w:ascii="Arial" w:cs="Arial" w:eastAsia="Arial" w:hAnsi="Arial"/>
                <w:sz w:val="15"/>
                <w:szCs w:val="15"/>
                <w:b w:val="1"/>
                <w:bCs w:val="1"/>
                <w:color w:val="auto"/>
                <w:w w:val="87"/>
              </w:rPr>
              <w:t>than 12</w:t>
            </w:r>
          </w:p>
        </w:tc>
        <w:tc>
          <w:tcPr>
            <w:tcW w:w="240" w:type="dxa"/>
            <w:vAlign w:val="bottom"/>
          </w:tcPr>
          <w:p>
            <w:pPr>
              <w:spacing w:after="0"/>
              <w:rPr>
                <w:sz w:val="13"/>
                <w:szCs w:val="13"/>
                <w:color w:val="auto"/>
              </w:rPr>
            </w:pPr>
          </w:p>
        </w:tc>
        <w:tc>
          <w:tcPr>
            <w:tcW w:w="880" w:type="dxa"/>
            <w:vAlign w:val="bottom"/>
          </w:tcPr>
          <w:p>
            <w:pPr>
              <w:jc w:val="center"/>
              <w:ind w:right="179"/>
              <w:spacing w:after="0" w:line="159" w:lineRule="exact"/>
              <w:rPr>
                <w:sz w:val="20"/>
                <w:szCs w:val="20"/>
                <w:color w:val="auto"/>
              </w:rPr>
            </w:pPr>
            <w:r>
              <w:rPr>
                <w:rFonts w:ascii="Arial" w:cs="Arial" w:eastAsia="Arial" w:hAnsi="Arial"/>
                <w:sz w:val="15"/>
                <w:szCs w:val="15"/>
                <w:b w:val="1"/>
                <w:bCs w:val="1"/>
                <w:color w:val="auto"/>
                <w:w w:val="87"/>
              </w:rPr>
              <w:t>than 12</w:t>
            </w:r>
          </w:p>
        </w:tc>
        <w:tc>
          <w:tcPr>
            <w:tcW w:w="1240" w:type="dxa"/>
            <w:vAlign w:val="bottom"/>
          </w:tcPr>
          <w:p>
            <w:pPr>
              <w:jc w:val="right"/>
              <w:ind w:right="438"/>
              <w:spacing w:after="0" w:line="159" w:lineRule="exact"/>
              <w:rPr>
                <w:sz w:val="20"/>
                <w:szCs w:val="20"/>
                <w:color w:val="auto"/>
              </w:rPr>
            </w:pPr>
            <w:r>
              <w:rPr>
                <w:rFonts w:ascii="Arial" w:cs="Arial" w:eastAsia="Arial" w:hAnsi="Arial"/>
                <w:sz w:val="15"/>
                <w:szCs w:val="15"/>
                <w:b w:val="1"/>
                <w:bCs w:val="1"/>
                <w:color w:val="auto"/>
              </w:rPr>
              <w:t>Fair</w:t>
            </w:r>
          </w:p>
        </w:tc>
        <w:tc>
          <w:tcPr>
            <w:tcW w:w="1100" w:type="dxa"/>
            <w:vAlign w:val="bottom"/>
            <w:gridSpan w:val="2"/>
          </w:tcPr>
          <w:p>
            <w:pPr>
              <w:jc w:val="center"/>
              <w:ind w:right="120"/>
              <w:spacing w:after="0" w:line="159" w:lineRule="exact"/>
              <w:rPr>
                <w:sz w:val="20"/>
                <w:szCs w:val="20"/>
                <w:color w:val="auto"/>
              </w:rPr>
            </w:pPr>
            <w:r>
              <w:rPr>
                <w:rFonts w:ascii="Arial" w:cs="Arial" w:eastAsia="Arial" w:hAnsi="Arial"/>
                <w:sz w:val="15"/>
                <w:szCs w:val="15"/>
                <w:b w:val="1"/>
                <w:bCs w:val="1"/>
                <w:color w:val="auto"/>
                <w:w w:val="97"/>
              </w:rPr>
              <w:t>% of Fair</w:t>
            </w:r>
          </w:p>
        </w:tc>
        <w:tc>
          <w:tcPr>
            <w:tcW w:w="0" w:type="dxa"/>
            <w:vAlign w:val="bottom"/>
          </w:tcPr>
          <w:p>
            <w:pPr>
              <w:spacing w:after="0"/>
              <w:rPr>
                <w:sz w:val="1"/>
                <w:szCs w:val="1"/>
                <w:color w:val="auto"/>
              </w:rPr>
            </w:pPr>
          </w:p>
        </w:tc>
      </w:tr>
      <w:tr>
        <w:trPr>
          <w:trHeight w:val="179"/>
        </w:trPr>
        <w:tc>
          <w:tcPr>
            <w:tcW w:w="464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220" w:type="dxa"/>
            <w:vAlign w:val="bottom"/>
          </w:tcPr>
          <w:p>
            <w:pPr>
              <w:spacing w:after="0"/>
              <w:rPr>
                <w:sz w:val="15"/>
                <w:szCs w:val="15"/>
                <w:color w:val="auto"/>
              </w:rPr>
            </w:pPr>
          </w:p>
        </w:tc>
        <w:tc>
          <w:tcPr>
            <w:tcW w:w="940" w:type="dxa"/>
            <w:vAlign w:val="bottom"/>
          </w:tcPr>
          <w:p>
            <w:pPr>
              <w:jc w:val="right"/>
              <w:ind w:right="299"/>
              <w:spacing w:after="0"/>
              <w:rPr>
                <w:sz w:val="20"/>
                <w:szCs w:val="20"/>
                <w:color w:val="auto"/>
              </w:rPr>
            </w:pPr>
            <w:r>
              <w:rPr>
                <w:rFonts w:ascii="Arial" w:cs="Arial" w:eastAsia="Arial" w:hAnsi="Arial"/>
                <w:sz w:val="15"/>
                <w:szCs w:val="15"/>
                <w:b w:val="1"/>
                <w:bCs w:val="1"/>
                <w:color w:val="auto"/>
              </w:rPr>
              <w:t>Gains</w:t>
            </w:r>
          </w:p>
        </w:tc>
        <w:tc>
          <w:tcPr>
            <w:tcW w:w="240" w:type="dxa"/>
            <w:vAlign w:val="bottom"/>
          </w:tcPr>
          <w:p>
            <w:pPr>
              <w:spacing w:after="0"/>
              <w:rPr>
                <w:sz w:val="15"/>
                <w:szCs w:val="15"/>
                <w:color w:val="auto"/>
              </w:rPr>
            </w:pPr>
          </w:p>
        </w:tc>
        <w:tc>
          <w:tcPr>
            <w:tcW w:w="940" w:type="dxa"/>
            <w:vAlign w:val="bottom"/>
          </w:tcPr>
          <w:p>
            <w:pPr>
              <w:jc w:val="center"/>
              <w:ind w:right="141"/>
              <w:spacing w:after="0"/>
              <w:rPr>
                <w:sz w:val="20"/>
                <w:szCs w:val="20"/>
                <w:color w:val="auto"/>
              </w:rPr>
            </w:pPr>
            <w:r>
              <w:rPr>
                <w:rFonts w:ascii="Arial" w:cs="Arial" w:eastAsia="Arial" w:hAnsi="Arial"/>
                <w:sz w:val="15"/>
                <w:szCs w:val="15"/>
                <w:b w:val="1"/>
                <w:bCs w:val="1"/>
                <w:color w:val="auto"/>
                <w:w w:val="89"/>
              </w:rPr>
              <w:t>Months</w:t>
            </w:r>
          </w:p>
        </w:tc>
        <w:tc>
          <w:tcPr>
            <w:tcW w:w="240" w:type="dxa"/>
            <w:vAlign w:val="bottom"/>
          </w:tcPr>
          <w:p>
            <w:pPr>
              <w:spacing w:after="0"/>
              <w:rPr>
                <w:sz w:val="15"/>
                <w:szCs w:val="15"/>
                <w:color w:val="auto"/>
              </w:rPr>
            </w:pPr>
          </w:p>
        </w:tc>
        <w:tc>
          <w:tcPr>
            <w:tcW w:w="880" w:type="dxa"/>
            <w:vAlign w:val="bottom"/>
          </w:tcPr>
          <w:p>
            <w:pPr>
              <w:jc w:val="center"/>
              <w:ind w:right="159"/>
              <w:spacing w:after="0"/>
              <w:rPr>
                <w:sz w:val="20"/>
                <w:szCs w:val="20"/>
                <w:color w:val="auto"/>
              </w:rPr>
            </w:pPr>
            <w:r>
              <w:rPr>
                <w:rFonts w:ascii="Arial" w:cs="Arial" w:eastAsia="Arial" w:hAnsi="Arial"/>
                <w:sz w:val="15"/>
                <w:szCs w:val="15"/>
                <w:b w:val="1"/>
                <w:bCs w:val="1"/>
                <w:color w:val="auto"/>
                <w:w w:val="89"/>
              </w:rPr>
              <w:t>Months</w:t>
            </w:r>
          </w:p>
        </w:tc>
        <w:tc>
          <w:tcPr>
            <w:tcW w:w="1240" w:type="dxa"/>
            <w:vAlign w:val="bottom"/>
          </w:tcPr>
          <w:p>
            <w:pPr>
              <w:jc w:val="right"/>
              <w:ind w:right="378"/>
              <w:spacing w:after="0"/>
              <w:rPr>
                <w:sz w:val="20"/>
                <w:szCs w:val="20"/>
                <w:color w:val="auto"/>
              </w:rPr>
            </w:pPr>
            <w:r>
              <w:rPr>
                <w:rFonts w:ascii="Arial" w:cs="Arial" w:eastAsia="Arial" w:hAnsi="Arial"/>
                <w:sz w:val="15"/>
                <w:szCs w:val="15"/>
                <w:b w:val="1"/>
                <w:bCs w:val="1"/>
                <w:color w:val="auto"/>
              </w:rPr>
              <w:t>Value</w:t>
            </w:r>
          </w:p>
        </w:tc>
        <w:tc>
          <w:tcPr>
            <w:tcW w:w="11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4"/>
              </w:rPr>
              <w:t>Value</w:t>
            </w:r>
          </w:p>
        </w:tc>
        <w:tc>
          <w:tcPr>
            <w:tcW w:w="0" w:type="dxa"/>
            <w:vAlign w:val="bottom"/>
          </w:tcPr>
          <w:p>
            <w:pPr>
              <w:spacing w:after="0"/>
              <w:rPr>
                <w:sz w:val="1"/>
                <w:szCs w:val="1"/>
                <w:color w:val="auto"/>
              </w:rPr>
            </w:pPr>
          </w:p>
        </w:tc>
      </w:tr>
      <w:tr>
        <w:trPr>
          <w:trHeight w:val="238"/>
        </w:trPr>
        <w:tc>
          <w:tcPr>
            <w:tcW w:w="4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 and</w:t>
            </w: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4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  8,214,959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(75,222)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  8,139,737</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6,545,242</w:t>
            </w:r>
          </w:p>
        </w:tc>
        <w:tc>
          <w:tcPr>
            <w:tcW w:w="2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7"/>
                <w:szCs w:val="17"/>
                <w:color w:val="auto"/>
              </w:rPr>
              <w:t>26,468</w:t>
            </w:r>
          </w:p>
        </w:tc>
        <w:tc>
          <w:tcPr>
            <w:tcW w:w="2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7"/>
                <w:szCs w:val="17"/>
                <w:color w:val="auto"/>
              </w:rPr>
              <w:t>(63,596)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(50,343)</w:t>
            </w:r>
          </w:p>
        </w:tc>
        <w:tc>
          <w:tcPr>
            <w:tcW w:w="1240" w:type="dxa"/>
            <w:vAlign w:val="bottom"/>
          </w:tcPr>
          <w:p>
            <w:pPr>
              <w:jc w:val="right"/>
              <w:ind w:right="118"/>
              <w:spacing w:after="0"/>
              <w:rPr>
                <w:sz w:val="20"/>
                <w:szCs w:val="20"/>
                <w:color w:val="auto"/>
              </w:rPr>
            </w:pPr>
            <w:r>
              <w:rPr>
                <w:rFonts w:ascii="Arial" w:cs="Arial" w:eastAsia="Arial" w:hAnsi="Arial"/>
                <w:sz w:val="17"/>
                <w:szCs w:val="17"/>
                <w:color w:val="auto"/>
              </w:rPr>
              <w:t>6,457,771</w:t>
            </w:r>
          </w:p>
        </w:tc>
        <w:tc>
          <w:tcPr>
            <w:tcW w:w="1060" w:type="dxa"/>
            <w:vAlign w:val="bottom"/>
          </w:tcPr>
          <w:p>
            <w:pPr>
              <w:jc w:val="right"/>
              <w:spacing w:after="0"/>
              <w:rPr>
                <w:sz w:val="20"/>
                <w:szCs w:val="20"/>
                <w:color w:val="auto"/>
              </w:rPr>
            </w:pPr>
            <w:r>
              <w:rPr>
                <w:rFonts w:ascii="Arial" w:cs="Arial" w:eastAsia="Arial" w:hAnsi="Arial"/>
                <w:sz w:val="17"/>
                <w:szCs w:val="17"/>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106,538,272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87,788</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96"/>
              </w:rPr>
              <w:t>(2,461,966)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(399,360)</w:t>
            </w: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103,764,734</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and other</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200"/>
              <w:spacing w:after="0"/>
              <w:rPr>
                <w:sz w:val="20"/>
                <w:szCs w:val="20"/>
                <w:color w:val="auto"/>
              </w:rPr>
            </w:pPr>
            <w:r>
              <w:rPr>
                <w:rFonts w:ascii="Arial" w:cs="Arial" w:eastAsia="Arial" w:hAnsi="Arial"/>
                <w:sz w:val="17"/>
                <w:szCs w:val="17"/>
                <w:color w:val="auto"/>
              </w:rPr>
              <w:t>asset backed securities (1)</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23,274,361</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288,079</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(99,954)</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(464,193)</w:t>
            </w:r>
          </w:p>
        </w:tc>
        <w:tc>
          <w:tcPr>
            <w:tcW w:w="124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22,998,293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fixed-maturity securities</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144,572,834</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402,335</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w w:val="96"/>
              </w:rPr>
              <w:t>(2,700,738)</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(913,896)</w:t>
            </w:r>
          </w:p>
        </w:tc>
        <w:tc>
          <w:tcPr>
            <w:tcW w:w="12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141,360,535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left="320" w:right="40" w:hanging="314"/>
        <w:spacing w:after="0" w:line="269"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2017, KICO placed certain residential mortgage backed securities as eligible collateral in a designated custodian account related to its membership in the Federal Home Loan Bank of New York ("FHLBNY"). The eligible collateral would be pledged to FHLBNY if KICO draws an advance from the FHBLNY credit line. As of September 30, 2018, the fair value of the eligible investments was $5,790,000. KICO will retain all rights regarding all securities if pledged as collateral. As of September 30, 2018, there was no outstanding balance on the FHLBNY credit line.</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600"/>
          </w:cols>
          <w:pgMar w:left="160" w:top="469" w:right="1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5"/>
                <w:szCs w:val="15"/>
                <w:b w:val="1"/>
                <w:bCs w:val="1"/>
                <w:color w:val="auto"/>
              </w:rPr>
              <w:t>December 31, 2017</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restart"/>
          </w:tcPr>
          <w:p>
            <w:pPr>
              <w:jc w:val="right"/>
              <w:ind w:right="240"/>
              <w:spacing w:after="0"/>
              <w:rPr>
                <w:sz w:val="20"/>
                <w:szCs w:val="20"/>
                <w:color w:val="auto"/>
              </w:rPr>
            </w:pPr>
            <w:r>
              <w:rPr>
                <w:rFonts w:ascii="Arial" w:cs="Arial" w:eastAsia="Arial" w:hAnsi="Arial"/>
                <w:sz w:val="15"/>
                <w:szCs w:val="15"/>
                <w:b w:val="1"/>
                <w:bCs w:val="1"/>
                <w:color w:val="auto"/>
              </w:rPr>
              <w:t>Cost or</w:t>
            </w:r>
          </w:p>
        </w:tc>
        <w:tc>
          <w:tcPr>
            <w:tcW w:w="220" w:type="dxa"/>
            <w:vAlign w:val="bottom"/>
          </w:tcPr>
          <w:p>
            <w:pPr>
              <w:spacing w:after="0"/>
              <w:rPr>
                <w:sz w:val="24"/>
                <w:szCs w:val="24"/>
                <w:color w:val="auto"/>
              </w:rPr>
            </w:pPr>
          </w:p>
        </w:tc>
        <w:tc>
          <w:tcPr>
            <w:tcW w:w="940" w:type="dxa"/>
            <w:vAlign w:val="bottom"/>
            <w:vMerge w:val="restart"/>
          </w:tcPr>
          <w:p>
            <w:pPr>
              <w:jc w:val="right"/>
              <w:ind w:right="279"/>
              <w:spacing w:after="0"/>
              <w:rPr>
                <w:sz w:val="20"/>
                <w:szCs w:val="20"/>
                <w:color w:val="auto"/>
              </w:rPr>
            </w:pPr>
            <w:r>
              <w:rPr>
                <w:rFonts w:ascii="Arial" w:cs="Arial" w:eastAsia="Arial" w:hAnsi="Arial"/>
                <w:sz w:val="15"/>
                <w:szCs w:val="15"/>
                <w:b w:val="1"/>
                <w:bCs w:val="1"/>
                <w:color w:val="auto"/>
              </w:rPr>
              <w:t>Gross</w:t>
            </w: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5"/>
                <w:szCs w:val="15"/>
                <w:b w:val="1"/>
                <w:bCs w:val="1"/>
                <w:color w:val="auto"/>
                <w:w w:val="90"/>
              </w:rPr>
              <w:t>Gross Unrealized Losses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right="441"/>
              <w:spacing w:after="0" w:line="146" w:lineRule="exact"/>
              <w:rPr>
                <w:sz w:val="20"/>
                <w:szCs w:val="20"/>
                <w:color w:val="auto"/>
              </w:rPr>
            </w:pPr>
            <w:r>
              <w:rPr>
                <w:rFonts w:ascii="Arial" w:cs="Arial" w:eastAsia="Arial" w:hAnsi="Arial"/>
                <w:sz w:val="15"/>
                <w:szCs w:val="15"/>
                <w:b w:val="1"/>
                <w:bCs w:val="1"/>
                <w:color w:val="auto"/>
                <w:w w:val="75"/>
              </w:rPr>
              <w:t>Less</w:t>
            </w:r>
          </w:p>
        </w:tc>
        <w:tc>
          <w:tcPr>
            <w:tcW w:w="880" w:type="dxa"/>
            <w:vAlign w:val="bottom"/>
          </w:tcPr>
          <w:p>
            <w:pPr>
              <w:jc w:val="center"/>
              <w:ind w:right="139"/>
              <w:spacing w:after="0" w:line="146" w:lineRule="exact"/>
              <w:rPr>
                <w:sz w:val="20"/>
                <w:szCs w:val="20"/>
                <w:color w:val="auto"/>
              </w:rPr>
            </w:pPr>
            <w:r>
              <w:rPr>
                <w:rFonts w:ascii="Arial" w:cs="Arial" w:eastAsia="Arial" w:hAnsi="Arial"/>
                <w:sz w:val="15"/>
                <w:szCs w:val="15"/>
                <w:b w:val="1"/>
                <w:bCs w:val="1"/>
                <w:color w:val="auto"/>
                <w:w w:val="94"/>
              </w:rPr>
              <w:t>More</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160"/>
              <w:spacing w:after="0" w:line="159" w:lineRule="exact"/>
              <w:rPr>
                <w:sz w:val="20"/>
                <w:szCs w:val="20"/>
                <w:color w:val="auto"/>
              </w:rPr>
            </w:pPr>
            <w:r>
              <w:rPr>
                <w:rFonts w:ascii="Arial" w:cs="Arial" w:eastAsia="Arial" w:hAnsi="Arial"/>
                <w:sz w:val="15"/>
                <w:szCs w:val="15"/>
                <w:b w:val="1"/>
                <w:bCs w:val="1"/>
                <w:color w:val="auto"/>
                <w:w w:val="92"/>
              </w:rPr>
              <w:t>Amortized</w:t>
            </w:r>
          </w:p>
        </w:tc>
        <w:tc>
          <w:tcPr>
            <w:tcW w:w="220" w:type="dxa"/>
            <w:vAlign w:val="bottom"/>
          </w:tcPr>
          <w:p>
            <w:pPr>
              <w:spacing w:after="0"/>
              <w:rPr>
                <w:sz w:val="13"/>
                <w:szCs w:val="13"/>
                <w:color w:val="auto"/>
              </w:rPr>
            </w:pPr>
          </w:p>
        </w:tc>
        <w:tc>
          <w:tcPr>
            <w:tcW w:w="940" w:type="dxa"/>
            <w:vAlign w:val="bottom"/>
          </w:tcPr>
          <w:p>
            <w:pPr>
              <w:jc w:val="right"/>
              <w:ind w:right="159"/>
              <w:spacing w:after="0" w:line="159" w:lineRule="exact"/>
              <w:rPr>
                <w:sz w:val="20"/>
                <w:szCs w:val="20"/>
                <w:color w:val="auto"/>
              </w:rPr>
            </w:pPr>
            <w:r>
              <w:rPr>
                <w:rFonts w:ascii="Arial" w:cs="Arial" w:eastAsia="Arial" w:hAnsi="Arial"/>
                <w:sz w:val="15"/>
                <w:szCs w:val="15"/>
                <w:b w:val="1"/>
                <w:bCs w:val="1"/>
                <w:color w:val="auto"/>
                <w:w w:val="89"/>
              </w:rPr>
              <w:t>Unrealized</w:t>
            </w:r>
          </w:p>
        </w:tc>
        <w:tc>
          <w:tcPr>
            <w:tcW w:w="280" w:type="dxa"/>
            <w:vAlign w:val="bottom"/>
          </w:tcPr>
          <w:p>
            <w:pPr>
              <w:spacing w:after="0"/>
              <w:rPr>
                <w:sz w:val="13"/>
                <w:szCs w:val="13"/>
                <w:color w:val="auto"/>
              </w:rPr>
            </w:pPr>
          </w:p>
        </w:tc>
        <w:tc>
          <w:tcPr>
            <w:tcW w:w="1140" w:type="dxa"/>
            <w:vAlign w:val="bottom"/>
          </w:tcPr>
          <w:p>
            <w:pPr>
              <w:jc w:val="center"/>
              <w:ind w:right="481"/>
              <w:spacing w:after="0" w:line="159" w:lineRule="exact"/>
              <w:rPr>
                <w:sz w:val="20"/>
                <w:szCs w:val="20"/>
                <w:color w:val="auto"/>
              </w:rPr>
            </w:pPr>
            <w:r>
              <w:rPr>
                <w:rFonts w:ascii="Arial" w:cs="Arial" w:eastAsia="Arial" w:hAnsi="Arial"/>
                <w:sz w:val="15"/>
                <w:szCs w:val="15"/>
                <w:b w:val="1"/>
                <w:bCs w:val="1"/>
                <w:color w:val="auto"/>
                <w:w w:val="87"/>
              </w:rPr>
              <w:t>than 12</w:t>
            </w:r>
          </w:p>
        </w:tc>
        <w:tc>
          <w:tcPr>
            <w:tcW w:w="880" w:type="dxa"/>
            <w:vAlign w:val="bottom"/>
          </w:tcPr>
          <w:p>
            <w:pPr>
              <w:jc w:val="center"/>
              <w:ind w:right="179"/>
              <w:spacing w:after="0" w:line="159" w:lineRule="exact"/>
              <w:rPr>
                <w:sz w:val="20"/>
                <w:szCs w:val="20"/>
                <w:color w:val="auto"/>
              </w:rPr>
            </w:pPr>
            <w:r>
              <w:rPr>
                <w:rFonts w:ascii="Arial" w:cs="Arial" w:eastAsia="Arial" w:hAnsi="Arial"/>
                <w:sz w:val="15"/>
                <w:szCs w:val="15"/>
                <w:b w:val="1"/>
                <w:bCs w:val="1"/>
                <w:color w:val="auto"/>
                <w:w w:val="87"/>
              </w:rPr>
              <w:t>than 12</w:t>
            </w:r>
          </w:p>
        </w:tc>
        <w:tc>
          <w:tcPr>
            <w:tcW w:w="240" w:type="dxa"/>
            <w:vAlign w:val="bottom"/>
          </w:tcPr>
          <w:p>
            <w:pPr>
              <w:spacing w:after="0"/>
              <w:rPr>
                <w:sz w:val="13"/>
                <w:szCs w:val="13"/>
                <w:color w:val="auto"/>
              </w:rPr>
            </w:pPr>
          </w:p>
        </w:tc>
        <w:tc>
          <w:tcPr>
            <w:tcW w:w="1000" w:type="dxa"/>
            <w:vAlign w:val="bottom"/>
          </w:tcPr>
          <w:p>
            <w:pPr>
              <w:jc w:val="right"/>
              <w:ind w:right="438"/>
              <w:spacing w:after="0" w:line="159" w:lineRule="exact"/>
              <w:rPr>
                <w:sz w:val="20"/>
                <w:szCs w:val="20"/>
                <w:color w:val="auto"/>
              </w:rPr>
            </w:pPr>
            <w:r>
              <w:rPr>
                <w:rFonts w:ascii="Arial" w:cs="Arial" w:eastAsia="Arial" w:hAnsi="Arial"/>
                <w:sz w:val="15"/>
                <w:szCs w:val="15"/>
                <w:b w:val="1"/>
                <w:bCs w:val="1"/>
                <w:color w:val="auto"/>
              </w:rPr>
              <w:t>Fair</w:t>
            </w:r>
          </w:p>
        </w:tc>
        <w:tc>
          <w:tcPr>
            <w:tcW w:w="1100" w:type="dxa"/>
            <w:vAlign w:val="bottom"/>
            <w:gridSpan w:val="2"/>
          </w:tcPr>
          <w:p>
            <w:pPr>
              <w:jc w:val="center"/>
              <w:ind w:right="120"/>
              <w:spacing w:after="0" w:line="159" w:lineRule="exact"/>
              <w:rPr>
                <w:sz w:val="20"/>
                <w:szCs w:val="20"/>
                <w:color w:val="auto"/>
              </w:rPr>
            </w:pPr>
            <w:r>
              <w:rPr>
                <w:rFonts w:ascii="Arial" w:cs="Arial" w:eastAsia="Arial" w:hAnsi="Arial"/>
                <w:sz w:val="15"/>
                <w:szCs w:val="15"/>
                <w:b w:val="1"/>
                <w:bCs w:val="1"/>
                <w:color w:val="auto"/>
                <w:w w:val="97"/>
              </w:rPr>
              <w:t>% of Fair</w:t>
            </w:r>
          </w:p>
        </w:tc>
        <w:tc>
          <w:tcPr>
            <w:tcW w:w="0" w:type="dxa"/>
            <w:vAlign w:val="bottom"/>
          </w:tcPr>
          <w:p>
            <w:pPr>
              <w:spacing w:after="0"/>
              <w:rPr>
                <w:sz w:val="1"/>
                <w:szCs w:val="1"/>
                <w:color w:val="auto"/>
              </w:rPr>
            </w:pPr>
          </w:p>
        </w:tc>
      </w:tr>
      <w:tr>
        <w:trPr>
          <w:trHeight w:val="179"/>
        </w:trPr>
        <w:tc>
          <w:tcPr>
            <w:tcW w:w="464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20" w:type="dxa"/>
            <w:vAlign w:val="bottom"/>
          </w:tcPr>
          <w:p>
            <w:pPr>
              <w:spacing w:after="0"/>
              <w:rPr>
                <w:sz w:val="15"/>
                <w:szCs w:val="15"/>
                <w:color w:val="auto"/>
              </w:rPr>
            </w:pPr>
          </w:p>
        </w:tc>
        <w:tc>
          <w:tcPr>
            <w:tcW w:w="940" w:type="dxa"/>
            <w:vAlign w:val="bottom"/>
          </w:tcPr>
          <w:p>
            <w:pPr>
              <w:jc w:val="right"/>
              <w:ind w:right="340"/>
              <w:spacing w:after="0"/>
              <w:rPr>
                <w:sz w:val="20"/>
                <w:szCs w:val="20"/>
                <w:color w:val="auto"/>
              </w:rPr>
            </w:pPr>
            <w:r>
              <w:rPr>
                <w:rFonts w:ascii="Arial" w:cs="Arial" w:eastAsia="Arial" w:hAnsi="Arial"/>
                <w:sz w:val="15"/>
                <w:szCs w:val="15"/>
                <w:b w:val="1"/>
                <w:bCs w:val="1"/>
                <w:color w:val="auto"/>
              </w:rPr>
              <w:t>Cos</w:t>
            </w:r>
            <w:r>
              <w:rPr>
                <w:rFonts w:ascii="Arial" w:cs="Arial" w:eastAsia="Arial" w:hAnsi="Arial"/>
                <w:sz w:val="15"/>
                <w:szCs w:val="15"/>
                <w:color w:val="auto"/>
              </w:rPr>
              <w:t>t</w:t>
            </w:r>
          </w:p>
        </w:tc>
        <w:tc>
          <w:tcPr>
            <w:tcW w:w="220" w:type="dxa"/>
            <w:vAlign w:val="bottom"/>
          </w:tcPr>
          <w:p>
            <w:pPr>
              <w:spacing w:after="0"/>
              <w:rPr>
                <w:sz w:val="15"/>
                <w:szCs w:val="15"/>
                <w:color w:val="auto"/>
              </w:rPr>
            </w:pPr>
          </w:p>
        </w:tc>
        <w:tc>
          <w:tcPr>
            <w:tcW w:w="940" w:type="dxa"/>
            <w:vAlign w:val="bottom"/>
          </w:tcPr>
          <w:p>
            <w:pPr>
              <w:jc w:val="right"/>
              <w:ind w:right="299"/>
              <w:spacing w:after="0"/>
              <w:rPr>
                <w:sz w:val="20"/>
                <w:szCs w:val="20"/>
                <w:color w:val="auto"/>
              </w:rPr>
            </w:pPr>
            <w:r>
              <w:rPr>
                <w:rFonts w:ascii="Arial" w:cs="Arial" w:eastAsia="Arial" w:hAnsi="Arial"/>
                <w:sz w:val="15"/>
                <w:szCs w:val="15"/>
                <w:b w:val="1"/>
                <w:bCs w:val="1"/>
                <w:color w:val="auto"/>
              </w:rPr>
              <w:t>Gains</w:t>
            </w:r>
          </w:p>
        </w:tc>
        <w:tc>
          <w:tcPr>
            <w:tcW w:w="280" w:type="dxa"/>
            <w:vAlign w:val="bottom"/>
          </w:tcPr>
          <w:p>
            <w:pPr>
              <w:spacing w:after="0"/>
              <w:rPr>
                <w:sz w:val="15"/>
                <w:szCs w:val="15"/>
                <w:color w:val="auto"/>
              </w:rPr>
            </w:pPr>
          </w:p>
        </w:tc>
        <w:tc>
          <w:tcPr>
            <w:tcW w:w="1140" w:type="dxa"/>
            <w:vAlign w:val="bottom"/>
          </w:tcPr>
          <w:p>
            <w:pPr>
              <w:jc w:val="center"/>
              <w:ind w:right="421"/>
              <w:spacing w:after="0"/>
              <w:rPr>
                <w:sz w:val="20"/>
                <w:szCs w:val="20"/>
                <w:color w:val="auto"/>
              </w:rPr>
            </w:pPr>
            <w:r>
              <w:rPr>
                <w:rFonts w:ascii="Arial" w:cs="Arial" w:eastAsia="Arial" w:hAnsi="Arial"/>
                <w:sz w:val="15"/>
                <w:szCs w:val="15"/>
                <w:b w:val="1"/>
                <w:bCs w:val="1"/>
                <w:color w:val="auto"/>
                <w:w w:val="89"/>
              </w:rPr>
              <w:t>Months</w:t>
            </w:r>
          </w:p>
        </w:tc>
        <w:tc>
          <w:tcPr>
            <w:tcW w:w="880" w:type="dxa"/>
            <w:vAlign w:val="bottom"/>
          </w:tcPr>
          <w:p>
            <w:pPr>
              <w:jc w:val="center"/>
              <w:ind w:right="159"/>
              <w:spacing w:after="0"/>
              <w:rPr>
                <w:sz w:val="20"/>
                <w:szCs w:val="20"/>
                <w:color w:val="auto"/>
              </w:rPr>
            </w:pPr>
            <w:r>
              <w:rPr>
                <w:rFonts w:ascii="Arial" w:cs="Arial" w:eastAsia="Arial" w:hAnsi="Arial"/>
                <w:sz w:val="15"/>
                <w:szCs w:val="15"/>
                <w:b w:val="1"/>
                <w:bCs w:val="1"/>
                <w:color w:val="auto"/>
                <w:w w:val="89"/>
              </w:rPr>
              <w:t>Months</w:t>
            </w:r>
          </w:p>
        </w:tc>
        <w:tc>
          <w:tcPr>
            <w:tcW w:w="240" w:type="dxa"/>
            <w:vAlign w:val="bottom"/>
          </w:tcPr>
          <w:p>
            <w:pPr>
              <w:spacing w:after="0"/>
              <w:rPr>
                <w:sz w:val="15"/>
                <w:szCs w:val="15"/>
                <w:color w:val="auto"/>
              </w:rPr>
            </w:pPr>
          </w:p>
        </w:tc>
        <w:tc>
          <w:tcPr>
            <w:tcW w:w="1000" w:type="dxa"/>
            <w:vAlign w:val="bottom"/>
          </w:tcPr>
          <w:p>
            <w:pPr>
              <w:jc w:val="right"/>
              <w:ind w:right="378"/>
              <w:spacing w:after="0"/>
              <w:rPr>
                <w:sz w:val="20"/>
                <w:szCs w:val="20"/>
                <w:color w:val="auto"/>
              </w:rPr>
            </w:pPr>
            <w:r>
              <w:rPr>
                <w:rFonts w:ascii="Arial" w:cs="Arial" w:eastAsia="Arial" w:hAnsi="Arial"/>
                <w:sz w:val="15"/>
                <w:szCs w:val="15"/>
                <w:b w:val="1"/>
                <w:bCs w:val="1"/>
                <w:color w:val="auto"/>
              </w:rPr>
              <w:t>Value</w:t>
            </w:r>
          </w:p>
        </w:tc>
        <w:tc>
          <w:tcPr>
            <w:tcW w:w="11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4"/>
              </w:rPr>
              <w:t>Value</w:t>
            </w:r>
          </w:p>
        </w:tc>
        <w:tc>
          <w:tcPr>
            <w:tcW w:w="0" w:type="dxa"/>
            <w:vAlign w:val="bottom"/>
          </w:tcPr>
          <w:p>
            <w:pPr>
              <w:spacing w:after="0"/>
              <w:rPr>
                <w:sz w:val="1"/>
                <w:szCs w:val="1"/>
                <w:color w:val="auto"/>
              </w:rPr>
            </w:pPr>
          </w:p>
        </w:tc>
      </w:tr>
      <w:tr>
        <w:trPr>
          <w:trHeight w:val="238"/>
        </w:trPr>
        <w:tc>
          <w:tcPr>
            <w:tcW w:w="46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 and</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4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7"/>
                <w:szCs w:val="17"/>
                <w:color w:val="auto"/>
                <w:w w:val="93"/>
              </w:rPr>
              <w:t>11,096,122</w:t>
            </w:r>
          </w:p>
        </w:tc>
        <w:tc>
          <w:tcPr>
            <w:tcW w:w="2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7"/>
                <w:szCs w:val="17"/>
                <w:color w:val="auto"/>
              </w:rPr>
              <w:t>250,135</w:t>
            </w:r>
          </w:p>
        </w:tc>
        <w:tc>
          <w:tcPr>
            <w:tcW w:w="280" w:type="dxa"/>
            <w:vAlign w:val="bottom"/>
          </w:tcPr>
          <w:p>
            <w:pPr>
              <w:spacing w:after="0"/>
              <w:rPr>
                <w:sz w:val="18"/>
                <w:szCs w:val="18"/>
                <w:color w:val="auto"/>
              </w:rPr>
            </w:pPr>
          </w:p>
        </w:tc>
        <w:tc>
          <w:tcPr>
            <w:tcW w:w="1140" w:type="dxa"/>
            <w:vAlign w:val="bottom"/>
          </w:tcPr>
          <w:p>
            <w:pPr>
              <w:jc w:val="right"/>
              <w:ind w:right="241"/>
              <w:spacing w:after="0"/>
              <w:rPr>
                <w:sz w:val="20"/>
                <w:szCs w:val="20"/>
                <w:color w:val="auto"/>
              </w:rPr>
            </w:pPr>
            <w:r>
              <w:rPr>
                <w:rFonts w:ascii="Arial" w:cs="Arial" w:eastAsia="Arial" w:hAnsi="Arial"/>
                <w:sz w:val="17"/>
                <w:szCs w:val="17"/>
                <w:color w:val="auto"/>
              </w:rPr>
              <w:t>(30,814)</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0" w:type="dxa"/>
            <w:vAlign w:val="bottom"/>
          </w:tcPr>
          <w:p>
            <w:pPr>
              <w:jc w:val="right"/>
              <w:ind w:right="118"/>
              <w:spacing w:after="0"/>
              <w:rPr>
                <w:sz w:val="20"/>
                <w:szCs w:val="20"/>
                <w:color w:val="auto"/>
              </w:rPr>
            </w:pPr>
            <w:r>
              <w:rPr>
                <w:rFonts w:ascii="Arial" w:cs="Arial" w:eastAsia="Arial" w:hAnsi="Arial"/>
                <w:sz w:val="17"/>
                <w:szCs w:val="17"/>
                <w:color w:val="auto"/>
                <w:w w:val="91"/>
              </w:rPr>
              <w:t>11,315,443</w:t>
            </w:r>
          </w:p>
        </w:tc>
        <w:tc>
          <w:tcPr>
            <w:tcW w:w="1060" w:type="dxa"/>
            <w:vAlign w:val="bottom"/>
          </w:tcPr>
          <w:p>
            <w:pPr>
              <w:jc w:val="right"/>
              <w:spacing w:after="0"/>
              <w:rPr>
                <w:sz w:val="20"/>
                <w:szCs w:val="20"/>
                <w:color w:val="auto"/>
              </w:rPr>
            </w:pPr>
            <w:r>
              <w:rPr>
                <w:rFonts w:ascii="Arial" w:cs="Arial" w:eastAsia="Arial" w:hAnsi="Arial"/>
                <w:sz w:val="17"/>
                <w:szCs w:val="17"/>
                <w:color w:val="auto"/>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w w:val="93"/>
              </w:rPr>
              <w:t>87,562,631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1,189,207</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41"/>
              <w:spacing w:after="0"/>
              <w:rPr>
                <w:sz w:val="20"/>
                <w:szCs w:val="20"/>
                <w:color w:val="auto"/>
              </w:rPr>
            </w:pPr>
            <w:r>
              <w:rPr>
                <w:rFonts w:ascii="Arial" w:cs="Arial" w:eastAsia="Arial" w:hAnsi="Arial"/>
                <w:sz w:val="17"/>
                <w:szCs w:val="17"/>
                <w:color w:val="auto"/>
              </w:rPr>
              <w:t>(269,857)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(340,516)</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w w:val="91"/>
              </w:rPr>
              <w:t>88,141,465</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and 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200"/>
              <w:spacing w:after="0"/>
              <w:rPr>
                <w:sz w:val="20"/>
                <w:szCs w:val="20"/>
                <w:color w:val="auto"/>
              </w:rPr>
            </w:pPr>
            <w:r>
              <w:rPr>
                <w:rFonts w:ascii="Arial" w:cs="Arial" w:eastAsia="Arial" w:hAnsi="Arial"/>
                <w:sz w:val="17"/>
                <w:szCs w:val="17"/>
                <w:color w:val="auto"/>
              </w:rPr>
              <w:t>asset backed securities (1)</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w w:val="93"/>
              </w:rPr>
              <w:t>20,463,353</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305,499</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41"/>
              <w:spacing w:after="0"/>
              <w:rPr>
                <w:sz w:val="20"/>
                <w:szCs w:val="20"/>
                <w:color w:val="auto"/>
              </w:rPr>
            </w:pPr>
            <w:r>
              <w:rPr>
                <w:rFonts w:ascii="Arial" w:cs="Arial" w:eastAsia="Arial" w:hAnsi="Arial"/>
                <w:sz w:val="17"/>
                <w:szCs w:val="17"/>
                <w:color w:val="auto"/>
              </w:rPr>
              <w:t>(48,482)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(189,022)</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w w:val="91"/>
              </w:rPr>
              <w:t>20,531,348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fixed-maturity securities</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119,122,106</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1,744,841</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7"/>
                <w:szCs w:val="17"/>
                <w:color w:val="auto"/>
              </w:rPr>
              <w:t>(349,153)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(529,538)</w:t>
            </w:r>
          </w:p>
        </w:tc>
        <w:tc>
          <w:tcPr>
            <w:tcW w:w="1240" w:type="dxa"/>
            <w:vAlign w:val="bottom"/>
            <w:tcBorders>
              <w:bottom w:val="single" w:sz="8" w:color="auto"/>
            </w:tcBorders>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119,988,256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left="320" w:right="40" w:hanging="314"/>
        <w:spacing w:after="0" w:line="269" w:lineRule="auto"/>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2017, KICO placed certain residential mortgage backed securities as eligible collateral in a designated custodian account related to its membership in the FHLBNY. The eligible collateral would be pledged to FHLBNY if KICO draws an advance from the FHBLNY credit line. As of December 31, 2017, the fair value of the eligible investments was $6,703,000. KICO will retain all rights regarding all securities if pledged as collateral. As of December 31, 2017, there was no outstanding balance on the FHLBNY credit line.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Equity Securities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presents a breakdown of the cost, fair value, and gross gains and losses of investments in equity securities as of September 30, 2018 and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88"/>
              </w:rPr>
              <w:t>September 30, 2018</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6"/>
        </w:trPr>
        <w:tc>
          <w:tcPr>
            <w:tcW w:w="39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jc w:val="center"/>
              <w:ind w:right="21"/>
              <w:spacing w:after="0" w:line="146" w:lineRule="exact"/>
              <w:rPr>
                <w:sz w:val="20"/>
                <w:szCs w:val="20"/>
                <w:color w:val="auto"/>
              </w:rPr>
            </w:pPr>
            <w:r>
              <w:rPr>
                <w:rFonts w:ascii="Arial" w:cs="Arial" w:eastAsia="Arial" w:hAnsi="Arial"/>
                <w:sz w:val="15"/>
                <w:szCs w:val="15"/>
                <w:b w:val="1"/>
                <w:bCs w:val="1"/>
                <w:color w:val="auto"/>
                <w:w w:val="94"/>
              </w:rPr>
              <w:t>% of</w:t>
            </w:r>
          </w:p>
        </w:tc>
        <w:tc>
          <w:tcPr>
            <w:tcW w:w="40" w:type="dxa"/>
            <w:vAlign w:val="bottom"/>
          </w:tcPr>
          <w:p>
            <w:pPr>
              <w:spacing w:after="0"/>
              <w:rPr>
                <w:sz w:val="12"/>
                <w:szCs w:val="12"/>
                <w:color w:val="auto"/>
              </w:rPr>
            </w:pPr>
          </w:p>
        </w:tc>
      </w:tr>
      <w:tr>
        <w:trPr>
          <w:trHeight w:val="159"/>
        </w:trPr>
        <w:tc>
          <w:tcPr>
            <w:tcW w:w="39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19"/>
              <w:spacing w:after="0" w:line="159" w:lineRule="exact"/>
              <w:rPr>
                <w:sz w:val="20"/>
                <w:szCs w:val="20"/>
                <w:color w:val="auto"/>
              </w:rPr>
            </w:pPr>
            <w:r>
              <w:rPr>
                <w:rFonts w:ascii="Arial" w:cs="Arial" w:eastAsia="Arial" w:hAnsi="Arial"/>
                <w:sz w:val="15"/>
                <w:szCs w:val="15"/>
                <w:b w:val="1"/>
                <w:bCs w:val="1"/>
                <w:color w:val="auto"/>
              </w:rPr>
              <w:t>Gross</w:t>
            </w:r>
          </w:p>
        </w:tc>
        <w:tc>
          <w:tcPr>
            <w:tcW w:w="360" w:type="dxa"/>
            <w:vAlign w:val="bottom"/>
          </w:tcPr>
          <w:p>
            <w:pPr>
              <w:spacing w:after="0"/>
              <w:rPr>
                <w:sz w:val="13"/>
                <w:szCs w:val="13"/>
                <w:color w:val="auto"/>
              </w:rPr>
            </w:pPr>
          </w:p>
        </w:tc>
        <w:tc>
          <w:tcPr>
            <w:tcW w:w="940" w:type="dxa"/>
            <w:vAlign w:val="bottom"/>
          </w:tcPr>
          <w:p>
            <w:pPr>
              <w:ind w:left="120"/>
              <w:spacing w:after="0" w:line="159" w:lineRule="exact"/>
              <w:rPr>
                <w:sz w:val="20"/>
                <w:szCs w:val="20"/>
                <w:color w:val="auto"/>
              </w:rPr>
            </w:pPr>
            <w:r>
              <w:rPr>
                <w:rFonts w:ascii="Arial" w:cs="Arial" w:eastAsia="Arial" w:hAnsi="Arial"/>
                <w:sz w:val="15"/>
                <w:szCs w:val="15"/>
                <w:b w:val="1"/>
                <w:bCs w:val="1"/>
                <w:color w:val="auto"/>
              </w:rPr>
              <w:t>Gross</w:t>
            </w:r>
          </w:p>
        </w:tc>
        <w:tc>
          <w:tcPr>
            <w:tcW w:w="160" w:type="dxa"/>
            <w:vAlign w:val="bottom"/>
          </w:tcPr>
          <w:p>
            <w:pPr>
              <w:spacing w:after="0"/>
              <w:rPr>
                <w:sz w:val="13"/>
                <w:szCs w:val="13"/>
                <w:color w:val="auto"/>
              </w:rPr>
            </w:pPr>
          </w:p>
        </w:tc>
        <w:tc>
          <w:tcPr>
            <w:tcW w:w="1060" w:type="dxa"/>
            <w:vAlign w:val="bottom"/>
          </w:tcPr>
          <w:p>
            <w:pPr>
              <w:jc w:val="center"/>
              <w:ind w:right="279"/>
              <w:spacing w:after="0" w:line="159" w:lineRule="exact"/>
              <w:rPr>
                <w:sz w:val="20"/>
                <w:szCs w:val="20"/>
                <w:color w:val="auto"/>
              </w:rPr>
            </w:pPr>
            <w:r>
              <w:rPr>
                <w:rFonts w:ascii="Arial" w:cs="Arial" w:eastAsia="Arial" w:hAnsi="Arial"/>
                <w:sz w:val="15"/>
                <w:szCs w:val="15"/>
                <w:b w:val="1"/>
                <w:bCs w:val="1"/>
                <w:color w:val="auto"/>
                <w:w w:val="94"/>
              </w:rPr>
              <w:t>Fair</w:t>
            </w:r>
          </w:p>
        </w:tc>
        <w:tc>
          <w:tcPr>
            <w:tcW w:w="1040" w:type="dxa"/>
            <w:vAlign w:val="bottom"/>
            <w:gridSpan w:val="2"/>
          </w:tcPr>
          <w:p>
            <w:pPr>
              <w:jc w:val="center"/>
              <w:ind w:right="140"/>
              <w:spacing w:after="0" w:line="159" w:lineRule="exact"/>
              <w:rPr>
                <w:sz w:val="20"/>
                <w:szCs w:val="20"/>
                <w:color w:val="auto"/>
              </w:rPr>
            </w:pPr>
            <w:r>
              <w:rPr>
                <w:rFonts w:ascii="Arial" w:cs="Arial" w:eastAsia="Arial" w:hAnsi="Arial"/>
                <w:sz w:val="15"/>
                <w:szCs w:val="15"/>
                <w:b w:val="1"/>
                <w:bCs w:val="1"/>
                <w:color w:val="auto"/>
                <w:w w:val="94"/>
              </w:rPr>
              <w:t>Fair</w:t>
            </w:r>
          </w:p>
        </w:tc>
      </w:tr>
      <w:tr>
        <w:trPr>
          <w:trHeight w:val="179"/>
        </w:trPr>
        <w:tc>
          <w:tcPr>
            <w:tcW w:w="392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37"/>
              <w:spacing w:after="0"/>
              <w:rPr>
                <w:sz w:val="20"/>
                <w:szCs w:val="20"/>
                <w:color w:val="auto"/>
              </w:rPr>
            </w:pPr>
            <w:r>
              <w:rPr>
                <w:rFonts w:ascii="Arial" w:cs="Arial" w:eastAsia="Arial" w:hAnsi="Arial"/>
                <w:sz w:val="15"/>
                <w:szCs w:val="15"/>
                <w:b w:val="1"/>
                <w:bCs w:val="1"/>
                <w:color w:val="auto"/>
              </w:rPr>
              <w:t>Cost</w:t>
            </w:r>
          </w:p>
        </w:tc>
        <w:tc>
          <w:tcPr>
            <w:tcW w:w="280" w:type="dxa"/>
            <w:vAlign w:val="bottom"/>
          </w:tcPr>
          <w:p>
            <w:pPr>
              <w:spacing w:after="0"/>
              <w:rPr>
                <w:sz w:val="15"/>
                <w:szCs w:val="15"/>
                <w:color w:val="auto"/>
              </w:rPr>
            </w:pPr>
          </w:p>
        </w:tc>
        <w:tc>
          <w:tcPr>
            <w:tcW w:w="800" w:type="dxa"/>
            <w:vAlign w:val="bottom"/>
          </w:tcPr>
          <w:p>
            <w:pPr>
              <w:jc w:val="right"/>
              <w:ind w:right="219"/>
              <w:spacing w:after="0"/>
              <w:rPr>
                <w:sz w:val="20"/>
                <w:szCs w:val="20"/>
                <w:color w:val="auto"/>
              </w:rPr>
            </w:pPr>
            <w:r>
              <w:rPr>
                <w:rFonts w:ascii="Arial" w:cs="Arial" w:eastAsia="Arial" w:hAnsi="Arial"/>
                <w:sz w:val="15"/>
                <w:szCs w:val="15"/>
                <w:b w:val="1"/>
                <w:bCs w:val="1"/>
                <w:color w:val="auto"/>
              </w:rPr>
              <w:t>Gains</w:t>
            </w:r>
          </w:p>
        </w:tc>
        <w:tc>
          <w:tcPr>
            <w:tcW w:w="36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Arial" w:cs="Arial" w:eastAsia="Arial" w:hAnsi="Arial"/>
                <w:sz w:val="15"/>
                <w:szCs w:val="15"/>
                <w:b w:val="1"/>
                <w:bCs w:val="1"/>
                <w:color w:val="auto"/>
              </w:rPr>
              <w:t>Losses</w:t>
            </w:r>
          </w:p>
        </w:tc>
        <w:tc>
          <w:tcPr>
            <w:tcW w:w="160" w:type="dxa"/>
            <w:vAlign w:val="bottom"/>
          </w:tcPr>
          <w:p>
            <w:pPr>
              <w:spacing w:after="0"/>
              <w:rPr>
                <w:sz w:val="15"/>
                <w:szCs w:val="15"/>
                <w:color w:val="auto"/>
              </w:rPr>
            </w:pPr>
          </w:p>
        </w:tc>
        <w:tc>
          <w:tcPr>
            <w:tcW w:w="1060" w:type="dxa"/>
            <w:vAlign w:val="bottom"/>
          </w:tcPr>
          <w:p>
            <w:pPr>
              <w:jc w:val="center"/>
              <w:ind w:right="259"/>
              <w:spacing w:after="0"/>
              <w:rPr>
                <w:sz w:val="20"/>
                <w:szCs w:val="20"/>
                <w:color w:val="auto"/>
              </w:rPr>
            </w:pPr>
            <w:r>
              <w:rPr>
                <w:rFonts w:ascii="Arial" w:cs="Arial" w:eastAsia="Arial" w:hAnsi="Arial"/>
                <w:sz w:val="15"/>
                <w:szCs w:val="15"/>
                <w:b w:val="1"/>
                <w:bCs w:val="1"/>
                <w:color w:val="auto"/>
                <w:w w:val="89"/>
              </w:rPr>
              <w:t>Value</w:t>
            </w:r>
          </w:p>
        </w:tc>
        <w:tc>
          <w:tcPr>
            <w:tcW w:w="10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4"/>
              </w:rPr>
              <w:t>Value</w:t>
            </w:r>
          </w:p>
        </w:tc>
      </w:tr>
      <w:tr>
        <w:trPr>
          <w:trHeight w:val="238"/>
        </w:trPr>
        <w:tc>
          <w:tcPr>
            <w:tcW w:w="392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8"/>
        </w:trPr>
        <w:tc>
          <w:tcPr>
            <w:tcW w:w="39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1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2"/>
        </w:trPr>
        <w:tc>
          <w:tcPr>
            <w:tcW w:w="3920" w:type="dxa"/>
            <w:vAlign w:val="bottom"/>
          </w:tcPr>
          <w:p>
            <w:pPr>
              <w:ind w:left="40"/>
              <w:spacing w:after="0"/>
              <w:rPr>
                <w:sz w:val="20"/>
                <w:szCs w:val="20"/>
                <w:color w:val="auto"/>
              </w:rPr>
            </w:pPr>
            <w:r>
              <w:rPr>
                <w:rFonts w:ascii="Arial" w:cs="Arial" w:eastAsia="Arial" w:hAnsi="Arial"/>
                <w:sz w:val="17"/>
                <w:szCs w:val="17"/>
                <w:color w:val="auto"/>
              </w:rPr>
              <w:t>Preferred stocks</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6,865,381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20,121</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ind w:left="120"/>
              <w:spacing w:after="0"/>
              <w:rPr>
                <w:sz w:val="20"/>
                <w:szCs w:val="20"/>
                <w:color w:val="auto"/>
              </w:rPr>
            </w:pPr>
            <w:r>
              <w:rPr>
                <w:rFonts w:ascii="Arial" w:cs="Arial" w:eastAsia="Arial" w:hAnsi="Arial"/>
                <w:sz w:val="17"/>
                <w:szCs w:val="17"/>
                <w:color w:val="auto"/>
              </w:rPr>
              <w:t>(188,302)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9"/>
              <w:spacing w:after="0"/>
              <w:rPr>
                <w:sz w:val="20"/>
                <w:szCs w:val="20"/>
                <w:color w:val="auto"/>
              </w:rPr>
            </w:pPr>
            <w:r>
              <w:rPr>
                <w:rFonts w:ascii="Arial" w:cs="Arial" w:eastAsia="Arial" w:hAnsi="Arial"/>
                <w:sz w:val="17"/>
                <w:szCs w:val="17"/>
                <w:color w:val="auto"/>
              </w:rPr>
              <w:t>6,697,200</w:t>
            </w:r>
          </w:p>
        </w:tc>
        <w:tc>
          <w:tcPr>
            <w:tcW w:w="1000" w:type="dxa"/>
            <w:vAlign w:val="bottom"/>
          </w:tcPr>
          <w:p>
            <w:pPr>
              <w:jc w:val="right"/>
              <w:spacing w:after="0"/>
              <w:rPr>
                <w:sz w:val="20"/>
                <w:szCs w:val="20"/>
                <w:color w:val="auto"/>
              </w:rPr>
            </w:pPr>
            <w:r>
              <w:rPr>
                <w:rFonts w:ascii="Arial" w:cs="Arial" w:eastAsia="Arial" w:hAnsi="Arial"/>
                <w:sz w:val="17"/>
                <w:szCs w:val="17"/>
                <w:color w:val="auto"/>
              </w:rPr>
              <w:t>35.5%</w:t>
            </w:r>
          </w:p>
        </w:tc>
        <w:tc>
          <w:tcPr>
            <w:tcW w:w="40" w:type="dxa"/>
            <w:vAlign w:val="bottom"/>
          </w:tcPr>
          <w:p>
            <w:pPr>
              <w:spacing w:after="0"/>
              <w:rPr>
                <w:sz w:val="18"/>
                <w:szCs w:val="18"/>
                <w:color w:val="auto"/>
              </w:rPr>
            </w:pPr>
          </w:p>
        </w:tc>
      </w:tr>
      <w:tr>
        <w:trPr>
          <w:trHeight w:val="212"/>
        </w:trPr>
        <w:tc>
          <w:tcPr>
            <w:tcW w:w="3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Common stocks and exchange</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8"/>
        </w:trPr>
        <w:tc>
          <w:tcPr>
            <w:tcW w:w="3920" w:type="dxa"/>
            <w:vAlign w:val="bottom"/>
          </w:tcPr>
          <w:p>
            <w:pPr>
              <w:ind w:left="200"/>
              <w:spacing w:after="0"/>
              <w:rPr>
                <w:sz w:val="20"/>
                <w:szCs w:val="20"/>
                <w:color w:val="auto"/>
              </w:rPr>
            </w:pPr>
            <w:r>
              <w:rPr>
                <w:rFonts w:ascii="Arial" w:cs="Arial" w:eastAsia="Arial" w:hAnsi="Arial"/>
                <w:sz w:val="17"/>
                <w:szCs w:val="17"/>
                <w:color w:val="auto"/>
              </w:rPr>
              <w:t>traded mutual funds</w:t>
            </w:r>
          </w:p>
        </w:tc>
        <w:tc>
          <w:tcPr>
            <w:tcW w:w="1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91"/>
              </w:rPr>
              <w:t>11,628,928</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1,131,212</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(580,650)</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7"/>
                <w:szCs w:val="17"/>
                <w:color w:val="auto"/>
                <w:w w:val="91"/>
              </w:rPr>
              <w:t>12,179,490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w:t>
            </w:r>
          </w:p>
        </w:tc>
        <w:tc>
          <w:tcPr>
            <w:tcW w:w="40" w:type="dxa"/>
            <w:vAlign w:val="bottom"/>
          </w:tcPr>
          <w:p>
            <w:pPr>
              <w:spacing w:after="0"/>
              <w:rPr>
                <w:sz w:val="18"/>
                <w:szCs w:val="18"/>
                <w:color w:val="auto"/>
              </w:rPr>
            </w:pPr>
          </w:p>
        </w:tc>
      </w:tr>
      <w:tr>
        <w:trPr>
          <w:trHeight w:val="252"/>
        </w:trPr>
        <w:tc>
          <w:tcPr>
            <w:tcW w:w="3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91"/>
              </w:rPr>
              <w:t>18,494,309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1,151,333</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(768,952)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w w:val="91"/>
              </w:rPr>
              <w:t>18,876,690</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21"/>
                <w:szCs w:val="21"/>
                <w:color w:val="auto"/>
              </w:rPr>
            </w:pPr>
          </w:p>
        </w:tc>
      </w:tr>
      <w:tr>
        <w:trPr>
          <w:trHeight w:val="370"/>
        </w:trPr>
        <w:tc>
          <w:tcPr>
            <w:tcW w:w="39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w w:val="90"/>
              </w:rPr>
              <w:t>December 31, 2017</w:t>
            </w: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6"/>
        </w:trPr>
        <w:tc>
          <w:tcPr>
            <w:tcW w:w="39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jc w:val="center"/>
              <w:ind w:right="21"/>
              <w:spacing w:after="0" w:line="146" w:lineRule="exact"/>
              <w:rPr>
                <w:sz w:val="20"/>
                <w:szCs w:val="20"/>
                <w:color w:val="auto"/>
              </w:rPr>
            </w:pPr>
            <w:r>
              <w:rPr>
                <w:rFonts w:ascii="Arial" w:cs="Arial" w:eastAsia="Arial" w:hAnsi="Arial"/>
                <w:sz w:val="15"/>
                <w:szCs w:val="15"/>
                <w:b w:val="1"/>
                <w:bCs w:val="1"/>
                <w:color w:val="auto"/>
                <w:w w:val="94"/>
              </w:rPr>
              <w:t>% of</w:t>
            </w:r>
          </w:p>
        </w:tc>
        <w:tc>
          <w:tcPr>
            <w:tcW w:w="40" w:type="dxa"/>
            <w:vAlign w:val="bottom"/>
          </w:tcPr>
          <w:p>
            <w:pPr>
              <w:spacing w:after="0"/>
              <w:rPr>
                <w:sz w:val="12"/>
                <w:szCs w:val="12"/>
                <w:color w:val="auto"/>
              </w:rPr>
            </w:pPr>
          </w:p>
        </w:tc>
      </w:tr>
      <w:tr>
        <w:trPr>
          <w:trHeight w:val="159"/>
        </w:trPr>
        <w:tc>
          <w:tcPr>
            <w:tcW w:w="39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19"/>
              <w:spacing w:after="0" w:line="159" w:lineRule="exact"/>
              <w:rPr>
                <w:sz w:val="20"/>
                <w:szCs w:val="20"/>
                <w:color w:val="auto"/>
              </w:rPr>
            </w:pPr>
            <w:r>
              <w:rPr>
                <w:rFonts w:ascii="Arial" w:cs="Arial" w:eastAsia="Arial" w:hAnsi="Arial"/>
                <w:sz w:val="15"/>
                <w:szCs w:val="15"/>
                <w:b w:val="1"/>
                <w:bCs w:val="1"/>
                <w:color w:val="auto"/>
              </w:rPr>
              <w:t>Gross</w:t>
            </w:r>
          </w:p>
        </w:tc>
        <w:tc>
          <w:tcPr>
            <w:tcW w:w="360" w:type="dxa"/>
            <w:vAlign w:val="bottom"/>
          </w:tcPr>
          <w:p>
            <w:pPr>
              <w:spacing w:after="0"/>
              <w:rPr>
                <w:sz w:val="13"/>
                <w:szCs w:val="13"/>
                <w:color w:val="auto"/>
              </w:rPr>
            </w:pPr>
          </w:p>
        </w:tc>
        <w:tc>
          <w:tcPr>
            <w:tcW w:w="940" w:type="dxa"/>
            <w:vAlign w:val="bottom"/>
          </w:tcPr>
          <w:p>
            <w:pPr>
              <w:ind w:left="120"/>
              <w:spacing w:after="0" w:line="159" w:lineRule="exact"/>
              <w:rPr>
                <w:sz w:val="20"/>
                <w:szCs w:val="20"/>
                <w:color w:val="auto"/>
              </w:rPr>
            </w:pPr>
            <w:r>
              <w:rPr>
                <w:rFonts w:ascii="Arial" w:cs="Arial" w:eastAsia="Arial" w:hAnsi="Arial"/>
                <w:sz w:val="15"/>
                <w:szCs w:val="15"/>
                <w:b w:val="1"/>
                <w:bCs w:val="1"/>
                <w:color w:val="auto"/>
              </w:rPr>
              <w:t>Gross</w:t>
            </w:r>
          </w:p>
        </w:tc>
        <w:tc>
          <w:tcPr>
            <w:tcW w:w="160" w:type="dxa"/>
            <w:vAlign w:val="bottom"/>
          </w:tcPr>
          <w:p>
            <w:pPr>
              <w:spacing w:after="0"/>
              <w:rPr>
                <w:sz w:val="13"/>
                <w:szCs w:val="13"/>
                <w:color w:val="auto"/>
              </w:rPr>
            </w:pPr>
          </w:p>
        </w:tc>
        <w:tc>
          <w:tcPr>
            <w:tcW w:w="1060" w:type="dxa"/>
            <w:vAlign w:val="bottom"/>
          </w:tcPr>
          <w:p>
            <w:pPr>
              <w:jc w:val="center"/>
              <w:ind w:right="279"/>
              <w:spacing w:after="0" w:line="159" w:lineRule="exact"/>
              <w:rPr>
                <w:sz w:val="20"/>
                <w:szCs w:val="20"/>
                <w:color w:val="auto"/>
              </w:rPr>
            </w:pPr>
            <w:r>
              <w:rPr>
                <w:rFonts w:ascii="Arial" w:cs="Arial" w:eastAsia="Arial" w:hAnsi="Arial"/>
                <w:sz w:val="15"/>
                <w:szCs w:val="15"/>
                <w:b w:val="1"/>
                <w:bCs w:val="1"/>
                <w:color w:val="auto"/>
                <w:w w:val="94"/>
              </w:rPr>
              <w:t>Fair</w:t>
            </w:r>
          </w:p>
        </w:tc>
        <w:tc>
          <w:tcPr>
            <w:tcW w:w="1040" w:type="dxa"/>
            <w:vAlign w:val="bottom"/>
            <w:gridSpan w:val="2"/>
          </w:tcPr>
          <w:p>
            <w:pPr>
              <w:jc w:val="center"/>
              <w:ind w:right="140"/>
              <w:spacing w:after="0" w:line="159" w:lineRule="exact"/>
              <w:rPr>
                <w:sz w:val="20"/>
                <w:szCs w:val="20"/>
                <w:color w:val="auto"/>
              </w:rPr>
            </w:pPr>
            <w:r>
              <w:rPr>
                <w:rFonts w:ascii="Arial" w:cs="Arial" w:eastAsia="Arial" w:hAnsi="Arial"/>
                <w:sz w:val="15"/>
                <w:szCs w:val="15"/>
                <w:b w:val="1"/>
                <w:bCs w:val="1"/>
                <w:color w:val="auto"/>
                <w:w w:val="94"/>
              </w:rPr>
              <w:t>Fair</w:t>
            </w:r>
          </w:p>
        </w:tc>
      </w:tr>
      <w:tr>
        <w:trPr>
          <w:trHeight w:val="179"/>
        </w:trPr>
        <w:tc>
          <w:tcPr>
            <w:tcW w:w="392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37"/>
              <w:spacing w:after="0"/>
              <w:rPr>
                <w:sz w:val="20"/>
                <w:szCs w:val="20"/>
                <w:color w:val="auto"/>
              </w:rPr>
            </w:pPr>
            <w:r>
              <w:rPr>
                <w:rFonts w:ascii="Arial" w:cs="Arial" w:eastAsia="Arial" w:hAnsi="Arial"/>
                <w:sz w:val="15"/>
                <w:szCs w:val="15"/>
                <w:b w:val="1"/>
                <w:bCs w:val="1"/>
                <w:color w:val="auto"/>
              </w:rPr>
              <w:t>Cost</w:t>
            </w:r>
          </w:p>
        </w:tc>
        <w:tc>
          <w:tcPr>
            <w:tcW w:w="280" w:type="dxa"/>
            <w:vAlign w:val="bottom"/>
          </w:tcPr>
          <w:p>
            <w:pPr>
              <w:spacing w:after="0"/>
              <w:rPr>
                <w:sz w:val="15"/>
                <w:szCs w:val="15"/>
                <w:color w:val="auto"/>
              </w:rPr>
            </w:pPr>
          </w:p>
        </w:tc>
        <w:tc>
          <w:tcPr>
            <w:tcW w:w="800" w:type="dxa"/>
            <w:vAlign w:val="bottom"/>
          </w:tcPr>
          <w:p>
            <w:pPr>
              <w:jc w:val="right"/>
              <w:ind w:right="219"/>
              <w:spacing w:after="0"/>
              <w:rPr>
                <w:sz w:val="20"/>
                <w:szCs w:val="20"/>
                <w:color w:val="auto"/>
              </w:rPr>
            </w:pPr>
            <w:r>
              <w:rPr>
                <w:rFonts w:ascii="Arial" w:cs="Arial" w:eastAsia="Arial" w:hAnsi="Arial"/>
                <w:sz w:val="15"/>
                <w:szCs w:val="15"/>
                <w:b w:val="1"/>
                <w:bCs w:val="1"/>
                <w:color w:val="auto"/>
              </w:rPr>
              <w:t>Gains</w:t>
            </w:r>
          </w:p>
        </w:tc>
        <w:tc>
          <w:tcPr>
            <w:tcW w:w="36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Arial" w:cs="Arial" w:eastAsia="Arial" w:hAnsi="Arial"/>
                <w:sz w:val="15"/>
                <w:szCs w:val="15"/>
                <w:b w:val="1"/>
                <w:bCs w:val="1"/>
                <w:color w:val="auto"/>
              </w:rPr>
              <w:t>Losses</w:t>
            </w:r>
          </w:p>
        </w:tc>
        <w:tc>
          <w:tcPr>
            <w:tcW w:w="160" w:type="dxa"/>
            <w:vAlign w:val="bottom"/>
          </w:tcPr>
          <w:p>
            <w:pPr>
              <w:spacing w:after="0"/>
              <w:rPr>
                <w:sz w:val="15"/>
                <w:szCs w:val="15"/>
                <w:color w:val="auto"/>
              </w:rPr>
            </w:pPr>
          </w:p>
        </w:tc>
        <w:tc>
          <w:tcPr>
            <w:tcW w:w="1060" w:type="dxa"/>
            <w:vAlign w:val="bottom"/>
          </w:tcPr>
          <w:p>
            <w:pPr>
              <w:jc w:val="center"/>
              <w:ind w:right="259"/>
              <w:spacing w:after="0"/>
              <w:rPr>
                <w:sz w:val="20"/>
                <w:szCs w:val="20"/>
                <w:color w:val="auto"/>
              </w:rPr>
            </w:pPr>
            <w:r>
              <w:rPr>
                <w:rFonts w:ascii="Arial" w:cs="Arial" w:eastAsia="Arial" w:hAnsi="Arial"/>
                <w:sz w:val="15"/>
                <w:szCs w:val="15"/>
                <w:b w:val="1"/>
                <w:bCs w:val="1"/>
                <w:color w:val="auto"/>
                <w:w w:val="89"/>
              </w:rPr>
              <w:t>Value</w:t>
            </w:r>
          </w:p>
        </w:tc>
        <w:tc>
          <w:tcPr>
            <w:tcW w:w="10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4"/>
              </w:rPr>
              <w:t>Value</w:t>
            </w:r>
          </w:p>
        </w:tc>
      </w:tr>
      <w:tr>
        <w:trPr>
          <w:trHeight w:val="238"/>
        </w:trPr>
        <w:tc>
          <w:tcPr>
            <w:tcW w:w="392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8"/>
        </w:trPr>
        <w:tc>
          <w:tcPr>
            <w:tcW w:w="39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1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2"/>
        </w:trPr>
        <w:tc>
          <w:tcPr>
            <w:tcW w:w="3920" w:type="dxa"/>
            <w:vAlign w:val="bottom"/>
          </w:tcPr>
          <w:p>
            <w:pPr>
              <w:ind w:left="40"/>
              <w:spacing w:after="0"/>
              <w:rPr>
                <w:sz w:val="20"/>
                <w:szCs w:val="20"/>
                <w:color w:val="auto"/>
              </w:rPr>
            </w:pPr>
            <w:r>
              <w:rPr>
                <w:rFonts w:ascii="Arial" w:cs="Arial" w:eastAsia="Arial" w:hAnsi="Arial"/>
                <w:sz w:val="17"/>
                <w:szCs w:val="17"/>
                <w:color w:val="auto"/>
              </w:rPr>
              <w:t>Preferred stocks</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7,081,099</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60,867</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ind w:left="120"/>
              <w:spacing w:after="0"/>
              <w:rPr>
                <w:sz w:val="20"/>
                <w:szCs w:val="20"/>
                <w:color w:val="auto"/>
              </w:rPr>
            </w:pPr>
            <w:r>
              <w:rPr>
                <w:rFonts w:ascii="Arial" w:cs="Arial" w:eastAsia="Arial" w:hAnsi="Arial"/>
                <w:sz w:val="17"/>
                <w:szCs w:val="17"/>
                <w:color w:val="auto"/>
              </w:rPr>
              <w:t>(141,025)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9"/>
              <w:spacing w:after="0"/>
              <w:rPr>
                <w:sz w:val="20"/>
                <w:szCs w:val="20"/>
                <w:color w:val="auto"/>
              </w:rPr>
            </w:pPr>
            <w:r>
              <w:rPr>
                <w:rFonts w:ascii="Arial" w:cs="Arial" w:eastAsia="Arial" w:hAnsi="Arial"/>
                <w:sz w:val="17"/>
                <w:szCs w:val="17"/>
                <w:color w:val="auto"/>
              </w:rPr>
              <w:t>7,000,941</w:t>
            </w:r>
          </w:p>
        </w:tc>
        <w:tc>
          <w:tcPr>
            <w:tcW w:w="1000" w:type="dxa"/>
            <w:vAlign w:val="bottom"/>
          </w:tcPr>
          <w:p>
            <w:pPr>
              <w:jc w:val="right"/>
              <w:spacing w:after="0"/>
              <w:rPr>
                <w:sz w:val="20"/>
                <w:szCs w:val="20"/>
                <w:color w:val="auto"/>
              </w:rPr>
            </w:pPr>
            <w:r>
              <w:rPr>
                <w:rFonts w:ascii="Arial" w:cs="Arial" w:eastAsia="Arial" w:hAnsi="Arial"/>
                <w:sz w:val="17"/>
                <w:szCs w:val="17"/>
                <w:color w:val="auto"/>
              </w:rPr>
              <w:t>49.0%</w:t>
            </w:r>
          </w:p>
        </w:tc>
        <w:tc>
          <w:tcPr>
            <w:tcW w:w="40" w:type="dxa"/>
            <w:vAlign w:val="bottom"/>
          </w:tcPr>
          <w:p>
            <w:pPr>
              <w:spacing w:after="0"/>
              <w:rPr>
                <w:sz w:val="18"/>
                <w:szCs w:val="18"/>
                <w:color w:val="auto"/>
              </w:rPr>
            </w:pPr>
          </w:p>
        </w:tc>
      </w:tr>
      <w:tr>
        <w:trPr>
          <w:trHeight w:val="212"/>
        </w:trPr>
        <w:tc>
          <w:tcPr>
            <w:tcW w:w="3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Common stocks and exchange</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8"/>
        </w:trPr>
        <w:tc>
          <w:tcPr>
            <w:tcW w:w="3920" w:type="dxa"/>
            <w:vAlign w:val="bottom"/>
          </w:tcPr>
          <w:p>
            <w:pPr>
              <w:ind w:left="200"/>
              <w:spacing w:after="0"/>
              <w:rPr>
                <w:sz w:val="20"/>
                <w:szCs w:val="20"/>
                <w:color w:val="auto"/>
              </w:rPr>
            </w:pPr>
            <w:r>
              <w:rPr>
                <w:rFonts w:ascii="Arial" w:cs="Arial" w:eastAsia="Arial" w:hAnsi="Arial"/>
                <w:sz w:val="17"/>
                <w:szCs w:val="17"/>
                <w:color w:val="auto"/>
              </w:rPr>
              <w:t>traded mutual funds</w:t>
            </w:r>
          </w:p>
        </w:tc>
        <w:tc>
          <w:tcPr>
            <w:tcW w:w="1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6,680,742</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841,250</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(236,735)</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7"/>
                <w:szCs w:val="17"/>
                <w:color w:val="auto"/>
              </w:rPr>
              <w:t>7,285,257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w:t>
            </w:r>
          </w:p>
        </w:tc>
        <w:tc>
          <w:tcPr>
            <w:tcW w:w="40" w:type="dxa"/>
            <w:vAlign w:val="bottom"/>
          </w:tcPr>
          <w:p>
            <w:pPr>
              <w:spacing w:after="0"/>
              <w:rPr>
                <w:sz w:val="18"/>
                <w:szCs w:val="18"/>
                <w:color w:val="auto"/>
              </w:rPr>
            </w:pPr>
          </w:p>
        </w:tc>
      </w:tr>
      <w:tr>
        <w:trPr>
          <w:trHeight w:val="252"/>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91"/>
              </w:rPr>
              <w:t>13,761,841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902,117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(377,760)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7"/>
                <w:szCs w:val="17"/>
                <w:color w:val="auto"/>
                <w:w w:val="91"/>
              </w:rPr>
              <w:t>14,286,198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21"/>
                <w:szCs w:val="21"/>
                <w:color w:val="auto"/>
              </w:rPr>
            </w:pPr>
          </w:p>
        </w:tc>
      </w:tr>
      <w:tr>
        <w:trPr>
          <w:trHeight w:val="627"/>
        </w:trPr>
        <w:tc>
          <w:tcPr>
            <w:tcW w:w="39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7"/>
                <w:szCs w:val="17"/>
                <w:color w:val="auto"/>
              </w:rPr>
              <w:t>65</w:t>
            </w: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600"/>
          </w:cols>
          <w:pgMar w:left="160" w:top="470" w:right="139" w:bottom="1440" w:gutter="0" w:footer="0" w:header="0"/>
        </w:sectPr>
      </w:pPr>
    </w:p>
    <w:bookmarkStart w:id="67" w:name="page68"/>
    <w:bookmarkEnd w:id="67"/>
    <w:p>
      <w:pPr>
        <w:ind w:left="640"/>
        <w:spacing w:after="0"/>
        <w:rPr>
          <w:sz w:val="20"/>
          <w:szCs w:val="20"/>
          <w:color w:val="auto"/>
        </w:rPr>
      </w:pPr>
      <w:r>
        <w:rPr>
          <w:rFonts w:ascii="Arial" w:cs="Arial" w:eastAsia="Arial" w:hAnsi="Arial"/>
          <w:sz w:val="17"/>
          <w:szCs w:val="17"/>
          <w:u w:val="single" w:color="auto"/>
          <w:color w:val="auto"/>
        </w:rPr>
        <w:t>Other Investments</w:t>
      </w:r>
    </w:p>
    <w:p>
      <w:pPr>
        <w:spacing w:after="0" w:line="228" w:lineRule="exact"/>
        <w:rPr>
          <w:sz w:val="20"/>
          <w:szCs w:val="20"/>
          <w:color w:val="auto"/>
        </w:rPr>
      </w:pPr>
    </w:p>
    <w:p>
      <w:pPr>
        <w:jc w:val="both"/>
        <w:ind w:right="40" w:firstLine="636"/>
        <w:spacing w:after="0" w:line="273" w:lineRule="auto"/>
        <w:rPr>
          <w:sz w:val="20"/>
          <w:szCs w:val="20"/>
          <w:color w:val="auto"/>
        </w:rPr>
      </w:pPr>
      <w:r>
        <w:rPr>
          <w:rFonts w:ascii="Arial" w:cs="Arial" w:eastAsia="Arial" w:hAnsi="Arial"/>
          <w:sz w:val="17"/>
          <w:szCs w:val="17"/>
          <w:color w:val="auto"/>
        </w:rPr>
        <w:t>Pursuant to ASC 820 “Fair Value Measurement,” an entity is permitted, as a practical expedient, to estimate the fair value of an investment within the scope of ASC 820 using the net asset value (“NAV”) per share (or its equivalent) of the investment. The following table presents a breakdown of the cost, fair value, and gross gains of our other investments as of September 30, 2018 and December 31, 2017: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7"/>
                <w:szCs w:val="17"/>
                <w:b w:val="1"/>
                <w:bCs w:val="1"/>
                <w:color w:val="auto"/>
              </w:rPr>
              <w:t>September 30, 2018</w:t>
            </w: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left="474"/>
              <w:spacing w:after="0"/>
              <w:rPr>
                <w:sz w:val="20"/>
                <w:szCs w:val="20"/>
                <w:color w:val="auto"/>
              </w:rPr>
            </w:pPr>
            <w:r>
              <w:rPr>
                <w:rFonts w:ascii="Arial" w:cs="Arial" w:eastAsia="Arial" w:hAnsi="Arial"/>
                <w:sz w:val="17"/>
                <w:szCs w:val="17"/>
                <w:b w:val="1"/>
                <w:bCs w:val="1"/>
                <w:color w:val="auto"/>
                <w:w w:val="91"/>
              </w:rPr>
              <w:t>December 31, 2017</w:t>
            </w:r>
          </w:p>
        </w:tc>
        <w:tc>
          <w:tcPr>
            <w:tcW w:w="860" w:type="dxa"/>
            <w:vAlign w:val="bottom"/>
            <w:tcBorders>
              <w:bottom w:val="single" w:sz="8" w:color="auto"/>
            </w:tcBorders>
          </w:tcPr>
          <w:p>
            <w:pPr>
              <w:spacing w:after="0"/>
              <w:rPr>
                <w:sz w:val="20"/>
                <w:szCs w:val="20"/>
                <w:color w:val="auto"/>
              </w:rPr>
            </w:pPr>
          </w:p>
        </w:tc>
      </w:tr>
      <w:tr>
        <w:trPr>
          <w:trHeight w:val="235"/>
        </w:trPr>
        <w:tc>
          <w:tcPr>
            <w:tcW w:w="4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254"/>
              <w:spacing w:after="0"/>
              <w:rPr>
                <w:sz w:val="20"/>
                <w:szCs w:val="20"/>
                <w:color w:val="auto"/>
              </w:rPr>
            </w:pPr>
            <w:r>
              <w:rPr>
                <w:rFonts w:ascii="Arial" w:cs="Arial" w:eastAsia="Arial" w:hAnsi="Arial"/>
                <w:sz w:val="17"/>
                <w:szCs w:val="17"/>
                <w:b w:val="1"/>
                <w:bCs w:val="1"/>
                <w:color w:val="auto"/>
              </w:rPr>
              <w:t>Gross</w:t>
            </w:r>
          </w:p>
        </w:tc>
        <w:tc>
          <w:tcPr>
            <w:tcW w:w="280" w:type="dxa"/>
            <w:vAlign w:val="bottom"/>
          </w:tcPr>
          <w:p>
            <w:pPr>
              <w:spacing w:after="0"/>
              <w:rPr>
                <w:sz w:val="20"/>
                <w:szCs w:val="20"/>
                <w:color w:val="auto"/>
              </w:rPr>
            </w:pPr>
          </w:p>
        </w:tc>
        <w:tc>
          <w:tcPr>
            <w:tcW w:w="860" w:type="dxa"/>
            <w:vAlign w:val="bottom"/>
          </w:tcPr>
          <w:p>
            <w:pPr>
              <w:jc w:val="right"/>
              <w:ind w:right="294"/>
              <w:spacing w:after="0"/>
              <w:rPr>
                <w:sz w:val="20"/>
                <w:szCs w:val="20"/>
                <w:color w:val="auto"/>
              </w:rPr>
            </w:pPr>
            <w:r>
              <w:rPr>
                <w:rFonts w:ascii="Arial" w:cs="Arial" w:eastAsia="Arial" w:hAnsi="Arial"/>
                <w:sz w:val="17"/>
                <w:szCs w:val="17"/>
                <w:b w:val="1"/>
                <w:bCs w:val="1"/>
                <w:color w:val="auto"/>
              </w:rPr>
              <w:t>Fair</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center"/>
              <w:ind w:right="174"/>
              <w:spacing w:after="0"/>
              <w:rPr>
                <w:sz w:val="20"/>
                <w:szCs w:val="20"/>
                <w:color w:val="auto"/>
              </w:rPr>
            </w:pPr>
            <w:r>
              <w:rPr>
                <w:rFonts w:ascii="Arial" w:cs="Arial" w:eastAsia="Arial" w:hAnsi="Arial"/>
                <w:sz w:val="17"/>
                <w:szCs w:val="17"/>
                <w:b w:val="1"/>
                <w:bCs w:val="1"/>
                <w:color w:val="auto"/>
                <w:w w:val="89"/>
              </w:rPr>
              <w:t>Gross</w:t>
            </w:r>
          </w:p>
        </w:tc>
        <w:tc>
          <w:tcPr>
            <w:tcW w:w="28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7"/>
                <w:szCs w:val="17"/>
                <w:b w:val="1"/>
                <w:bCs w:val="1"/>
                <w:color w:val="auto"/>
              </w:rPr>
              <w:t>Fair</w:t>
            </w:r>
          </w:p>
        </w:tc>
      </w:tr>
      <w:tr>
        <w:trPr>
          <w:trHeight w:val="248"/>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Cost</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Gains</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Value</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Cost</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w w:val="93"/>
              </w:rPr>
              <w:t>Gains</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Value</w:t>
            </w:r>
          </w:p>
        </w:tc>
      </w:tr>
      <w:tr>
        <w:trPr>
          <w:trHeight w:val="238"/>
        </w:trPr>
        <w:tc>
          <w:tcPr>
            <w:tcW w:w="4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8"/>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Other Investments: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8"/>
        </w:trPr>
        <w:tc>
          <w:tcPr>
            <w:tcW w:w="4640" w:type="dxa"/>
            <w:vAlign w:val="bottom"/>
          </w:tcPr>
          <w:p>
            <w:pPr>
              <w:ind w:left="40"/>
              <w:spacing w:after="0"/>
              <w:rPr>
                <w:sz w:val="20"/>
                <w:szCs w:val="20"/>
                <w:color w:val="auto"/>
              </w:rPr>
            </w:pPr>
            <w:r>
              <w:rPr>
                <w:rFonts w:ascii="Arial" w:cs="Arial" w:eastAsia="Arial" w:hAnsi="Arial"/>
                <w:sz w:val="17"/>
                <w:szCs w:val="17"/>
                <w:color w:val="auto"/>
              </w:rPr>
              <w:t>Hedge fund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97"/>
              </w:rPr>
              <w:t>2,000,000</w:t>
            </w:r>
          </w:p>
        </w:tc>
        <w:tc>
          <w:tcPr>
            <w:tcW w:w="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241,444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7"/>
              </w:rPr>
              <w:t>2,241,444</w:t>
            </w: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52"/>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97"/>
              </w:rPr>
              <w:t>2,000,000</w:t>
            </w:r>
          </w:p>
        </w:tc>
        <w:tc>
          <w:tcPr>
            <w:tcW w:w="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241,444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97"/>
              </w:rPr>
              <w:t>2,241,444</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bl>
    <w:p>
      <w:pPr>
        <w:spacing w:after="0" w:line="203"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Held-to-Maturity Securities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presents a breakdown of the amortized cost, fair value, and unrealized gains and losses of investments in held-to-maturity securities as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2018 and December 31, 2017: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5"/>
                <w:szCs w:val="15"/>
                <w:b w:val="1"/>
                <w:bCs w:val="1"/>
                <w:color w:val="auto"/>
              </w:rPr>
              <w:t>September 30, 2018</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vMerge w:val="restart"/>
          </w:tcPr>
          <w:p>
            <w:pPr>
              <w:jc w:val="center"/>
              <w:ind w:right="20"/>
              <w:spacing w:after="0"/>
              <w:rPr>
                <w:sz w:val="20"/>
                <w:szCs w:val="20"/>
                <w:color w:val="auto"/>
              </w:rPr>
            </w:pPr>
            <w:r>
              <w:rPr>
                <w:rFonts w:ascii="Arial" w:cs="Arial" w:eastAsia="Arial" w:hAnsi="Arial"/>
                <w:sz w:val="15"/>
                <w:szCs w:val="15"/>
                <w:b w:val="1"/>
                <w:bCs w:val="1"/>
                <w:color w:val="auto"/>
                <w:w w:val="87"/>
              </w:rPr>
              <w:t>Cost or</w:t>
            </w:r>
          </w:p>
        </w:tc>
        <w:tc>
          <w:tcPr>
            <w:tcW w:w="320" w:type="dxa"/>
            <w:vAlign w:val="bottom"/>
          </w:tcPr>
          <w:p>
            <w:pPr>
              <w:spacing w:after="0"/>
              <w:rPr>
                <w:sz w:val="24"/>
                <w:szCs w:val="24"/>
                <w:color w:val="auto"/>
              </w:rPr>
            </w:pPr>
          </w:p>
        </w:tc>
        <w:tc>
          <w:tcPr>
            <w:tcW w:w="940" w:type="dxa"/>
            <w:vAlign w:val="bottom"/>
            <w:vMerge w:val="restart"/>
          </w:tcPr>
          <w:p>
            <w:pPr>
              <w:jc w:val="center"/>
              <w:ind w:right="140"/>
              <w:spacing w:after="0"/>
              <w:rPr>
                <w:sz w:val="20"/>
                <w:szCs w:val="20"/>
                <w:color w:val="auto"/>
              </w:rPr>
            </w:pPr>
            <w:r>
              <w:rPr>
                <w:rFonts w:ascii="Arial" w:cs="Arial" w:eastAsia="Arial" w:hAnsi="Arial"/>
                <w:sz w:val="15"/>
                <w:szCs w:val="15"/>
                <w:b w:val="1"/>
                <w:bCs w:val="1"/>
                <w:color w:val="auto"/>
                <w:w w:val="82"/>
              </w:rPr>
              <w:t>Gross</w:t>
            </w: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5"/>
                <w:szCs w:val="15"/>
                <w:b w:val="1"/>
                <w:bCs w:val="1"/>
                <w:color w:val="auto"/>
                <w:w w:val="90"/>
              </w:rPr>
              <w:t>Gross Unrealized Losses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center"/>
              <w:ind w:right="201"/>
              <w:spacing w:after="0" w:line="146" w:lineRule="exact"/>
              <w:rPr>
                <w:sz w:val="20"/>
                <w:szCs w:val="20"/>
                <w:color w:val="auto"/>
              </w:rPr>
            </w:pPr>
            <w:r>
              <w:rPr>
                <w:rFonts w:ascii="Arial" w:cs="Arial" w:eastAsia="Arial" w:hAnsi="Arial"/>
                <w:sz w:val="15"/>
                <w:szCs w:val="15"/>
                <w:b w:val="1"/>
                <w:bCs w:val="1"/>
                <w:color w:val="auto"/>
                <w:w w:val="75"/>
              </w:rPr>
              <w:t>Less</w:t>
            </w:r>
          </w:p>
        </w:tc>
        <w:tc>
          <w:tcPr>
            <w:tcW w:w="240" w:type="dxa"/>
            <w:vAlign w:val="bottom"/>
          </w:tcPr>
          <w:p>
            <w:pPr>
              <w:spacing w:after="0"/>
              <w:rPr>
                <w:sz w:val="12"/>
                <w:szCs w:val="12"/>
                <w:color w:val="auto"/>
              </w:rPr>
            </w:pPr>
          </w:p>
        </w:tc>
        <w:tc>
          <w:tcPr>
            <w:tcW w:w="880" w:type="dxa"/>
            <w:vAlign w:val="bottom"/>
          </w:tcPr>
          <w:p>
            <w:pPr>
              <w:jc w:val="center"/>
              <w:ind w:right="140"/>
              <w:spacing w:after="0" w:line="146" w:lineRule="exact"/>
              <w:rPr>
                <w:sz w:val="20"/>
                <w:szCs w:val="20"/>
                <w:color w:val="auto"/>
              </w:rPr>
            </w:pPr>
            <w:r>
              <w:rPr>
                <w:rFonts w:ascii="Arial" w:cs="Arial" w:eastAsia="Arial" w:hAnsi="Arial"/>
                <w:sz w:val="15"/>
                <w:szCs w:val="15"/>
                <w:b w:val="1"/>
                <w:bCs w:val="1"/>
                <w:color w:val="auto"/>
                <w:w w:val="94"/>
              </w:rPr>
              <w:t>More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ind w:right="20"/>
              <w:spacing w:after="0" w:line="159" w:lineRule="exact"/>
              <w:rPr>
                <w:sz w:val="20"/>
                <w:szCs w:val="20"/>
                <w:color w:val="auto"/>
              </w:rPr>
            </w:pPr>
            <w:r>
              <w:rPr>
                <w:rFonts w:ascii="Arial" w:cs="Arial" w:eastAsia="Arial" w:hAnsi="Arial"/>
                <w:sz w:val="15"/>
                <w:szCs w:val="15"/>
                <w:b w:val="1"/>
                <w:bCs w:val="1"/>
                <w:color w:val="auto"/>
                <w:w w:val="89"/>
              </w:rPr>
              <w:t>Amortized</w:t>
            </w:r>
          </w:p>
        </w:tc>
        <w:tc>
          <w:tcPr>
            <w:tcW w:w="320" w:type="dxa"/>
            <w:vAlign w:val="bottom"/>
          </w:tcPr>
          <w:p>
            <w:pPr>
              <w:spacing w:after="0"/>
              <w:rPr>
                <w:sz w:val="13"/>
                <w:szCs w:val="13"/>
                <w:color w:val="auto"/>
              </w:rPr>
            </w:pPr>
          </w:p>
        </w:tc>
        <w:tc>
          <w:tcPr>
            <w:tcW w:w="940" w:type="dxa"/>
            <w:vAlign w:val="bottom"/>
          </w:tcPr>
          <w:p>
            <w:pPr>
              <w:jc w:val="center"/>
              <w:ind w:right="140"/>
              <w:spacing w:after="0" w:line="159" w:lineRule="exact"/>
              <w:rPr>
                <w:sz w:val="20"/>
                <w:szCs w:val="20"/>
                <w:color w:val="auto"/>
              </w:rPr>
            </w:pPr>
            <w:r>
              <w:rPr>
                <w:rFonts w:ascii="Arial" w:cs="Arial" w:eastAsia="Arial" w:hAnsi="Arial"/>
                <w:sz w:val="15"/>
                <w:szCs w:val="15"/>
                <w:b w:val="1"/>
                <w:bCs w:val="1"/>
                <w:color w:val="auto"/>
                <w:w w:val="89"/>
              </w:rPr>
              <w:t>Unrealized</w:t>
            </w:r>
          </w:p>
        </w:tc>
        <w:tc>
          <w:tcPr>
            <w:tcW w:w="280" w:type="dxa"/>
            <w:vAlign w:val="bottom"/>
          </w:tcPr>
          <w:p>
            <w:pPr>
              <w:spacing w:after="0"/>
              <w:rPr>
                <w:sz w:val="13"/>
                <w:szCs w:val="13"/>
                <w:color w:val="auto"/>
              </w:rPr>
            </w:pPr>
          </w:p>
        </w:tc>
        <w:tc>
          <w:tcPr>
            <w:tcW w:w="900" w:type="dxa"/>
            <w:vAlign w:val="bottom"/>
          </w:tcPr>
          <w:p>
            <w:pPr>
              <w:jc w:val="center"/>
              <w:ind w:right="241"/>
              <w:spacing w:after="0" w:line="159" w:lineRule="exact"/>
              <w:rPr>
                <w:sz w:val="20"/>
                <w:szCs w:val="20"/>
                <w:color w:val="auto"/>
              </w:rPr>
            </w:pPr>
            <w:r>
              <w:rPr>
                <w:rFonts w:ascii="Arial" w:cs="Arial" w:eastAsia="Arial" w:hAnsi="Arial"/>
                <w:sz w:val="15"/>
                <w:szCs w:val="15"/>
                <w:b w:val="1"/>
                <w:bCs w:val="1"/>
                <w:color w:val="auto"/>
                <w:w w:val="87"/>
              </w:rPr>
              <w:t>than 12</w:t>
            </w:r>
          </w:p>
        </w:tc>
        <w:tc>
          <w:tcPr>
            <w:tcW w:w="240" w:type="dxa"/>
            <w:vAlign w:val="bottom"/>
          </w:tcPr>
          <w:p>
            <w:pPr>
              <w:spacing w:after="0"/>
              <w:rPr>
                <w:sz w:val="13"/>
                <w:szCs w:val="13"/>
                <w:color w:val="auto"/>
              </w:rPr>
            </w:pPr>
          </w:p>
        </w:tc>
        <w:tc>
          <w:tcPr>
            <w:tcW w:w="880" w:type="dxa"/>
            <w:vAlign w:val="bottom"/>
          </w:tcPr>
          <w:p>
            <w:pPr>
              <w:jc w:val="center"/>
              <w:ind w:right="180"/>
              <w:spacing w:after="0" w:line="159" w:lineRule="exact"/>
              <w:rPr>
                <w:sz w:val="20"/>
                <w:szCs w:val="20"/>
                <w:color w:val="auto"/>
              </w:rPr>
            </w:pPr>
            <w:r>
              <w:rPr>
                <w:rFonts w:ascii="Arial" w:cs="Arial" w:eastAsia="Arial" w:hAnsi="Arial"/>
                <w:sz w:val="15"/>
                <w:szCs w:val="15"/>
                <w:b w:val="1"/>
                <w:bCs w:val="1"/>
                <w:color w:val="auto"/>
                <w:w w:val="87"/>
              </w:rPr>
              <w:t>than 12</w:t>
            </w:r>
          </w:p>
        </w:tc>
        <w:tc>
          <w:tcPr>
            <w:tcW w:w="280" w:type="dxa"/>
            <w:vAlign w:val="bottom"/>
          </w:tcPr>
          <w:p>
            <w:pPr>
              <w:spacing w:after="0"/>
              <w:rPr>
                <w:sz w:val="13"/>
                <w:szCs w:val="13"/>
                <w:color w:val="auto"/>
              </w:rPr>
            </w:pPr>
          </w:p>
        </w:tc>
        <w:tc>
          <w:tcPr>
            <w:tcW w:w="960" w:type="dxa"/>
            <w:vAlign w:val="bottom"/>
          </w:tcPr>
          <w:p>
            <w:pPr>
              <w:jc w:val="right"/>
              <w:ind w:right="438"/>
              <w:spacing w:after="0" w:line="159" w:lineRule="exact"/>
              <w:rPr>
                <w:sz w:val="20"/>
                <w:szCs w:val="20"/>
                <w:color w:val="auto"/>
              </w:rPr>
            </w:pPr>
            <w:r>
              <w:rPr>
                <w:rFonts w:ascii="Arial" w:cs="Arial" w:eastAsia="Arial" w:hAnsi="Arial"/>
                <w:sz w:val="15"/>
                <w:szCs w:val="15"/>
                <w:b w:val="1"/>
                <w:bCs w:val="1"/>
                <w:color w:val="auto"/>
              </w:rPr>
              <w:t>Fair</w:t>
            </w:r>
          </w:p>
        </w:tc>
        <w:tc>
          <w:tcPr>
            <w:tcW w:w="1100" w:type="dxa"/>
            <w:vAlign w:val="bottom"/>
            <w:gridSpan w:val="2"/>
          </w:tcPr>
          <w:p>
            <w:pPr>
              <w:jc w:val="center"/>
              <w:ind w:right="120"/>
              <w:spacing w:after="0" w:line="159" w:lineRule="exact"/>
              <w:rPr>
                <w:sz w:val="20"/>
                <w:szCs w:val="20"/>
                <w:color w:val="auto"/>
              </w:rPr>
            </w:pPr>
            <w:r>
              <w:rPr>
                <w:rFonts w:ascii="Arial" w:cs="Arial" w:eastAsia="Arial" w:hAnsi="Arial"/>
                <w:sz w:val="15"/>
                <w:szCs w:val="15"/>
                <w:b w:val="1"/>
                <w:bCs w:val="1"/>
                <w:color w:val="auto"/>
                <w:w w:val="97"/>
              </w:rPr>
              <w:t>% of Fair</w:t>
            </w:r>
          </w:p>
        </w:tc>
        <w:tc>
          <w:tcPr>
            <w:tcW w:w="0" w:type="dxa"/>
            <w:vAlign w:val="bottom"/>
          </w:tcPr>
          <w:p>
            <w:pPr>
              <w:spacing w:after="0"/>
              <w:rPr>
                <w:sz w:val="1"/>
                <w:szCs w:val="1"/>
                <w:color w:val="auto"/>
              </w:rPr>
            </w:pPr>
          </w:p>
        </w:tc>
      </w:tr>
      <w:tr>
        <w:trPr>
          <w:trHeight w:val="179"/>
        </w:trPr>
        <w:tc>
          <w:tcPr>
            <w:tcW w:w="464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320" w:type="dxa"/>
            <w:vAlign w:val="bottom"/>
          </w:tcPr>
          <w:p>
            <w:pPr>
              <w:spacing w:after="0"/>
              <w:rPr>
                <w:sz w:val="15"/>
                <w:szCs w:val="15"/>
                <w:color w:val="auto"/>
              </w:rPr>
            </w:pPr>
          </w:p>
        </w:tc>
        <w:tc>
          <w:tcPr>
            <w:tcW w:w="940" w:type="dxa"/>
            <w:vAlign w:val="bottom"/>
          </w:tcPr>
          <w:p>
            <w:pPr>
              <w:jc w:val="center"/>
              <w:ind w:right="100"/>
              <w:spacing w:after="0"/>
              <w:rPr>
                <w:sz w:val="20"/>
                <w:szCs w:val="20"/>
                <w:color w:val="auto"/>
              </w:rPr>
            </w:pPr>
            <w:r>
              <w:rPr>
                <w:rFonts w:ascii="Arial" w:cs="Arial" w:eastAsia="Arial" w:hAnsi="Arial"/>
                <w:sz w:val="15"/>
                <w:szCs w:val="15"/>
                <w:b w:val="1"/>
                <w:bCs w:val="1"/>
                <w:color w:val="auto"/>
                <w:w w:val="86"/>
              </w:rPr>
              <w:t>Gains</w:t>
            </w:r>
          </w:p>
        </w:tc>
        <w:tc>
          <w:tcPr>
            <w:tcW w:w="280" w:type="dxa"/>
            <w:vAlign w:val="bottom"/>
          </w:tcPr>
          <w:p>
            <w:pPr>
              <w:spacing w:after="0"/>
              <w:rPr>
                <w:sz w:val="15"/>
                <w:szCs w:val="15"/>
                <w:color w:val="auto"/>
              </w:rPr>
            </w:pPr>
          </w:p>
        </w:tc>
        <w:tc>
          <w:tcPr>
            <w:tcW w:w="900" w:type="dxa"/>
            <w:vAlign w:val="bottom"/>
          </w:tcPr>
          <w:p>
            <w:pPr>
              <w:jc w:val="center"/>
              <w:ind w:right="181"/>
              <w:spacing w:after="0"/>
              <w:rPr>
                <w:sz w:val="20"/>
                <w:szCs w:val="20"/>
                <w:color w:val="auto"/>
              </w:rPr>
            </w:pPr>
            <w:r>
              <w:rPr>
                <w:rFonts w:ascii="Arial" w:cs="Arial" w:eastAsia="Arial" w:hAnsi="Arial"/>
                <w:sz w:val="15"/>
                <w:szCs w:val="15"/>
                <w:b w:val="1"/>
                <w:bCs w:val="1"/>
                <w:color w:val="auto"/>
                <w:w w:val="89"/>
              </w:rPr>
              <w:t>Months</w:t>
            </w:r>
          </w:p>
        </w:tc>
        <w:tc>
          <w:tcPr>
            <w:tcW w:w="240" w:type="dxa"/>
            <w:vAlign w:val="bottom"/>
          </w:tcPr>
          <w:p>
            <w:pPr>
              <w:spacing w:after="0"/>
              <w:rPr>
                <w:sz w:val="15"/>
                <w:szCs w:val="15"/>
                <w:color w:val="auto"/>
              </w:rPr>
            </w:pPr>
          </w:p>
        </w:tc>
        <w:tc>
          <w:tcPr>
            <w:tcW w:w="880" w:type="dxa"/>
            <w:vAlign w:val="bottom"/>
          </w:tcPr>
          <w:p>
            <w:pPr>
              <w:jc w:val="center"/>
              <w:ind w:right="160"/>
              <w:spacing w:after="0"/>
              <w:rPr>
                <w:sz w:val="20"/>
                <w:szCs w:val="20"/>
                <w:color w:val="auto"/>
              </w:rPr>
            </w:pPr>
            <w:r>
              <w:rPr>
                <w:rFonts w:ascii="Arial" w:cs="Arial" w:eastAsia="Arial" w:hAnsi="Arial"/>
                <w:sz w:val="15"/>
                <w:szCs w:val="15"/>
                <w:b w:val="1"/>
                <w:bCs w:val="1"/>
                <w:color w:val="auto"/>
                <w:w w:val="89"/>
              </w:rPr>
              <w:t>Months</w:t>
            </w:r>
          </w:p>
        </w:tc>
        <w:tc>
          <w:tcPr>
            <w:tcW w:w="280" w:type="dxa"/>
            <w:vAlign w:val="bottom"/>
          </w:tcPr>
          <w:p>
            <w:pPr>
              <w:spacing w:after="0"/>
              <w:rPr>
                <w:sz w:val="15"/>
                <w:szCs w:val="15"/>
                <w:color w:val="auto"/>
              </w:rPr>
            </w:pPr>
          </w:p>
        </w:tc>
        <w:tc>
          <w:tcPr>
            <w:tcW w:w="960" w:type="dxa"/>
            <w:vAlign w:val="bottom"/>
          </w:tcPr>
          <w:p>
            <w:pPr>
              <w:jc w:val="right"/>
              <w:ind w:right="378"/>
              <w:spacing w:after="0"/>
              <w:rPr>
                <w:sz w:val="20"/>
                <w:szCs w:val="20"/>
                <w:color w:val="auto"/>
              </w:rPr>
            </w:pPr>
            <w:r>
              <w:rPr>
                <w:rFonts w:ascii="Arial" w:cs="Arial" w:eastAsia="Arial" w:hAnsi="Arial"/>
                <w:sz w:val="15"/>
                <w:szCs w:val="15"/>
                <w:b w:val="1"/>
                <w:bCs w:val="1"/>
                <w:color w:val="auto"/>
              </w:rPr>
              <w:t>Value</w:t>
            </w:r>
          </w:p>
        </w:tc>
        <w:tc>
          <w:tcPr>
            <w:tcW w:w="11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4"/>
              </w:rPr>
              <w:t>Value</w:t>
            </w:r>
          </w:p>
        </w:tc>
        <w:tc>
          <w:tcPr>
            <w:tcW w:w="0" w:type="dxa"/>
            <w:vAlign w:val="bottom"/>
          </w:tcPr>
          <w:p>
            <w:pPr>
              <w:spacing w:after="0"/>
              <w:rPr>
                <w:sz w:val="1"/>
                <w:szCs w:val="1"/>
                <w:color w:val="auto"/>
              </w:rPr>
            </w:pPr>
          </w:p>
        </w:tc>
      </w:tr>
      <w:tr>
        <w:trPr>
          <w:trHeight w:val="238"/>
        </w:trPr>
        <w:tc>
          <w:tcPr>
            <w:tcW w:w="46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729,496</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147,543</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(7,649)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869,390</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998,852</w:t>
            </w:r>
          </w:p>
        </w:tc>
        <w:tc>
          <w:tcPr>
            <w:tcW w:w="32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7"/>
                <w:szCs w:val="17"/>
                <w:color w:val="auto"/>
              </w:rPr>
              <w:t>24,393</w:t>
            </w:r>
          </w:p>
        </w:tc>
        <w:tc>
          <w:tcPr>
            <w:tcW w:w="28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60" w:type="dxa"/>
            <w:vAlign w:val="bottom"/>
          </w:tcPr>
          <w:p>
            <w:pPr>
              <w:jc w:val="right"/>
              <w:ind w:right="118"/>
              <w:spacing w:after="0"/>
              <w:rPr>
                <w:sz w:val="20"/>
                <w:szCs w:val="20"/>
                <w:color w:val="auto"/>
              </w:rPr>
            </w:pPr>
            <w:r>
              <w:rPr>
                <w:rFonts w:ascii="Arial" w:cs="Arial" w:eastAsia="Arial" w:hAnsi="Arial"/>
                <w:sz w:val="17"/>
                <w:szCs w:val="17"/>
                <w:color w:val="auto"/>
                <w:w w:val="97"/>
              </w:rPr>
              <w:t>1,023,245</w:t>
            </w:r>
          </w:p>
        </w:tc>
        <w:tc>
          <w:tcPr>
            <w:tcW w:w="1060" w:type="dxa"/>
            <w:vAlign w:val="bottom"/>
          </w:tcPr>
          <w:p>
            <w:pPr>
              <w:jc w:val="right"/>
              <w:spacing w:after="0"/>
              <w:rPr>
                <w:sz w:val="20"/>
                <w:szCs w:val="20"/>
                <w:color w:val="auto"/>
              </w:rPr>
            </w:pPr>
            <w:r>
              <w:rPr>
                <w:rFonts w:ascii="Arial" w:cs="Arial" w:eastAsia="Arial" w:hAnsi="Arial"/>
                <w:sz w:val="17"/>
                <w:szCs w:val="17"/>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2,494,004</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36,835</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(5,100)</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(7,610)</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w w:val="97"/>
              </w:rPr>
              <w:t>2,518,129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4,222,352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208,771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(12,749)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w w:val="97"/>
              </w:rPr>
              <w:t>4,410,764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27"/>
        </w:trPr>
        <w:tc>
          <w:tcPr>
            <w:tcW w:w="4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66</w:t>
            </w: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600"/>
          </w:cols>
          <w:pgMar w:left="160" w:top="475" w:right="1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5"/>
                <w:szCs w:val="15"/>
                <w:b w:val="1"/>
                <w:bCs w:val="1"/>
                <w:color w:val="auto"/>
              </w:rPr>
              <w:t>December 31, 2017</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restart"/>
          </w:tcPr>
          <w:p>
            <w:pPr>
              <w:jc w:val="center"/>
              <w:ind w:right="120"/>
              <w:spacing w:after="0"/>
              <w:rPr>
                <w:sz w:val="20"/>
                <w:szCs w:val="20"/>
                <w:color w:val="auto"/>
              </w:rPr>
            </w:pPr>
            <w:r>
              <w:rPr>
                <w:rFonts w:ascii="Arial" w:cs="Arial" w:eastAsia="Arial" w:hAnsi="Arial"/>
                <w:sz w:val="15"/>
                <w:szCs w:val="15"/>
                <w:b w:val="1"/>
                <w:bCs w:val="1"/>
                <w:color w:val="auto"/>
                <w:w w:val="87"/>
              </w:rPr>
              <w:t>Cost or</w:t>
            </w:r>
          </w:p>
        </w:tc>
        <w:tc>
          <w:tcPr>
            <w:tcW w:w="220" w:type="dxa"/>
            <w:vAlign w:val="bottom"/>
          </w:tcPr>
          <w:p>
            <w:pPr>
              <w:spacing w:after="0"/>
              <w:rPr>
                <w:sz w:val="24"/>
                <w:szCs w:val="24"/>
                <w:color w:val="auto"/>
              </w:rPr>
            </w:pPr>
          </w:p>
        </w:tc>
        <w:tc>
          <w:tcPr>
            <w:tcW w:w="940" w:type="dxa"/>
            <w:vAlign w:val="bottom"/>
            <w:vMerge w:val="restart"/>
          </w:tcPr>
          <w:p>
            <w:pPr>
              <w:jc w:val="center"/>
              <w:ind w:right="140"/>
              <w:spacing w:after="0"/>
              <w:rPr>
                <w:sz w:val="20"/>
                <w:szCs w:val="20"/>
                <w:color w:val="auto"/>
              </w:rPr>
            </w:pPr>
            <w:r>
              <w:rPr>
                <w:rFonts w:ascii="Arial" w:cs="Arial" w:eastAsia="Arial" w:hAnsi="Arial"/>
                <w:sz w:val="15"/>
                <w:szCs w:val="15"/>
                <w:b w:val="1"/>
                <w:bCs w:val="1"/>
                <w:color w:val="auto"/>
                <w:w w:val="82"/>
              </w:rPr>
              <w:t>Gross</w:t>
            </w: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5"/>
                <w:szCs w:val="15"/>
                <w:b w:val="1"/>
                <w:bCs w:val="1"/>
                <w:color w:val="auto"/>
                <w:w w:val="90"/>
              </w:rPr>
              <w:t>Gross Unrealized Losses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center"/>
              <w:ind w:right="201"/>
              <w:spacing w:after="0" w:line="146" w:lineRule="exact"/>
              <w:rPr>
                <w:sz w:val="20"/>
                <w:szCs w:val="20"/>
                <w:color w:val="auto"/>
              </w:rPr>
            </w:pPr>
            <w:r>
              <w:rPr>
                <w:rFonts w:ascii="Arial" w:cs="Arial" w:eastAsia="Arial" w:hAnsi="Arial"/>
                <w:sz w:val="15"/>
                <w:szCs w:val="15"/>
                <w:b w:val="1"/>
                <w:bCs w:val="1"/>
                <w:color w:val="auto"/>
                <w:w w:val="75"/>
              </w:rPr>
              <w:t>Less</w:t>
            </w:r>
          </w:p>
        </w:tc>
        <w:tc>
          <w:tcPr>
            <w:tcW w:w="240" w:type="dxa"/>
            <w:vAlign w:val="bottom"/>
          </w:tcPr>
          <w:p>
            <w:pPr>
              <w:spacing w:after="0"/>
              <w:rPr>
                <w:sz w:val="12"/>
                <w:szCs w:val="12"/>
                <w:color w:val="auto"/>
              </w:rPr>
            </w:pPr>
          </w:p>
        </w:tc>
        <w:tc>
          <w:tcPr>
            <w:tcW w:w="880" w:type="dxa"/>
            <w:vAlign w:val="bottom"/>
          </w:tcPr>
          <w:p>
            <w:pPr>
              <w:jc w:val="center"/>
              <w:ind w:right="140"/>
              <w:spacing w:after="0" w:line="146" w:lineRule="exact"/>
              <w:rPr>
                <w:sz w:val="20"/>
                <w:szCs w:val="20"/>
                <w:color w:val="auto"/>
              </w:rPr>
            </w:pPr>
            <w:r>
              <w:rPr>
                <w:rFonts w:ascii="Arial" w:cs="Arial" w:eastAsia="Arial" w:hAnsi="Arial"/>
                <w:sz w:val="15"/>
                <w:szCs w:val="15"/>
                <w:b w:val="1"/>
                <w:bCs w:val="1"/>
                <w:color w:val="auto"/>
                <w:w w:val="94"/>
              </w:rPr>
              <w:t>More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120"/>
              <w:spacing w:after="0" w:line="159" w:lineRule="exact"/>
              <w:rPr>
                <w:sz w:val="20"/>
                <w:szCs w:val="20"/>
                <w:color w:val="auto"/>
              </w:rPr>
            </w:pPr>
            <w:r>
              <w:rPr>
                <w:rFonts w:ascii="Arial" w:cs="Arial" w:eastAsia="Arial" w:hAnsi="Arial"/>
                <w:sz w:val="15"/>
                <w:szCs w:val="15"/>
                <w:b w:val="1"/>
                <w:bCs w:val="1"/>
                <w:color w:val="auto"/>
                <w:w w:val="89"/>
              </w:rPr>
              <w:t>Amortized</w:t>
            </w:r>
          </w:p>
        </w:tc>
        <w:tc>
          <w:tcPr>
            <w:tcW w:w="220" w:type="dxa"/>
            <w:vAlign w:val="bottom"/>
          </w:tcPr>
          <w:p>
            <w:pPr>
              <w:spacing w:after="0"/>
              <w:rPr>
                <w:sz w:val="13"/>
                <w:szCs w:val="13"/>
                <w:color w:val="auto"/>
              </w:rPr>
            </w:pPr>
          </w:p>
        </w:tc>
        <w:tc>
          <w:tcPr>
            <w:tcW w:w="940" w:type="dxa"/>
            <w:vAlign w:val="bottom"/>
          </w:tcPr>
          <w:p>
            <w:pPr>
              <w:jc w:val="center"/>
              <w:ind w:right="140"/>
              <w:spacing w:after="0" w:line="159" w:lineRule="exact"/>
              <w:rPr>
                <w:sz w:val="20"/>
                <w:szCs w:val="20"/>
                <w:color w:val="auto"/>
              </w:rPr>
            </w:pPr>
            <w:r>
              <w:rPr>
                <w:rFonts w:ascii="Arial" w:cs="Arial" w:eastAsia="Arial" w:hAnsi="Arial"/>
                <w:sz w:val="15"/>
                <w:szCs w:val="15"/>
                <w:b w:val="1"/>
                <w:bCs w:val="1"/>
                <w:color w:val="auto"/>
                <w:w w:val="89"/>
              </w:rPr>
              <w:t>Unrealized</w:t>
            </w:r>
          </w:p>
        </w:tc>
        <w:tc>
          <w:tcPr>
            <w:tcW w:w="280" w:type="dxa"/>
            <w:vAlign w:val="bottom"/>
          </w:tcPr>
          <w:p>
            <w:pPr>
              <w:spacing w:after="0"/>
              <w:rPr>
                <w:sz w:val="13"/>
                <w:szCs w:val="13"/>
                <w:color w:val="auto"/>
              </w:rPr>
            </w:pPr>
          </w:p>
        </w:tc>
        <w:tc>
          <w:tcPr>
            <w:tcW w:w="900" w:type="dxa"/>
            <w:vAlign w:val="bottom"/>
          </w:tcPr>
          <w:p>
            <w:pPr>
              <w:jc w:val="center"/>
              <w:ind w:right="241"/>
              <w:spacing w:after="0" w:line="159" w:lineRule="exact"/>
              <w:rPr>
                <w:sz w:val="20"/>
                <w:szCs w:val="20"/>
                <w:color w:val="auto"/>
              </w:rPr>
            </w:pPr>
            <w:r>
              <w:rPr>
                <w:rFonts w:ascii="Arial" w:cs="Arial" w:eastAsia="Arial" w:hAnsi="Arial"/>
                <w:sz w:val="15"/>
                <w:szCs w:val="15"/>
                <w:b w:val="1"/>
                <w:bCs w:val="1"/>
                <w:color w:val="auto"/>
                <w:w w:val="87"/>
              </w:rPr>
              <w:t>than 12</w:t>
            </w:r>
          </w:p>
        </w:tc>
        <w:tc>
          <w:tcPr>
            <w:tcW w:w="240" w:type="dxa"/>
            <w:vAlign w:val="bottom"/>
          </w:tcPr>
          <w:p>
            <w:pPr>
              <w:spacing w:after="0"/>
              <w:rPr>
                <w:sz w:val="13"/>
                <w:szCs w:val="13"/>
                <w:color w:val="auto"/>
              </w:rPr>
            </w:pPr>
          </w:p>
        </w:tc>
        <w:tc>
          <w:tcPr>
            <w:tcW w:w="880" w:type="dxa"/>
            <w:vAlign w:val="bottom"/>
          </w:tcPr>
          <w:p>
            <w:pPr>
              <w:jc w:val="center"/>
              <w:ind w:right="180"/>
              <w:spacing w:after="0" w:line="159" w:lineRule="exact"/>
              <w:rPr>
                <w:sz w:val="20"/>
                <w:szCs w:val="20"/>
                <w:color w:val="auto"/>
              </w:rPr>
            </w:pPr>
            <w:r>
              <w:rPr>
                <w:rFonts w:ascii="Arial" w:cs="Arial" w:eastAsia="Arial" w:hAnsi="Arial"/>
                <w:sz w:val="15"/>
                <w:szCs w:val="15"/>
                <w:b w:val="1"/>
                <w:bCs w:val="1"/>
                <w:color w:val="auto"/>
                <w:w w:val="87"/>
              </w:rPr>
              <w:t>than 12</w:t>
            </w:r>
          </w:p>
        </w:tc>
        <w:tc>
          <w:tcPr>
            <w:tcW w:w="280" w:type="dxa"/>
            <w:vAlign w:val="bottom"/>
          </w:tcPr>
          <w:p>
            <w:pPr>
              <w:spacing w:after="0"/>
              <w:rPr>
                <w:sz w:val="13"/>
                <w:szCs w:val="13"/>
                <w:color w:val="auto"/>
              </w:rPr>
            </w:pPr>
          </w:p>
        </w:tc>
        <w:tc>
          <w:tcPr>
            <w:tcW w:w="960" w:type="dxa"/>
            <w:vAlign w:val="bottom"/>
          </w:tcPr>
          <w:p>
            <w:pPr>
              <w:jc w:val="right"/>
              <w:ind w:right="438"/>
              <w:spacing w:after="0" w:line="159" w:lineRule="exact"/>
              <w:rPr>
                <w:sz w:val="20"/>
                <w:szCs w:val="20"/>
                <w:color w:val="auto"/>
              </w:rPr>
            </w:pPr>
            <w:r>
              <w:rPr>
                <w:rFonts w:ascii="Arial" w:cs="Arial" w:eastAsia="Arial" w:hAnsi="Arial"/>
                <w:sz w:val="15"/>
                <w:szCs w:val="15"/>
                <w:b w:val="1"/>
                <w:bCs w:val="1"/>
                <w:color w:val="auto"/>
              </w:rPr>
              <w:t>Fair</w:t>
            </w:r>
          </w:p>
        </w:tc>
        <w:tc>
          <w:tcPr>
            <w:tcW w:w="1100" w:type="dxa"/>
            <w:vAlign w:val="bottom"/>
            <w:gridSpan w:val="2"/>
          </w:tcPr>
          <w:p>
            <w:pPr>
              <w:jc w:val="center"/>
              <w:ind w:right="120"/>
              <w:spacing w:after="0" w:line="159" w:lineRule="exact"/>
              <w:rPr>
                <w:sz w:val="20"/>
                <w:szCs w:val="20"/>
                <w:color w:val="auto"/>
              </w:rPr>
            </w:pPr>
            <w:r>
              <w:rPr>
                <w:rFonts w:ascii="Arial" w:cs="Arial" w:eastAsia="Arial" w:hAnsi="Arial"/>
                <w:sz w:val="15"/>
                <w:szCs w:val="15"/>
                <w:b w:val="1"/>
                <w:bCs w:val="1"/>
                <w:color w:val="auto"/>
                <w:w w:val="97"/>
              </w:rPr>
              <w:t>% of Fair</w:t>
            </w:r>
          </w:p>
        </w:tc>
        <w:tc>
          <w:tcPr>
            <w:tcW w:w="0" w:type="dxa"/>
            <w:vAlign w:val="bottom"/>
          </w:tcPr>
          <w:p>
            <w:pPr>
              <w:spacing w:after="0"/>
              <w:rPr>
                <w:sz w:val="1"/>
                <w:szCs w:val="1"/>
                <w:color w:val="auto"/>
              </w:rPr>
            </w:pPr>
          </w:p>
        </w:tc>
      </w:tr>
      <w:tr>
        <w:trPr>
          <w:trHeight w:val="179"/>
        </w:trPr>
        <w:tc>
          <w:tcPr>
            <w:tcW w:w="4640" w:type="dxa"/>
            <w:vAlign w:val="bottom"/>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20" w:type="dxa"/>
            <w:vAlign w:val="bottom"/>
          </w:tcPr>
          <w:p>
            <w:pPr>
              <w:spacing w:after="0"/>
              <w:rPr>
                <w:sz w:val="15"/>
                <w:szCs w:val="15"/>
                <w:color w:val="auto"/>
              </w:rPr>
            </w:pPr>
          </w:p>
        </w:tc>
        <w:tc>
          <w:tcPr>
            <w:tcW w:w="940" w:type="dxa"/>
            <w:vAlign w:val="bottom"/>
          </w:tcPr>
          <w:p>
            <w:pPr>
              <w:jc w:val="center"/>
              <w:ind w:right="100"/>
              <w:spacing w:after="0"/>
              <w:rPr>
                <w:sz w:val="20"/>
                <w:szCs w:val="20"/>
                <w:color w:val="auto"/>
              </w:rPr>
            </w:pPr>
            <w:r>
              <w:rPr>
                <w:rFonts w:ascii="Arial" w:cs="Arial" w:eastAsia="Arial" w:hAnsi="Arial"/>
                <w:sz w:val="15"/>
                <w:szCs w:val="15"/>
                <w:b w:val="1"/>
                <w:bCs w:val="1"/>
                <w:color w:val="auto"/>
                <w:w w:val="85"/>
              </w:rPr>
              <w:t>Cos</w:t>
            </w:r>
            <w:r>
              <w:rPr>
                <w:rFonts w:ascii="Arial" w:cs="Arial" w:eastAsia="Arial" w:hAnsi="Arial"/>
                <w:sz w:val="15"/>
                <w:szCs w:val="15"/>
                <w:color w:val="auto"/>
                <w:w w:val="85"/>
              </w:rPr>
              <w:t>t</w:t>
            </w:r>
          </w:p>
        </w:tc>
        <w:tc>
          <w:tcPr>
            <w:tcW w:w="220" w:type="dxa"/>
            <w:vAlign w:val="bottom"/>
          </w:tcPr>
          <w:p>
            <w:pPr>
              <w:spacing w:after="0"/>
              <w:rPr>
                <w:sz w:val="15"/>
                <w:szCs w:val="15"/>
                <w:color w:val="auto"/>
              </w:rPr>
            </w:pPr>
          </w:p>
        </w:tc>
        <w:tc>
          <w:tcPr>
            <w:tcW w:w="940" w:type="dxa"/>
            <w:vAlign w:val="bottom"/>
          </w:tcPr>
          <w:p>
            <w:pPr>
              <w:jc w:val="center"/>
              <w:ind w:right="100"/>
              <w:spacing w:after="0"/>
              <w:rPr>
                <w:sz w:val="20"/>
                <w:szCs w:val="20"/>
                <w:color w:val="auto"/>
              </w:rPr>
            </w:pPr>
            <w:r>
              <w:rPr>
                <w:rFonts w:ascii="Arial" w:cs="Arial" w:eastAsia="Arial" w:hAnsi="Arial"/>
                <w:sz w:val="15"/>
                <w:szCs w:val="15"/>
                <w:b w:val="1"/>
                <w:bCs w:val="1"/>
                <w:color w:val="auto"/>
                <w:w w:val="86"/>
              </w:rPr>
              <w:t>Gains</w:t>
            </w:r>
          </w:p>
        </w:tc>
        <w:tc>
          <w:tcPr>
            <w:tcW w:w="280" w:type="dxa"/>
            <w:vAlign w:val="bottom"/>
          </w:tcPr>
          <w:p>
            <w:pPr>
              <w:spacing w:after="0"/>
              <w:rPr>
                <w:sz w:val="15"/>
                <w:szCs w:val="15"/>
                <w:color w:val="auto"/>
              </w:rPr>
            </w:pPr>
          </w:p>
        </w:tc>
        <w:tc>
          <w:tcPr>
            <w:tcW w:w="900" w:type="dxa"/>
            <w:vAlign w:val="bottom"/>
          </w:tcPr>
          <w:p>
            <w:pPr>
              <w:jc w:val="center"/>
              <w:ind w:right="181"/>
              <w:spacing w:after="0"/>
              <w:rPr>
                <w:sz w:val="20"/>
                <w:szCs w:val="20"/>
                <w:color w:val="auto"/>
              </w:rPr>
            </w:pPr>
            <w:r>
              <w:rPr>
                <w:rFonts w:ascii="Arial" w:cs="Arial" w:eastAsia="Arial" w:hAnsi="Arial"/>
                <w:sz w:val="15"/>
                <w:szCs w:val="15"/>
                <w:b w:val="1"/>
                <w:bCs w:val="1"/>
                <w:color w:val="auto"/>
                <w:w w:val="89"/>
              </w:rPr>
              <w:t>Months</w:t>
            </w:r>
          </w:p>
        </w:tc>
        <w:tc>
          <w:tcPr>
            <w:tcW w:w="240" w:type="dxa"/>
            <w:vAlign w:val="bottom"/>
          </w:tcPr>
          <w:p>
            <w:pPr>
              <w:spacing w:after="0"/>
              <w:rPr>
                <w:sz w:val="15"/>
                <w:szCs w:val="15"/>
                <w:color w:val="auto"/>
              </w:rPr>
            </w:pPr>
          </w:p>
        </w:tc>
        <w:tc>
          <w:tcPr>
            <w:tcW w:w="880" w:type="dxa"/>
            <w:vAlign w:val="bottom"/>
          </w:tcPr>
          <w:p>
            <w:pPr>
              <w:jc w:val="center"/>
              <w:ind w:right="160"/>
              <w:spacing w:after="0"/>
              <w:rPr>
                <w:sz w:val="20"/>
                <w:szCs w:val="20"/>
                <w:color w:val="auto"/>
              </w:rPr>
            </w:pPr>
            <w:r>
              <w:rPr>
                <w:rFonts w:ascii="Arial" w:cs="Arial" w:eastAsia="Arial" w:hAnsi="Arial"/>
                <w:sz w:val="15"/>
                <w:szCs w:val="15"/>
                <w:b w:val="1"/>
                <w:bCs w:val="1"/>
                <w:color w:val="auto"/>
                <w:w w:val="89"/>
              </w:rPr>
              <w:t>Months</w:t>
            </w:r>
          </w:p>
        </w:tc>
        <w:tc>
          <w:tcPr>
            <w:tcW w:w="280" w:type="dxa"/>
            <w:vAlign w:val="bottom"/>
          </w:tcPr>
          <w:p>
            <w:pPr>
              <w:spacing w:after="0"/>
              <w:rPr>
                <w:sz w:val="15"/>
                <w:szCs w:val="15"/>
                <w:color w:val="auto"/>
              </w:rPr>
            </w:pPr>
          </w:p>
        </w:tc>
        <w:tc>
          <w:tcPr>
            <w:tcW w:w="960" w:type="dxa"/>
            <w:vAlign w:val="bottom"/>
          </w:tcPr>
          <w:p>
            <w:pPr>
              <w:jc w:val="right"/>
              <w:ind w:right="378"/>
              <w:spacing w:after="0"/>
              <w:rPr>
                <w:sz w:val="20"/>
                <w:szCs w:val="20"/>
                <w:color w:val="auto"/>
              </w:rPr>
            </w:pPr>
            <w:r>
              <w:rPr>
                <w:rFonts w:ascii="Arial" w:cs="Arial" w:eastAsia="Arial" w:hAnsi="Arial"/>
                <w:sz w:val="15"/>
                <w:szCs w:val="15"/>
                <w:b w:val="1"/>
                <w:bCs w:val="1"/>
                <w:color w:val="auto"/>
              </w:rPr>
              <w:t>Value</w:t>
            </w:r>
          </w:p>
        </w:tc>
        <w:tc>
          <w:tcPr>
            <w:tcW w:w="11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4"/>
              </w:rPr>
              <w:t>Value</w:t>
            </w:r>
          </w:p>
        </w:tc>
        <w:tc>
          <w:tcPr>
            <w:tcW w:w="0" w:type="dxa"/>
            <w:vAlign w:val="bottom"/>
          </w:tcPr>
          <w:p>
            <w:pPr>
              <w:spacing w:after="0"/>
              <w:rPr>
                <w:sz w:val="1"/>
                <w:szCs w:val="1"/>
                <w:color w:val="auto"/>
              </w:rPr>
            </w:pPr>
          </w:p>
        </w:tc>
      </w:tr>
      <w:tr>
        <w:trPr>
          <w:trHeight w:val="238"/>
        </w:trPr>
        <w:tc>
          <w:tcPr>
            <w:tcW w:w="46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729,466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147,573</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(1,729)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875,310</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7"/>
                <w:szCs w:val="17"/>
                <w:color w:val="auto"/>
              </w:rPr>
              <w:t>998,984</w:t>
            </w:r>
          </w:p>
        </w:tc>
        <w:tc>
          <w:tcPr>
            <w:tcW w:w="22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7"/>
                <w:szCs w:val="17"/>
                <w:color w:val="auto"/>
              </w:rPr>
              <w:t>50,366</w:t>
            </w:r>
          </w:p>
        </w:tc>
        <w:tc>
          <w:tcPr>
            <w:tcW w:w="28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60" w:type="dxa"/>
            <w:vAlign w:val="bottom"/>
          </w:tcPr>
          <w:p>
            <w:pPr>
              <w:jc w:val="right"/>
              <w:ind w:right="118"/>
              <w:spacing w:after="0"/>
              <w:rPr>
                <w:sz w:val="20"/>
                <w:szCs w:val="20"/>
                <w:color w:val="auto"/>
              </w:rPr>
            </w:pPr>
            <w:r>
              <w:rPr>
                <w:rFonts w:ascii="Arial" w:cs="Arial" w:eastAsia="Arial" w:hAnsi="Arial"/>
                <w:sz w:val="17"/>
                <w:szCs w:val="17"/>
                <w:color w:val="auto"/>
                <w:w w:val="97"/>
              </w:rPr>
              <w:t>1,049,350</w:t>
            </w:r>
          </w:p>
        </w:tc>
        <w:tc>
          <w:tcPr>
            <w:tcW w:w="1060" w:type="dxa"/>
            <w:vAlign w:val="bottom"/>
          </w:tcPr>
          <w:p>
            <w:pPr>
              <w:jc w:val="right"/>
              <w:spacing w:after="0"/>
              <w:rPr>
                <w:sz w:val="20"/>
                <w:szCs w:val="20"/>
                <w:color w:val="auto"/>
              </w:rPr>
            </w:pPr>
            <w:r>
              <w:rPr>
                <w:rFonts w:ascii="Arial" w:cs="Arial" w:eastAsia="Arial" w:hAnsi="Arial"/>
                <w:sz w:val="17"/>
                <w:szCs w:val="17"/>
                <w:color w:val="auto"/>
              </w:rPr>
              <w:t>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3,141,358</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90,358</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(6,300)</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w w:val="97"/>
              </w:rPr>
              <w:t>3,225,416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4,869,808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288,297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(1,729)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w w:val="97"/>
              </w:rPr>
              <w:t>5,150,076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Held-to-maturity U.S. Treasury securities are held in trust pursuant to various states’ minimum fund requirements.</w:t>
      </w:r>
    </w:p>
    <w:p>
      <w:pPr>
        <w:spacing w:after="0" w:line="22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A summary of the amortized cost and fair value of our investments in held-to-maturity securities by contractual maturity as of September 30, 2018 and December 31, 2017 is shown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20" w:type="dxa"/>
            <w:vAlign w:val="bottom"/>
          </w:tcPr>
          <w:p>
            <w:pPr>
              <w:spacing w:after="0"/>
              <w:rPr>
                <w:sz w:val="15"/>
                <w:szCs w:val="15"/>
                <w:color w:val="auto"/>
              </w:rPr>
            </w:pPr>
          </w:p>
        </w:tc>
        <w:tc>
          <w:tcPr>
            <w:tcW w:w="2760" w:type="dxa"/>
            <w:vAlign w:val="bottom"/>
            <w:tcBorders>
              <w:bottom w:val="single" w:sz="8" w:color="auto"/>
            </w:tcBorders>
            <w:gridSpan w:val="2"/>
          </w:tcPr>
          <w:p>
            <w:pPr>
              <w:ind w:left="780"/>
              <w:spacing w:after="0"/>
              <w:rPr>
                <w:sz w:val="20"/>
                <w:szCs w:val="20"/>
                <w:color w:val="auto"/>
              </w:rPr>
            </w:pPr>
            <w:r>
              <w:rPr>
                <w:rFonts w:ascii="Arial" w:cs="Arial" w:eastAsia="Arial" w:hAnsi="Arial"/>
                <w:sz w:val="15"/>
                <w:szCs w:val="15"/>
                <w:b w:val="1"/>
                <w:bCs w:val="1"/>
                <w:color w:val="auto"/>
              </w:rPr>
              <w:t>September 30, 2018</w:t>
            </w:r>
          </w:p>
        </w:tc>
        <w:tc>
          <w:tcPr>
            <w:tcW w:w="2780" w:type="dxa"/>
            <w:vAlign w:val="bottom"/>
            <w:tcBorders>
              <w:bottom w:val="single" w:sz="8" w:color="auto"/>
            </w:tcBorders>
            <w:gridSpan w:val="2"/>
          </w:tcPr>
          <w:p>
            <w:pPr>
              <w:ind w:left="820"/>
              <w:spacing w:after="0"/>
              <w:rPr>
                <w:sz w:val="20"/>
                <w:szCs w:val="20"/>
                <w:color w:val="auto"/>
              </w:rPr>
            </w:pPr>
            <w:r>
              <w:rPr>
                <w:rFonts w:ascii="Arial" w:cs="Arial" w:eastAsia="Arial" w:hAnsi="Arial"/>
                <w:sz w:val="15"/>
                <w:szCs w:val="15"/>
                <w:b w:val="1"/>
                <w:bCs w:val="1"/>
                <w:color w:val="auto"/>
              </w:rPr>
              <w:t>December 31, 2017</w:t>
            </w:r>
          </w:p>
        </w:tc>
      </w:tr>
      <w:tr>
        <w:trPr>
          <w:trHeight w:val="146"/>
        </w:trPr>
        <w:tc>
          <w:tcPr>
            <w:tcW w:w="602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Amortized</w:t>
            </w:r>
          </w:p>
        </w:tc>
        <w:tc>
          <w:tcPr>
            <w:tcW w:w="1380" w:type="dxa"/>
            <w:vAlign w:val="bottom"/>
          </w:tcPr>
          <w:p>
            <w:pPr>
              <w:spacing w:after="0"/>
              <w:rPr>
                <w:sz w:val="12"/>
                <w:szCs w:val="12"/>
                <w:color w:val="auto"/>
              </w:rPr>
            </w:pPr>
          </w:p>
        </w:tc>
        <w:tc>
          <w:tcPr>
            <w:tcW w:w="140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Amortized</w:t>
            </w:r>
          </w:p>
        </w:tc>
        <w:tc>
          <w:tcPr>
            <w:tcW w:w="1380" w:type="dxa"/>
            <w:vAlign w:val="bottom"/>
          </w:tcPr>
          <w:p>
            <w:pPr>
              <w:spacing w:after="0"/>
              <w:rPr>
                <w:sz w:val="12"/>
                <w:szCs w:val="12"/>
                <w:color w:val="auto"/>
              </w:rPr>
            </w:pPr>
          </w:p>
        </w:tc>
      </w:tr>
      <w:tr>
        <w:trPr>
          <w:trHeight w:val="179"/>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Remaining Time to Maturit</w:t>
            </w:r>
            <w:r>
              <w:rPr>
                <w:rFonts w:ascii="Arial" w:cs="Arial" w:eastAsia="Arial" w:hAnsi="Arial"/>
                <w:sz w:val="15"/>
                <w:szCs w:val="15"/>
                <w:color w:val="auto"/>
              </w:rPr>
              <w:t>y</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Cost</w:t>
            </w: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Fair Value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Cost</w:t>
            </w: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Fair Value</w:t>
            </w:r>
          </w:p>
        </w:tc>
      </w:tr>
    </w:tbl>
    <w:p>
      <w:pPr>
        <w:spacing w:after="0" w:line="200" w:lineRule="exact"/>
        <w:rPr>
          <w:sz w:val="20"/>
          <w:szCs w:val="20"/>
          <w:color w:val="auto"/>
        </w:rPr>
      </w:pPr>
    </w:p>
    <w:p>
      <w:pPr>
        <w:sectPr>
          <w:pgSz w:w="11900" w:h="16838" w:orient="portrait"/>
          <w:cols w:equalWidth="0" w:num="1">
            <w:col w:w="11600"/>
          </w:cols>
          <w:pgMar w:left="160" w:top="470" w:right="139" w:bottom="1440" w:gutter="0" w:footer="0" w:header="0"/>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Less than one year</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color w:val="auto"/>
        </w:rPr>
        <w:t>One to five years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Five to ten years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5"/>
          <w:szCs w:val="15"/>
          <w:color w:val="auto"/>
        </w:rPr>
        <w:t>More than 10 years</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4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w:t>
            </w:r>
          </w:p>
        </w:tc>
      </w:tr>
      <w:tr>
        <w:trPr>
          <w:trHeight w:val="212"/>
        </w:trPr>
        <w:tc>
          <w:tcPr>
            <w:tcW w:w="4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2,996,308</w:t>
            </w:r>
          </w:p>
        </w:tc>
        <w:tc>
          <w:tcPr>
            <w:tcW w:w="40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7"/>
                <w:szCs w:val="17"/>
                <w:color w:val="auto"/>
              </w:rPr>
              <w:t>3,030,709</w:t>
            </w:r>
          </w:p>
        </w:tc>
        <w:tc>
          <w:tcPr>
            <w:tcW w:w="4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2,546,459</w:t>
            </w:r>
          </w:p>
        </w:tc>
        <w:tc>
          <w:tcPr>
            <w:tcW w:w="4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2,601,898</w:t>
            </w:r>
          </w:p>
        </w:tc>
      </w:tr>
      <w:tr>
        <w:trPr>
          <w:trHeight w:val="212"/>
        </w:trPr>
        <w:tc>
          <w:tcPr>
            <w:tcW w:w="4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619,548</w:t>
            </w:r>
          </w:p>
        </w:tc>
        <w:tc>
          <w:tcPr>
            <w:tcW w:w="40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7"/>
                <w:szCs w:val="17"/>
                <w:color w:val="auto"/>
              </w:rPr>
              <w:t>626,016</w:t>
            </w:r>
          </w:p>
        </w:tc>
        <w:tc>
          <w:tcPr>
            <w:tcW w:w="4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1,716,884</w:t>
            </w:r>
          </w:p>
        </w:tc>
        <w:tc>
          <w:tcPr>
            <w:tcW w:w="4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1,794,139</w:t>
            </w:r>
          </w:p>
        </w:tc>
      </w:tr>
      <w:tr>
        <w:trPr>
          <w:trHeight w:val="227"/>
        </w:trPr>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606,496</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754,039</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606,466</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754,039</w:t>
            </w:r>
          </w:p>
        </w:tc>
      </w:tr>
      <w:tr>
        <w:trPr>
          <w:trHeight w:val="212"/>
        </w:trPr>
        <w:tc>
          <w:tcPr>
            <w:tcW w:w="4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4,222,352</w:t>
            </w:r>
          </w:p>
        </w:tc>
        <w:tc>
          <w:tcPr>
            <w:tcW w:w="4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4,410,764</w:t>
            </w:r>
          </w:p>
        </w:tc>
        <w:tc>
          <w:tcPr>
            <w:tcW w:w="4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4,869,808</w:t>
            </w:r>
          </w:p>
        </w:tc>
        <w:tc>
          <w:tcPr>
            <w:tcW w:w="4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5,150,076</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-722630</wp:posOffset>
            </wp:positionV>
            <wp:extent cx="7340600" cy="134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40600" cy="134620"/>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-453390</wp:posOffset>
            </wp:positionV>
            <wp:extent cx="7340600" cy="134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40600" cy="134620"/>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-167640</wp:posOffset>
            </wp:positionV>
            <wp:extent cx="7340600" cy="168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4060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580"/>
          </w:cols>
          <w:pgMar w:left="160" w:top="470" w:right="139" w:bottom="1440" w:gutter="0" w:footer="0" w:header="0"/>
          <w:type w:val="continuous"/>
        </w:sect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3406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600"/>
          </w:cols>
          <w:pgMar w:left="160" w:top="470" w:right="139" w:bottom="1440" w:gutter="0" w:footer="0" w:header="0"/>
          <w:type w:val="continuous"/>
        </w:sectPr>
      </w:pPr>
    </w:p>
    <w:bookmarkStart w:id="69" w:name="page70"/>
    <w:bookmarkEnd w:id="69"/>
    <w:p>
      <w:pPr>
        <w:ind w:left="640"/>
        <w:spacing w:after="0"/>
        <w:rPr>
          <w:sz w:val="20"/>
          <w:szCs w:val="20"/>
          <w:color w:val="auto"/>
        </w:rPr>
      </w:pPr>
      <w:r>
        <w:rPr>
          <w:rFonts w:ascii="Arial" w:cs="Arial" w:eastAsia="Arial" w:hAnsi="Arial"/>
          <w:sz w:val="17"/>
          <w:szCs w:val="17"/>
          <w:b w:val="1"/>
          <w:bCs w:val="1"/>
          <w:i w:val="1"/>
          <w:iCs w:val="1"/>
          <w:color w:val="auto"/>
        </w:rPr>
        <w:t>Credit Rating of Fixed-Maturity Securities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table below summarizes the credit quality of our available-for-sale fixed-maturity securities as of September 30, 2018 and December 31, 2017 as rated by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Standard &amp; Poor’s (or, if unavailable from Standard &amp; Poor’s, then Moody’s or Fitch):</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2"/>
          </w:tcPr>
          <w:p>
            <w:pPr>
              <w:jc w:val="right"/>
              <w:ind w:right="776"/>
              <w:spacing w:after="0"/>
              <w:rPr>
                <w:sz w:val="20"/>
                <w:szCs w:val="20"/>
                <w:color w:val="auto"/>
              </w:rPr>
            </w:pPr>
            <w:r>
              <w:rPr>
                <w:rFonts w:ascii="Arial" w:cs="Arial" w:eastAsia="Arial" w:hAnsi="Arial"/>
                <w:sz w:val="15"/>
                <w:szCs w:val="15"/>
                <w:b w:val="1"/>
                <w:bCs w:val="1"/>
                <w:color w:val="auto"/>
              </w:rPr>
              <w:t>September 30, 2018</w:t>
            </w:r>
          </w:p>
        </w:tc>
        <w:tc>
          <w:tcPr>
            <w:tcW w:w="160" w:type="dxa"/>
            <w:vAlign w:val="bottom"/>
          </w:tcPr>
          <w:p>
            <w:pPr>
              <w:spacing w:after="0"/>
              <w:rPr>
                <w:sz w:val="15"/>
                <w:szCs w:val="15"/>
                <w:color w:val="auto"/>
              </w:rPr>
            </w:pPr>
          </w:p>
        </w:tc>
        <w:tc>
          <w:tcPr>
            <w:tcW w:w="254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December 31, 2017</w:t>
            </w: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right="36"/>
              <w:spacing w:after="0" w:line="146" w:lineRule="exact"/>
              <w:rPr>
                <w:sz w:val="20"/>
                <w:szCs w:val="20"/>
                <w:color w:val="auto"/>
              </w:rPr>
            </w:pPr>
            <w:r>
              <w:rPr>
                <w:rFonts w:ascii="Arial" w:cs="Arial" w:eastAsia="Arial" w:hAnsi="Arial"/>
                <w:sz w:val="15"/>
                <w:szCs w:val="15"/>
                <w:b w:val="1"/>
                <w:bCs w:val="1"/>
                <w:color w:val="auto"/>
                <w:w w:val="84"/>
              </w:rPr>
              <w:t>Percentage of</w:t>
            </w: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5"/>
                <w:szCs w:val="15"/>
                <w:b w:val="1"/>
                <w:bCs w:val="1"/>
                <w:color w:val="auto"/>
                <w:w w:val="84"/>
              </w:rPr>
              <w:t>Percentage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276"/>
              <w:spacing w:after="0" w:line="159" w:lineRule="exact"/>
              <w:rPr>
                <w:sz w:val="20"/>
                <w:szCs w:val="20"/>
                <w:color w:val="auto"/>
              </w:rPr>
            </w:pPr>
            <w:r>
              <w:rPr>
                <w:rFonts w:ascii="Arial" w:cs="Arial" w:eastAsia="Arial" w:hAnsi="Arial"/>
                <w:sz w:val="15"/>
                <w:szCs w:val="15"/>
                <w:b w:val="1"/>
                <w:bCs w:val="1"/>
                <w:color w:val="auto"/>
                <w:w w:val="99"/>
              </w:rPr>
              <w:t>Fair Market</w:t>
            </w:r>
          </w:p>
        </w:tc>
        <w:tc>
          <w:tcPr>
            <w:tcW w:w="1400" w:type="dxa"/>
            <w:vAlign w:val="bottom"/>
          </w:tcPr>
          <w:p>
            <w:pPr>
              <w:jc w:val="center"/>
              <w:ind w:right="36"/>
              <w:spacing w:after="0" w:line="159" w:lineRule="exact"/>
              <w:rPr>
                <w:sz w:val="20"/>
                <w:szCs w:val="20"/>
                <w:color w:val="auto"/>
              </w:rPr>
            </w:pPr>
            <w:r>
              <w:rPr>
                <w:rFonts w:ascii="Arial" w:cs="Arial" w:eastAsia="Arial" w:hAnsi="Arial"/>
                <w:sz w:val="15"/>
                <w:szCs w:val="15"/>
                <w:b w:val="1"/>
                <w:bCs w:val="1"/>
                <w:color w:val="auto"/>
                <w:w w:val="94"/>
              </w:rPr>
              <w:t>Fair Market</w:t>
            </w:r>
          </w:p>
        </w:tc>
        <w:tc>
          <w:tcPr>
            <w:tcW w:w="160" w:type="dxa"/>
            <w:vAlign w:val="bottom"/>
          </w:tcPr>
          <w:p>
            <w:pPr>
              <w:spacing w:after="0"/>
              <w:rPr>
                <w:sz w:val="13"/>
                <w:szCs w:val="13"/>
                <w:color w:val="auto"/>
              </w:rPr>
            </w:pPr>
          </w:p>
        </w:tc>
        <w:tc>
          <w:tcPr>
            <w:tcW w:w="1280" w:type="dxa"/>
            <w:vAlign w:val="bottom"/>
          </w:tcPr>
          <w:p>
            <w:pPr>
              <w:jc w:val="center"/>
              <w:ind w:right="256"/>
              <w:spacing w:after="0" w:line="159" w:lineRule="exact"/>
              <w:rPr>
                <w:sz w:val="20"/>
                <w:szCs w:val="20"/>
                <w:color w:val="auto"/>
              </w:rPr>
            </w:pPr>
            <w:r>
              <w:rPr>
                <w:rFonts w:ascii="Arial" w:cs="Arial" w:eastAsia="Arial" w:hAnsi="Arial"/>
                <w:sz w:val="15"/>
                <w:szCs w:val="15"/>
                <w:b w:val="1"/>
                <w:bCs w:val="1"/>
                <w:color w:val="auto"/>
                <w:w w:val="97"/>
              </w:rPr>
              <w:t>Fair Market</w:t>
            </w:r>
          </w:p>
        </w:tc>
        <w:tc>
          <w:tcPr>
            <w:tcW w:w="1260" w:type="dxa"/>
            <w:vAlign w:val="bottom"/>
            <w:gridSpan w:val="2"/>
          </w:tcPr>
          <w:p>
            <w:pPr>
              <w:jc w:val="center"/>
              <w:ind w:right="120"/>
              <w:spacing w:after="0" w:line="159" w:lineRule="exact"/>
              <w:rPr>
                <w:sz w:val="20"/>
                <w:szCs w:val="20"/>
                <w:color w:val="auto"/>
              </w:rPr>
            </w:pPr>
            <w:r>
              <w:rPr>
                <w:rFonts w:ascii="Arial" w:cs="Arial" w:eastAsia="Arial" w:hAnsi="Arial"/>
                <w:sz w:val="15"/>
                <w:szCs w:val="15"/>
                <w:b w:val="1"/>
                <w:bCs w:val="1"/>
                <w:color w:val="auto"/>
                <w:w w:val="97"/>
              </w:rPr>
              <w:t>Fair Market</w:t>
            </w:r>
          </w:p>
        </w:tc>
        <w:tc>
          <w:tcPr>
            <w:tcW w:w="0" w:type="dxa"/>
            <w:vAlign w:val="bottom"/>
          </w:tcPr>
          <w:p>
            <w:pPr>
              <w:spacing w:after="0"/>
              <w:rPr>
                <w:sz w:val="1"/>
                <w:szCs w:val="1"/>
                <w:color w:val="auto"/>
              </w:rPr>
            </w:pPr>
          </w:p>
        </w:tc>
      </w:tr>
      <w:tr>
        <w:trPr>
          <w:trHeight w:val="179"/>
        </w:trPr>
        <w:tc>
          <w:tcPr>
            <w:tcW w:w="5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496"/>
              <w:spacing w:after="0"/>
              <w:rPr>
                <w:sz w:val="20"/>
                <w:szCs w:val="20"/>
                <w:color w:val="auto"/>
              </w:rPr>
            </w:pPr>
            <w:r>
              <w:rPr>
                <w:rFonts w:ascii="Arial" w:cs="Arial" w:eastAsia="Arial" w:hAnsi="Arial"/>
                <w:sz w:val="15"/>
                <w:szCs w:val="15"/>
                <w:b w:val="1"/>
                <w:bCs w:val="1"/>
                <w:color w:val="auto"/>
              </w:rPr>
              <w:t>Value</w:t>
            </w:r>
          </w:p>
        </w:tc>
        <w:tc>
          <w:tcPr>
            <w:tcW w:w="1400" w:type="dxa"/>
            <w:vAlign w:val="bottom"/>
          </w:tcPr>
          <w:p>
            <w:pPr>
              <w:jc w:val="center"/>
              <w:ind w:right="36"/>
              <w:spacing w:after="0"/>
              <w:rPr>
                <w:sz w:val="20"/>
                <w:szCs w:val="20"/>
                <w:color w:val="auto"/>
              </w:rPr>
            </w:pPr>
            <w:r>
              <w:rPr>
                <w:rFonts w:ascii="Arial" w:cs="Arial" w:eastAsia="Arial" w:hAnsi="Arial"/>
                <w:sz w:val="15"/>
                <w:szCs w:val="15"/>
                <w:b w:val="1"/>
                <w:bCs w:val="1"/>
                <w:color w:val="auto"/>
                <w:w w:val="89"/>
              </w:rPr>
              <w:t>Value</w:t>
            </w:r>
          </w:p>
        </w:tc>
        <w:tc>
          <w:tcPr>
            <w:tcW w:w="160" w:type="dxa"/>
            <w:vAlign w:val="bottom"/>
          </w:tcPr>
          <w:p>
            <w:pPr>
              <w:spacing w:after="0"/>
              <w:rPr>
                <w:sz w:val="15"/>
                <w:szCs w:val="15"/>
                <w:color w:val="auto"/>
              </w:rPr>
            </w:pPr>
          </w:p>
        </w:tc>
        <w:tc>
          <w:tcPr>
            <w:tcW w:w="1280" w:type="dxa"/>
            <w:vAlign w:val="bottom"/>
          </w:tcPr>
          <w:p>
            <w:pPr>
              <w:jc w:val="center"/>
              <w:ind w:right="256"/>
              <w:spacing w:after="0"/>
              <w:rPr>
                <w:sz w:val="20"/>
                <w:szCs w:val="20"/>
                <w:color w:val="auto"/>
              </w:rPr>
            </w:pPr>
            <w:r>
              <w:rPr>
                <w:rFonts w:ascii="Arial" w:cs="Arial" w:eastAsia="Arial" w:hAnsi="Arial"/>
                <w:sz w:val="15"/>
                <w:szCs w:val="15"/>
                <w:b w:val="1"/>
                <w:bCs w:val="1"/>
                <w:color w:val="auto"/>
                <w:w w:val="84"/>
              </w:rPr>
              <w:t>Value</w:t>
            </w: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4"/>
              </w:rPr>
              <w:t>Value</w:t>
            </w:r>
          </w:p>
        </w:tc>
        <w:tc>
          <w:tcPr>
            <w:tcW w:w="0" w:type="dxa"/>
            <w:vAlign w:val="bottom"/>
          </w:tcPr>
          <w:p>
            <w:pPr>
              <w:spacing w:after="0"/>
              <w:rPr>
                <w:sz w:val="1"/>
                <w:szCs w:val="1"/>
                <w:color w:val="auto"/>
              </w:rPr>
            </w:pPr>
          </w:p>
        </w:tc>
      </w:tr>
      <w:tr>
        <w:trPr>
          <w:trHeight w:val="238"/>
        </w:trPr>
        <w:tc>
          <w:tcPr>
            <w:tcW w:w="55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Rating</w:t>
            </w: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40"/>
              <w:spacing w:after="0"/>
              <w:rPr>
                <w:sz w:val="20"/>
                <w:szCs w:val="20"/>
                <w:color w:val="auto"/>
              </w:rPr>
            </w:pPr>
            <w:r>
              <w:rPr>
                <w:rFonts w:ascii="Arial" w:cs="Arial" w:eastAsia="Arial" w:hAnsi="Arial"/>
                <w:sz w:val="17"/>
                <w:szCs w:val="17"/>
                <w:color w:val="auto"/>
                <w:w w:val="93"/>
              </w:rPr>
              <w:t>U.S. Treasury securities and obligations of U.S. government corporations and</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540" w:type="dxa"/>
            <w:vAlign w:val="bottom"/>
          </w:tcPr>
          <w:p>
            <w:pPr>
              <w:spacing w:after="0"/>
              <w:rPr>
                <w:sz w:val="20"/>
                <w:szCs w:val="20"/>
                <w:color w:val="auto"/>
              </w:rPr>
            </w:pPr>
            <w:r>
              <w:rPr>
                <w:rFonts w:ascii="Arial" w:cs="Arial" w:eastAsia="Arial" w:hAnsi="Arial"/>
                <w:sz w:val="17"/>
                <w:szCs w:val="17"/>
                <w:color w:val="auto"/>
              </w:rPr>
              <w:t>agencies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8,139,737</w:t>
            </w:r>
          </w:p>
        </w:tc>
        <w:tc>
          <w:tcPr>
            <w:tcW w:w="1400" w:type="dxa"/>
            <w:vAlign w:val="bottom"/>
          </w:tcPr>
          <w:p>
            <w:pPr>
              <w:jc w:val="right"/>
              <w:spacing w:after="0"/>
              <w:rPr>
                <w:sz w:val="20"/>
                <w:szCs w:val="20"/>
                <w:color w:val="auto"/>
              </w:rPr>
            </w:pPr>
            <w:r>
              <w:rPr>
                <w:rFonts w:ascii="Arial" w:cs="Arial" w:eastAsia="Arial" w:hAnsi="Arial"/>
                <w:sz w:val="17"/>
                <w:szCs w:val="17"/>
                <w:color w:val="auto"/>
              </w:rPr>
              <w:t>5.8%</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40"/>
              <w:spacing w:after="0"/>
              <w:rPr>
                <w:sz w:val="20"/>
                <w:szCs w:val="20"/>
                <w:color w:val="auto"/>
              </w:rPr>
            </w:pPr>
            <w:r>
              <w:rPr>
                <w:rFonts w:ascii="Arial" w:cs="Arial" w:eastAsia="Arial" w:hAnsi="Arial"/>
                <w:sz w:val="17"/>
                <w:szCs w:val="17"/>
                <w:color w:val="auto"/>
              </w:rPr>
              <w:t>Corporate and municipal bonds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AAA</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974,663</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1,358,143</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200"/>
              <w:spacing w:after="0"/>
              <w:rPr>
                <w:sz w:val="20"/>
                <w:szCs w:val="20"/>
                <w:color w:val="auto"/>
              </w:rPr>
            </w:pPr>
            <w:r>
              <w:rPr>
                <w:rFonts w:ascii="Arial" w:cs="Arial" w:eastAsia="Arial" w:hAnsi="Arial"/>
                <w:sz w:val="17"/>
                <w:szCs w:val="17"/>
                <w:color w:val="auto"/>
              </w:rPr>
              <w:t>AA</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7,450,294</w:t>
            </w:r>
          </w:p>
        </w:tc>
        <w:tc>
          <w:tcPr>
            <w:tcW w:w="1400" w:type="dxa"/>
            <w:vAlign w:val="bottom"/>
          </w:tcPr>
          <w:p>
            <w:pPr>
              <w:jc w:val="right"/>
              <w:spacing w:after="0"/>
              <w:rPr>
                <w:sz w:val="20"/>
                <w:szCs w:val="20"/>
                <w:color w:val="auto"/>
              </w:rPr>
            </w:pPr>
            <w:r>
              <w:rPr>
                <w:rFonts w:ascii="Arial" w:cs="Arial" w:eastAsia="Arial" w:hAnsi="Arial"/>
                <w:sz w:val="17"/>
                <w:szCs w:val="17"/>
                <w:color w:val="auto"/>
              </w:rPr>
              <w:t>5.3%</w:t>
            </w:r>
          </w:p>
        </w:tc>
        <w:tc>
          <w:tcPr>
            <w:tcW w:w="160" w:type="dxa"/>
            <w:vAlign w:val="bottom"/>
          </w:tcPr>
          <w:p>
            <w:pPr>
              <w:spacing w:after="0"/>
              <w:rPr>
                <w:sz w:val="18"/>
                <w:szCs w:val="18"/>
                <w:color w:val="auto"/>
              </w:rPr>
            </w:pPr>
          </w:p>
        </w:tc>
        <w:tc>
          <w:tcPr>
            <w:tcW w:w="1280" w:type="dxa"/>
            <w:vAlign w:val="bottom"/>
          </w:tcPr>
          <w:p>
            <w:pPr>
              <w:jc w:val="right"/>
              <w:ind w:right="196"/>
              <w:spacing w:after="0"/>
              <w:rPr>
                <w:sz w:val="20"/>
                <w:szCs w:val="20"/>
                <w:color w:val="auto"/>
              </w:rPr>
            </w:pPr>
            <w:r>
              <w:rPr>
                <w:rFonts w:ascii="Arial" w:cs="Arial" w:eastAsia="Arial" w:hAnsi="Arial"/>
                <w:sz w:val="17"/>
                <w:szCs w:val="17"/>
                <w:color w:val="auto"/>
              </w:rPr>
              <w:t>11,319,057</w:t>
            </w:r>
          </w:p>
        </w:tc>
        <w:tc>
          <w:tcPr>
            <w:tcW w:w="1240" w:type="dxa"/>
            <w:vAlign w:val="bottom"/>
          </w:tcPr>
          <w:p>
            <w:pPr>
              <w:jc w:val="right"/>
              <w:spacing w:after="0"/>
              <w:rPr>
                <w:sz w:val="20"/>
                <w:szCs w:val="20"/>
                <w:color w:val="auto"/>
              </w:rPr>
            </w:pPr>
            <w:r>
              <w:rPr>
                <w:rFonts w:ascii="Arial" w:cs="Arial" w:eastAsia="Arial" w:hAnsi="Arial"/>
                <w:sz w:val="17"/>
                <w:szCs w:val="17"/>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16,409,029</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17,199,631</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200"/>
              <w:spacing w:after="0"/>
              <w:rPr>
                <w:sz w:val="20"/>
                <w:szCs w:val="20"/>
                <w:color w:val="auto"/>
              </w:rPr>
            </w:pPr>
            <w:r>
              <w:rPr>
                <w:rFonts w:ascii="Arial" w:cs="Arial" w:eastAsia="Arial" w:hAnsi="Arial"/>
                <w:sz w:val="17"/>
                <w:szCs w:val="17"/>
                <w:color w:val="auto"/>
              </w:rPr>
              <w:t>BBB</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85,419,335</w:t>
            </w:r>
          </w:p>
        </w:tc>
        <w:tc>
          <w:tcPr>
            <w:tcW w:w="1400" w:type="dxa"/>
            <w:vAlign w:val="bottom"/>
          </w:tcPr>
          <w:p>
            <w:pPr>
              <w:jc w:val="right"/>
              <w:spacing w:after="0"/>
              <w:rPr>
                <w:sz w:val="20"/>
                <w:szCs w:val="20"/>
                <w:color w:val="auto"/>
              </w:rPr>
            </w:pPr>
            <w:r>
              <w:rPr>
                <w:rFonts w:ascii="Arial" w:cs="Arial" w:eastAsia="Arial" w:hAnsi="Arial"/>
                <w:sz w:val="17"/>
                <w:szCs w:val="17"/>
                <w:color w:val="auto"/>
              </w:rPr>
              <w:t>60.4%</w:t>
            </w:r>
          </w:p>
        </w:tc>
        <w:tc>
          <w:tcPr>
            <w:tcW w:w="160" w:type="dxa"/>
            <w:vAlign w:val="bottom"/>
          </w:tcPr>
          <w:p>
            <w:pPr>
              <w:spacing w:after="0"/>
              <w:rPr>
                <w:sz w:val="18"/>
                <w:szCs w:val="18"/>
                <w:color w:val="auto"/>
              </w:rPr>
            </w:pPr>
          </w:p>
        </w:tc>
        <w:tc>
          <w:tcPr>
            <w:tcW w:w="1280" w:type="dxa"/>
            <w:vAlign w:val="bottom"/>
          </w:tcPr>
          <w:p>
            <w:pPr>
              <w:jc w:val="right"/>
              <w:ind w:right="196"/>
              <w:spacing w:after="0"/>
              <w:rPr>
                <w:sz w:val="20"/>
                <w:szCs w:val="20"/>
                <w:color w:val="auto"/>
              </w:rPr>
            </w:pPr>
            <w:r>
              <w:rPr>
                <w:rFonts w:ascii="Arial" w:cs="Arial" w:eastAsia="Arial" w:hAnsi="Arial"/>
                <w:sz w:val="17"/>
                <w:szCs w:val="17"/>
                <w:color w:val="auto"/>
              </w:rPr>
              <w:t>68,704,768</w:t>
            </w:r>
          </w:p>
        </w:tc>
        <w:tc>
          <w:tcPr>
            <w:tcW w:w="1240" w:type="dxa"/>
            <w:vAlign w:val="bottom"/>
          </w:tcPr>
          <w:p>
            <w:pPr>
              <w:jc w:val="right"/>
              <w:spacing w:after="0"/>
              <w:rPr>
                <w:sz w:val="20"/>
                <w:szCs w:val="20"/>
                <w:color w:val="auto"/>
              </w:rPr>
            </w:pPr>
            <w:r>
              <w:rPr>
                <w:rFonts w:ascii="Arial" w:cs="Arial" w:eastAsia="Arial" w:hAnsi="Arial"/>
                <w:sz w:val="17"/>
                <w:szCs w:val="17"/>
                <w:color w:val="auto"/>
              </w:rPr>
              <w:t>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BB</w:t>
            </w: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875,310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40" w:type="dxa"/>
            <w:vAlign w:val="bottom"/>
          </w:tcPr>
          <w:p>
            <w:pPr>
              <w:ind w:left="360"/>
              <w:spacing w:after="0"/>
              <w:rPr>
                <w:sz w:val="20"/>
                <w:szCs w:val="20"/>
                <w:color w:val="auto"/>
              </w:rPr>
            </w:pPr>
            <w:r>
              <w:rPr>
                <w:rFonts w:ascii="Arial" w:cs="Arial" w:eastAsia="Arial" w:hAnsi="Arial"/>
                <w:sz w:val="17"/>
                <w:szCs w:val="17"/>
                <w:color w:val="auto"/>
              </w:rPr>
              <w:t>Total corporate and municipal bonds</w:t>
            </w: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99"/>
              </w:rPr>
              <w:t>110,253,321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99,456,909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40"/>
              <w:spacing w:after="0"/>
              <w:rPr>
                <w:sz w:val="20"/>
                <w:szCs w:val="20"/>
                <w:color w:val="auto"/>
              </w:rPr>
            </w:pPr>
            <w:r>
              <w:rPr>
                <w:rFonts w:ascii="Arial" w:cs="Arial" w:eastAsia="Arial" w:hAnsi="Arial"/>
                <w:sz w:val="17"/>
                <w:szCs w:val="17"/>
                <w:color w:val="auto"/>
              </w:rPr>
              <w:t>Residential mortgage and other asset backed securities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AAA</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2,001,780</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2,013,010</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240"/>
              <w:spacing w:after="0"/>
              <w:rPr>
                <w:sz w:val="20"/>
                <w:szCs w:val="20"/>
                <w:color w:val="auto"/>
              </w:rPr>
            </w:pPr>
            <w:r>
              <w:rPr>
                <w:rFonts w:ascii="Arial" w:cs="Arial" w:eastAsia="Arial" w:hAnsi="Arial"/>
                <w:sz w:val="17"/>
                <w:szCs w:val="17"/>
                <w:color w:val="auto"/>
              </w:rPr>
              <w:t>AA</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11,977,402</w:t>
            </w:r>
          </w:p>
        </w:tc>
        <w:tc>
          <w:tcPr>
            <w:tcW w:w="1400" w:type="dxa"/>
            <w:vAlign w:val="bottom"/>
          </w:tcPr>
          <w:p>
            <w:pPr>
              <w:jc w:val="right"/>
              <w:spacing w:after="0"/>
              <w:rPr>
                <w:sz w:val="20"/>
                <w:szCs w:val="20"/>
                <w:color w:val="auto"/>
              </w:rPr>
            </w:pPr>
            <w:r>
              <w:rPr>
                <w:rFonts w:ascii="Arial" w:cs="Arial" w:eastAsia="Arial" w:hAnsi="Arial"/>
                <w:sz w:val="17"/>
                <w:szCs w:val="17"/>
                <w:color w:val="auto"/>
              </w:rPr>
              <w:t>8.5%</w:t>
            </w:r>
          </w:p>
        </w:tc>
        <w:tc>
          <w:tcPr>
            <w:tcW w:w="160" w:type="dxa"/>
            <w:vAlign w:val="bottom"/>
          </w:tcPr>
          <w:p>
            <w:pPr>
              <w:spacing w:after="0"/>
              <w:rPr>
                <w:sz w:val="18"/>
                <w:szCs w:val="18"/>
                <w:color w:val="auto"/>
              </w:rPr>
            </w:pPr>
          </w:p>
        </w:tc>
        <w:tc>
          <w:tcPr>
            <w:tcW w:w="1280" w:type="dxa"/>
            <w:vAlign w:val="bottom"/>
          </w:tcPr>
          <w:p>
            <w:pPr>
              <w:jc w:val="right"/>
              <w:ind w:right="196"/>
              <w:spacing w:after="0"/>
              <w:rPr>
                <w:sz w:val="20"/>
                <w:szCs w:val="20"/>
                <w:color w:val="auto"/>
              </w:rPr>
            </w:pPr>
            <w:r>
              <w:rPr>
                <w:rFonts w:ascii="Arial" w:cs="Arial" w:eastAsia="Arial" w:hAnsi="Arial"/>
                <w:sz w:val="17"/>
                <w:szCs w:val="17"/>
                <w:color w:val="auto"/>
              </w:rPr>
              <w:t>11,021,144</w:t>
            </w:r>
          </w:p>
        </w:tc>
        <w:tc>
          <w:tcPr>
            <w:tcW w:w="1240" w:type="dxa"/>
            <w:vAlign w:val="bottom"/>
          </w:tcPr>
          <w:p>
            <w:pPr>
              <w:jc w:val="right"/>
              <w:spacing w:after="0"/>
              <w:rPr>
                <w:sz w:val="20"/>
                <w:szCs w:val="20"/>
                <w:color w:val="auto"/>
              </w:rPr>
            </w:pPr>
            <w:r>
              <w:rPr>
                <w:rFonts w:ascii="Arial" w:cs="Arial" w:eastAsia="Arial" w:hAnsi="Arial"/>
                <w:sz w:val="17"/>
                <w:szCs w:val="17"/>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4,349,290</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3,902,768</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260"/>
              <w:spacing w:after="0"/>
              <w:rPr>
                <w:sz w:val="20"/>
                <w:szCs w:val="20"/>
                <w:color w:val="auto"/>
              </w:rPr>
            </w:pPr>
            <w:r>
              <w:rPr>
                <w:rFonts w:ascii="Arial" w:cs="Arial" w:eastAsia="Arial" w:hAnsi="Arial"/>
                <w:sz w:val="17"/>
                <w:szCs w:val="17"/>
                <w:color w:val="auto"/>
              </w:rPr>
              <w:t>CCC</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1,864,313</w:t>
            </w:r>
          </w:p>
        </w:tc>
        <w:tc>
          <w:tcPr>
            <w:tcW w:w="1400" w:type="dxa"/>
            <w:vAlign w:val="bottom"/>
          </w:tcPr>
          <w:p>
            <w:pPr>
              <w:jc w:val="right"/>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8"/>
                <w:szCs w:val="18"/>
                <w:color w:val="auto"/>
              </w:rPr>
            </w:pPr>
          </w:p>
        </w:tc>
        <w:tc>
          <w:tcPr>
            <w:tcW w:w="1280" w:type="dxa"/>
            <w:vAlign w:val="bottom"/>
          </w:tcPr>
          <w:p>
            <w:pPr>
              <w:jc w:val="right"/>
              <w:ind w:right="196"/>
              <w:spacing w:after="0"/>
              <w:rPr>
                <w:sz w:val="20"/>
                <w:szCs w:val="20"/>
                <w:color w:val="auto"/>
              </w:rPr>
            </w:pPr>
            <w:r>
              <w:rPr>
                <w:rFonts w:ascii="Arial" w:cs="Arial" w:eastAsia="Arial" w:hAnsi="Arial"/>
                <w:sz w:val="17"/>
                <w:szCs w:val="17"/>
                <w:color w:val="auto"/>
              </w:rPr>
              <w:t>1,420,296</w:t>
            </w:r>
          </w:p>
        </w:tc>
        <w:tc>
          <w:tcPr>
            <w:tcW w:w="124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CC</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111,845</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120,742</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260"/>
              <w:spacing w:after="0"/>
              <w:rPr>
                <w:sz w:val="20"/>
                <w:szCs w:val="20"/>
                <w:color w:val="auto"/>
              </w:rPr>
            </w:pPr>
            <w:r>
              <w:rPr>
                <w:rFonts w:ascii="Arial" w:cs="Arial" w:eastAsia="Arial" w:hAnsi="Arial"/>
                <w:sz w:val="17"/>
                <w:szCs w:val="17"/>
                <w:color w:val="auto"/>
              </w:rPr>
              <w:t>C</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24,905</w:t>
            </w:r>
          </w:p>
        </w:tc>
        <w:tc>
          <w:tcPr>
            <w:tcW w:w="1400" w:type="dxa"/>
            <w:vAlign w:val="bottom"/>
          </w:tcPr>
          <w:p>
            <w:pPr>
              <w:jc w:val="right"/>
              <w:spacing w:after="0"/>
              <w:rPr>
                <w:sz w:val="20"/>
                <w:szCs w:val="20"/>
                <w:color w:val="auto"/>
              </w:rPr>
            </w:pPr>
            <w:r>
              <w:rPr>
                <w:rFonts w:ascii="Arial" w:cs="Arial" w:eastAsia="Arial" w:hAnsi="Arial"/>
                <w:sz w:val="17"/>
                <w:szCs w:val="17"/>
                <w:color w:val="auto"/>
              </w:rPr>
              <w:t>0.0%</w:t>
            </w:r>
          </w:p>
        </w:tc>
        <w:tc>
          <w:tcPr>
            <w:tcW w:w="160" w:type="dxa"/>
            <w:vAlign w:val="bottom"/>
          </w:tcPr>
          <w:p>
            <w:pPr>
              <w:spacing w:after="0"/>
              <w:rPr>
                <w:sz w:val="18"/>
                <w:szCs w:val="18"/>
                <w:color w:val="auto"/>
              </w:rPr>
            </w:pPr>
          </w:p>
        </w:tc>
        <w:tc>
          <w:tcPr>
            <w:tcW w:w="1280" w:type="dxa"/>
            <w:vAlign w:val="bottom"/>
          </w:tcPr>
          <w:p>
            <w:pPr>
              <w:jc w:val="right"/>
              <w:ind w:right="196"/>
              <w:spacing w:after="0"/>
              <w:rPr>
                <w:sz w:val="20"/>
                <w:szCs w:val="20"/>
                <w:color w:val="auto"/>
              </w:rPr>
            </w:pPr>
            <w:r>
              <w:rPr>
                <w:rFonts w:ascii="Arial" w:cs="Arial" w:eastAsia="Arial" w:hAnsi="Arial"/>
                <w:sz w:val="17"/>
                <w:szCs w:val="17"/>
                <w:color w:val="auto"/>
              </w:rPr>
              <w:t>28,963</w:t>
            </w:r>
          </w:p>
        </w:tc>
        <w:tc>
          <w:tcPr>
            <w:tcW w:w="1240" w:type="dxa"/>
            <w:vAlign w:val="bottom"/>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802,469</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1,659,479</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40" w:type="dxa"/>
            <w:vAlign w:val="bottom"/>
          </w:tcPr>
          <w:p>
            <w:pPr>
              <w:ind w:left="200"/>
              <w:spacing w:after="0"/>
              <w:rPr>
                <w:sz w:val="20"/>
                <w:szCs w:val="20"/>
                <w:color w:val="auto"/>
              </w:rPr>
            </w:pPr>
            <w:r>
              <w:rPr>
                <w:rFonts w:ascii="Arial" w:cs="Arial" w:eastAsia="Arial" w:hAnsi="Arial"/>
                <w:sz w:val="17"/>
                <w:szCs w:val="17"/>
                <w:color w:val="auto"/>
              </w:rPr>
              <w:t>Non rated</w:t>
            </w: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1,835,473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364,945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residential mortgage and other asset backed securities</w:t>
            </w: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22,967,477</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20,531,347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99"/>
              </w:rPr>
              <w:t>141,360,535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119,988,256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59"/>
        </w:trPr>
        <w:tc>
          <w:tcPr>
            <w:tcW w:w="10320" w:type="dxa"/>
            <w:vAlign w:val="bottom"/>
            <w:gridSpan w:val="7"/>
          </w:tcPr>
          <w:p>
            <w:pPr>
              <w:ind w:left="640"/>
              <w:spacing w:after="0"/>
              <w:rPr>
                <w:sz w:val="20"/>
                <w:szCs w:val="20"/>
                <w:color w:val="auto"/>
              </w:rPr>
            </w:pPr>
            <w:r>
              <w:rPr>
                <w:rFonts w:ascii="Arial" w:cs="Arial" w:eastAsia="Arial" w:hAnsi="Arial"/>
                <w:sz w:val="17"/>
                <w:szCs w:val="17"/>
                <w:color w:val="auto"/>
                <w:w w:val="97"/>
              </w:rPr>
              <w:t>The table below summarizes the average yield by type of fixed-maturity security as of September 30, 2018 and December 31, 2017:</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296"/>
              <w:spacing w:after="0"/>
              <w:rPr>
                <w:sz w:val="20"/>
                <w:szCs w:val="20"/>
                <w:color w:val="auto"/>
              </w:rPr>
            </w:pPr>
            <w:r>
              <w:rPr>
                <w:rFonts w:ascii="Arial" w:cs="Arial" w:eastAsia="Arial" w:hAnsi="Arial"/>
                <w:sz w:val="15"/>
                <w:szCs w:val="15"/>
                <w:b w:val="1"/>
                <w:bCs w:val="1"/>
                <w:color w:val="auto"/>
                <w:w w:val="87"/>
              </w:rPr>
              <w:t>September 30,</w:t>
            </w: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6"/>
              </w:rPr>
              <w:t>December 31,</w:t>
            </w:r>
          </w:p>
        </w:tc>
        <w:tc>
          <w:tcPr>
            <w:tcW w:w="0" w:type="dxa"/>
            <w:vAlign w:val="bottom"/>
          </w:tcPr>
          <w:p>
            <w:pPr>
              <w:spacing w:after="0"/>
              <w:rPr>
                <w:sz w:val="1"/>
                <w:szCs w:val="1"/>
                <w:color w:val="auto"/>
              </w:rPr>
            </w:pPr>
          </w:p>
        </w:tc>
      </w:tr>
      <w:tr>
        <w:trPr>
          <w:trHeight w:val="179"/>
        </w:trPr>
        <w:tc>
          <w:tcPr>
            <w:tcW w:w="5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96"/>
              <w:spacing w:after="0"/>
              <w:rPr>
                <w:sz w:val="20"/>
                <w:szCs w:val="20"/>
                <w:color w:val="auto"/>
              </w:rPr>
            </w:pPr>
            <w:r>
              <w:rPr>
                <w:rFonts w:ascii="Arial" w:cs="Arial" w:eastAsia="Arial" w:hAnsi="Arial"/>
                <w:sz w:val="15"/>
                <w:szCs w:val="15"/>
                <w:b w:val="1"/>
                <w:bCs w:val="1"/>
                <w:color w:val="auto"/>
                <w:w w:val="89"/>
              </w:rPr>
              <w:t>2018</w:t>
            </w:r>
          </w:p>
        </w:tc>
        <w:tc>
          <w:tcPr>
            <w:tcW w:w="124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83"/>
              </w:rPr>
              <w:t>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 and</w:t>
            </w: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54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2.19%</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3.67%</w:t>
            </w:r>
          </w:p>
        </w:tc>
        <w:tc>
          <w:tcPr>
            <w:tcW w:w="1240" w:type="dxa"/>
            <w:vAlign w:val="bottom"/>
          </w:tcPr>
          <w:p>
            <w:pPr>
              <w:jc w:val="right"/>
              <w:spacing w:after="0"/>
              <w:rPr>
                <w:sz w:val="20"/>
                <w:szCs w:val="20"/>
                <w:color w:val="auto"/>
              </w:rPr>
            </w:pPr>
            <w:r>
              <w:rPr>
                <w:rFonts w:ascii="Arial" w:cs="Arial" w:eastAsia="Arial" w:hAnsi="Arial"/>
                <w:sz w:val="17"/>
                <w:szCs w:val="17"/>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4.11%</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and other asset backed securities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1.96%</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3.63%</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5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68</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80"/>
          </w:cols>
          <w:pgMar w:left="160" w:top="475" w:right="159" w:bottom="1440" w:gutter="0" w:footer="0" w:header="0"/>
        </w:sectPr>
      </w:pPr>
    </w:p>
    <w:bookmarkStart w:id="70" w:name="page71"/>
    <w:bookmarkEnd w:id="70"/>
    <w:p>
      <w:pPr>
        <w:ind w:right="160" w:firstLine="636"/>
        <w:spacing w:after="0" w:line="287" w:lineRule="auto"/>
        <w:rPr>
          <w:sz w:val="20"/>
          <w:szCs w:val="20"/>
          <w:color w:val="auto"/>
        </w:rPr>
      </w:pPr>
      <w:r>
        <w:rPr>
          <w:rFonts w:ascii="Arial" w:cs="Arial" w:eastAsia="Arial" w:hAnsi="Arial"/>
          <w:sz w:val="17"/>
          <w:szCs w:val="17"/>
          <w:color w:val="auto"/>
        </w:rPr>
        <w:t>The table below lists the weighted average maturity and effective duration in years on our fixed-maturity securities as of September 30, 2018 and December 31, 2017:</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4460" w:type="dxa"/>
            <w:vAlign w:val="bottom"/>
          </w:tcPr>
          <w:p>
            <w:pPr>
              <w:jc w:val="right"/>
              <w:ind w:right="239"/>
              <w:spacing w:after="0"/>
              <w:rPr>
                <w:sz w:val="20"/>
                <w:szCs w:val="20"/>
                <w:color w:val="auto"/>
              </w:rPr>
            </w:pPr>
            <w:r>
              <w:rPr>
                <w:rFonts w:ascii="Arial" w:cs="Arial" w:eastAsia="Arial" w:hAnsi="Arial"/>
                <w:sz w:val="15"/>
                <w:szCs w:val="15"/>
                <w:b w:val="1"/>
                <w:bCs w:val="1"/>
                <w:color w:val="auto"/>
              </w:rPr>
              <w:t>September 30,</w:t>
            </w:r>
          </w:p>
        </w:tc>
        <w:tc>
          <w:tcPr>
            <w:tcW w:w="1300" w:type="dxa"/>
            <w:vAlign w:val="bottom"/>
          </w:tcPr>
          <w:p>
            <w:pPr>
              <w:jc w:val="right"/>
              <w:ind w:right="179"/>
              <w:spacing w:after="0"/>
              <w:rPr>
                <w:sz w:val="20"/>
                <w:szCs w:val="20"/>
                <w:color w:val="auto"/>
              </w:rPr>
            </w:pPr>
            <w:r>
              <w:rPr>
                <w:rFonts w:ascii="Arial" w:cs="Arial" w:eastAsia="Arial" w:hAnsi="Arial"/>
                <w:sz w:val="15"/>
                <w:szCs w:val="15"/>
                <w:b w:val="1"/>
                <w:bCs w:val="1"/>
                <w:color w:val="auto"/>
              </w:rPr>
              <w:t>December 31,</w:t>
            </w:r>
          </w:p>
        </w:tc>
      </w:tr>
      <w:tr>
        <w:trPr>
          <w:trHeight w:val="179"/>
        </w:trPr>
        <w:tc>
          <w:tcPr>
            <w:tcW w:w="580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b w:val="1"/>
                <w:bCs w:val="1"/>
                <w:color w:val="auto"/>
              </w:rPr>
              <w:t>2018</w:t>
            </w: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2017</w:t>
            </w:r>
          </w:p>
        </w:tc>
      </w:tr>
      <w:tr>
        <w:trPr>
          <w:trHeight w:val="212"/>
        </w:trPr>
        <w:tc>
          <w:tcPr>
            <w:tcW w:w="5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effective maturity</w:t>
            </w:r>
          </w:p>
        </w:tc>
        <w:tc>
          <w:tcPr>
            <w:tcW w:w="44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6.0</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5.7</w:t>
            </w:r>
          </w:p>
        </w:tc>
      </w:tr>
      <w:tr>
        <w:trPr>
          <w:trHeight w:val="212"/>
        </w:trPr>
        <w:tc>
          <w:tcPr>
            <w:tcW w:w="58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2"/>
        </w:trPr>
        <w:tc>
          <w:tcPr>
            <w:tcW w:w="5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final maturity</w:t>
            </w:r>
          </w:p>
        </w:tc>
        <w:tc>
          <w:tcPr>
            <w:tcW w:w="44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7.6</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7.8</w:t>
            </w:r>
          </w:p>
        </w:tc>
      </w:tr>
      <w:tr>
        <w:trPr>
          <w:trHeight w:val="212"/>
        </w:trPr>
        <w:tc>
          <w:tcPr>
            <w:tcW w:w="58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2"/>
        </w:trPr>
        <w:tc>
          <w:tcPr>
            <w:tcW w:w="5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Effective duration</w:t>
            </w:r>
          </w:p>
        </w:tc>
        <w:tc>
          <w:tcPr>
            <w:tcW w:w="44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5.0</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4.9</w:t>
            </w:r>
          </w:p>
        </w:tc>
      </w:tr>
    </w:tbl>
    <w:p>
      <w:pPr>
        <w:spacing w:after="0" w:line="20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Fair Value Consideration</w:t>
      </w:r>
    </w:p>
    <w:p>
      <w:pPr>
        <w:spacing w:after="0" w:line="162"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September 30, 2018 and December 31, 2017, 79% and 73%, respectively, of the investment portfolio recorded at fair value was priced based upon quoted market prices.</w:t>
      </w:r>
    </w:p>
    <w:p>
      <w:pPr>
        <w:spacing w:after="0" w:line="99" w:lineRule="exact"/>
        <w:rPr>
          <w:sz w:val="20"/>
          <w:szCs w:val="20"/>
          <w:color w:val="auto"/>
        </w:rPr>
      </w:pPr>
    </w:p>
    <w:p>
      <w:pPr>
        <w:ind w:right="120" w:firstLine="636"/>
        <w:spacing w:after="0" w:line="287" w:lineRule="auto"/>
        <w:rPr>
          <w:sz w:val="20"/>
          <w:szCs w:val="20"/>
          <w:color w:val="auto"/>
        </w:rPr>
      </w:pPr>
      <w:r>
        <w:rPr>
          <w:rFonts w:ascii="Arial" w:cs="Arial" w:eastAsia="Arial" w:hAnsi="Arial"/>
          <w:sz w:val="17"/>
          <w:szCs w:val="17"/>
          <w:color w:val="auto"/>
        </w:rPr>
        <w:t>The table below summarizes the gross unrealized losses of our fixed-maturity securities available-for-sale and equity securities by length of time the security has continuously been in an unrealized loss position as of September 30, 2018 and December 31, 2017:</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9"/>
        </w:trPr>
        <w:tc>
          <w:tcPr>
            <w:tcW w:w="2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647"/>
              <w:spacing w:after="0"/>
              <w:rPr>
                <w:sz w:val="20"/>
                <w:szCs w:val="20"/>
                <w:color w:val="auto"/>
              </w:rPr>
            </w:pPr>
            <w:r>
              <w:rPr>
                <w:rFonts w:ascii="Arial" w:cs="Arial" w:eastAsia="Arial" w:hAnsi="Arial"/>
                <w:sz w:val="15"/>
                <w:szCs w:val="15"/>
                <w:b w:val="1"/>
                <w:bCs w:val="1"/>
                <w:color w:val="auto"/>
              </w:rPr>
              <w:t>September 30, 2018</w:t>
            </w: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5"/>
        </w:trPr>
        <w:tc>
          <w:tcPr>
            <w:tcW w:w="2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67"/>
              <w:spacing w:after="0" w:line="159" w:lineRule="exact"/>
              <w:rPr>
                <w:sz w:val="20"/>
                <w:szCs w:val="20"/>
                <w:color w:val="auto"/>
              </w:rPr>
            </w:pPr>
            <w:r>
              <w:rPr>
                <w:rFonts w:ascii="Arial" w:cs="Arial" w:eastAsia="Arial" w:hAnsi="Arial"/>
                <w:sz w:val="15"/>
                <w:szCs w:val="15"/>
                <w:b w:val="1"/>
                <w:bCs w:val="1"/>
                <w:color w:val="auto"/>
                <w:w w:val="85"/>
              </w:rPr>
              <w:t>Less than 12 months</w:t>
            </w: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87"/>
              <w:spacing w:after="0" w:line="159" w:lineRule="exact"/>
              <w:rPr>
                <w:sz w:val="20"/>
                <w:szCs w:val="20"/>
                <w:color w:val="auto"/>
              </w:rPr>
            </w:pPr>
            <w:r>
              <w:rPr>
                <w:rFonts w:ascii="Arial" w:cs="Arial" w:eastAsia="Arial" w:hAnsi="Arial"/>
                <w:sz w:val="15"/>
                <w:szCs w:val="15"/>
                <w:b w:val="1"/>
                <w:bCs w:val="1"/>
                <w:color w:val="auto"/>
                <w:w w:val="88"/>
              </w:rPr>
              <w:t>12 months or more</w:t>
            </w: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r>
      <w:tr>
        <w:trPr>
          <w:trHeight w:val="146"/>
        </w:trPr>
        <w:tc>
          <w:tcPr>
            <w:tcW w:w="2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No. of</w:t>
            </w: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No. of</w:t>
            </w:r>
          </w:p>
        </w:tc>
        <w:tc>
          <w:tcPr>
            <w:tcW w:w="320" w:type="dxa"/>
            <w:vAlign w:val="bottom"/>
          </w:tcPr>
          <w:p>
            <w:pPr>
              <w:spacing w:after="0"/>
              <w:rPr>
                <w:sz w:val="12"/>
                <w:szCs w:val="12"/>
                <w:color w:val="auto"/>
              </w:rPr>
            </w:pPr>
          </w:p>
        </w:tc>
        <w:tc>
          <w:tcPr>
            <w:tcW w:w="920" w:type="dxa"/>
            <w:vAlign w:val="bottom"/>
          </w:tcPr>
          <w:p>
            <w:pPr>
              <w:jc w:val="center"/>
              <w:ind w:right="127"/>
              <w:spacing w:after="0" w:line="146" w:lineRule="exact"/>
              <w:rPr>
                <w:sz w:val="20"/>
                <w:szCs w:val="20"/>
                <w:color w:val="auto"/>
              </w:rPr>
            </w:pPr>
            <w:r>
              <w:rPr>
                <w:rFonts w:ascii="Arial" w:cs="Arial" w:eastAsia="Arial" w:hAnsi="Arial"/>
                <w:sz w:val="15"/>
                <w:szCs w:val="15"/>
                <w:b w:val="1"/>
                <w:bCs w:val="1"/>
                <w:color w:val="auto"/>
                <w:w w:val="86"/>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9"/>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267"/>
              <w:spacing w:after="0" w:line="159" w:lineRule="exact"/>
              <w:rPr>
                <w:sz w:val="20"/>
                <w:szCs w:val="20"/>
                <w:color w:val="auto"/>
              </w:rPr>
            </w:pPr>
            <w:r>
              <w:rPr>
                <w:rFonts w:ascii="Arial" w:cs="Arial" w:eastAsia="Arial" w:hAnsi="Arial"/>
                <w:sz w:val="15"/>
                <w:szCs w:val="15"/>
                <w:b w:val="1"/>
                <w:bCs w:val="1"/>
                <w:color w:val="auto"/>
              </w:rPr>
              <w:t>Fair</w:t>
            </w:r>
          </w:p>
        </w:tc>
        <w:tc>
          <w:tcPr>
            <w:tcW w:w="320" w:type="dxa"/>
            <w:vAlign w:val="bottom"/>
          </w:tcPr>
          <w:p>
            <w:pPr>
              <w:spacing w:after="0"/>
              <w:rPr>
                <w:sz w:val="13"/>
                <w:szCs w:val="13"/>
                <w:color w:val="auto"/>
              </w:rPr>
            </w:pPr>
          </w:p>
        </w:tc>
        <w:tc>
          <w:tcPr>
            <w:tcW w:w="1120" w:type="dxa"/>
            <w:vAlign w:val="bottom"/>
          </w:tcPr>
          <w:p>
            <w:pPr>
              <w:jc w:val="right"/>
              <w:ind w:right="347"/>
              <w:spacing w:after="0" w:line="159" w:lineRule="exact"/>
              <w:rPr>
                <w:sz w:val="20"/>
                <w:szCs w:val="20"/>
                <w:color w:val="auto"/>
              </w:rPr>
            </w:pPr>
            <w:r>
              <w:rPr>
                <w:rFonts w:ascii="Arial" w:cs="Arial" w:eastAsia="Arial" w:hAnsi="Arial"/>
                <w:sz w:val="15"/>
                <w:szCs w:val="15"/>
                <w:b w:val="1"/>
                <w:bCs w:val="1"/>
                <w:color w:val="auto"/>
                <w:w w:val="89"/>
              </w:rPr>
              <w:t>Unrealized</w:t>
            </w:r>
          </w:p>
        </w:tc>
        <w:tc>
          <w:tcPr>
            <w:tcW w:w="880" w:type="dxa"/>
            <w:vAlign w:val="bottom"/>
          </w:tcPr>
          <w:p>
            <w:pPr>
              <w:jc w:val="center"/>
              <w:ind w:right="7"/>
              <w:spacing w:after="0" w:line="159" w:lineRule="exact"/>
              <w:rPr>
                <w:sz w:val="20"/>
                <w:szCs w:val="20"/>
                <w:color w:val="auto"/>
              </w:rPr>
            </w:pPr>
            <w:r>
              <w:rPr>
                <w:rFonts w:ascii="Arial" w:cs="Arial" w:eastAsia="Arial" w:hAnsi="Arial"/>
                <w:sz w:val="15"/>
                <w:szCs w:val="15"/>
                <w:b w:val="1"/>
                <w:bCs w:val="1"/>
                <w:color w:val="auto"/>
                <w:w w:val="82"/>
              </w:rPr>
              <w:t>Positions</w:t>
            </w:r>
          </w:p>
        </w:tc>
        <w:tc>
          <w:tcPr>
            <w:tcW w:w="380" w:type="dxa"/>
            <w:vAlign w:val="bottom"/>
          </w:tcPr>
          <w:p>
            <w:pPr>
              <w:spacing w:after="0"/>
              <w:rPr>
                <w:sz w:val="13"/>
                <w:szCs w:val="13"/>
                <w:color w:val="auto"/>
              </w:rPr>
            </w:pPr>
          </w:p>
        </w:tc>
        <w:tc>
          <w:tcPr>
            <w:tcW w:w="800" w:type="dxa"/>
            <w:vAlign w:val="bottom"/>
          </w:tcPr>
          <w:p>
            <w:pPr>
              <w:jc w:val="right"/>
              <w:ind w:right="287"/>
              <w:spacing w:after="0" w:line="159" w:lineRule="exact"/>
              <w:rPr>
                <w:sz w:val="20"/>
                <w:szCs w:val="20"/>
                <w:color w:val="auto"/>
              </w:rPr>
            </w:pPr>
            <w:r>
              <w:rPr>
                <w:rFonts w:ascii="Arial" w:cs="Arial" w:eastAsia="Arial" w:hAnsi="Arial"/>
                <w:sz w:val="15"/>
                <w:szCs w:val="15"/>
                <w:b w:val="1"/>
                <w:bCs w:val="1"/>
                <w:color w:val="auto"/>
              </w:rPr>
              <w:t>Fair</w:t>
            </w:r>
          </w:p>
        </w:tc>
        <w:tc>
          <w:tcPr>
            <w:tcW w:w="280" w:type="dxa"/>
            <w:vAlign w:val="bottom"/>
          </w:tcPr>
          <w:p>
            <w:pPr>
              <w:spacing w:after="0"/>
              <w:rPr>
                <w:sz w:val="13"/>
                <w:szCs w:val="13"/>
                <w:color w:val="auto"/>
              </w:rPr>
            </w:pPr>
          </w:p>
        </w:tc>
        <w:tc>
          <w:tcPr>
            <w:tcW w:w="1100" w:type="dxa"/>
            <w:vAlign w:val="bottom"/>
          </w:tcPr>
          <w:p>
            <w:pPr>
              <w:jc w:val="right"/>
              <w:ind w:right="307"/>
              <w:spacing w:after="0" w:line="159" w:lineRule="exact"/>
              <w:rPr>
                <w:sz w:val="20"/>
                <w:szCs w:val="20"/>
                <w:color w:val="auto"/>
              </w:rPr>
            </w:pPr>
            <w:r>
              <w:rPr>
                <w:rFonts w:ascii="Arial" w:cs="Arial" w:eastAsia="Arial" w:hAnsi="Arial"/>
                <w:sz w:val="15"/>
                <w:szCs w:val="15"/>
                <w:b w:val="1"/>
                <w:bCs w:val="1"/>
                <w:color w:val="auto"/>
                <w:w w:val="92"/>
              </w:rPr>
              <w:t>Unrealized</w:t>
            </w:r>
          </w:p>
        </w:tc>
        <w:tc>
          <w:tcPr>
            <w:tcW w:w="90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82"/>
              </w:rPr>
              <w:t>Positions</w:t>
            </w:r>
          </w:p>
        </w:tc>
        <w:tc>
          <w:tcPr>
            <w:tcW w:w="320" w:type="dxa"/>
            <w:vAlign w:val="bottom"/>
          </w:tcPr>
          <w:p>
            <w:pPr>
              <w:spacing w:after="0"/>
              <w:rPr>
                <w:sz w:val="13"/>
                <w:szCs w:val="13"/>
                <w:color w:val="auto"/>
              </w:rPr>
            </w:pPr>
          </w:p>
        </w:tc>
        <w:tc>
          <w:tcPr>
            <w:tcW w:w="920" w:type="dxa"/>
            <w:vAlign w:val="bottom"/>
          </w:tcPr>
          <w:p>
            <w:pPr>
              <w:jc w:val="center"/>
              <w:ind w:right="147"/>
              <w:spacing w:after="0" w:line="159" w:lineRule="exact"/>
              <w:rPr>
                <w:sz w:val="20"/>
                <w:szCs w:val="20"/>
                <w:color w:val="auto"/>
              </w:rPr>
            </w:pPr>
            <w:r>
              <w:rPr>
                <w:rFonts w:ascii="Arial" w:cs="Arial" w:eastAsia="Arial" w:hAnsi="Arial"/>
                <w:sz w:val="15"/>
                <w:szCs w:val="15"/>
                <w:b w:val="1"/>
                <w:bCs w:val="1"/>
                <w:color w:val="auto"/>
                <w:w w:val="94"/>
              </w:rPr>
              <w:t>Fair</w:t>
            </w:r>
          </w:p>
        </w:tc>
        <w:tc>
          <w:tcPr>
            <w:tcW w:w="220" w:type="dxa"/>
            <w:vAlign w:val="bottom"/>
          </w:tcPr>
          <w:p>
            <w:pPr>
              <w:spacing w:after="0"/>
              <w:rPr>
                <w:sz w:val="13"/>
                <w:szCs w:val="13"/>
                <w:color w:val="auto"/>
              </w:rPr>
            </w:pPr>
          </w:p>
        </w:tc>
        <w:tc>
          <w:tcPr>
            <w:tcW w:w="920" w:type="dxa"/>
            <w:vAlign w:val="bottom"/>
          </w:tcPr>
          <w:p>
            <w:pPr>
              <w:jc w:val="right"/>
              <w:ind w:right="147"/>
              <w:spacing w:after="0" w:line="159" w:lineRule="exact"/>
              <w:rPr>
                <w:sz w:val="20"/>
                <w:szCs w:val="20"/>
                <w:color w:val="auto"/>
              </w:rPr>
            </w:pPr>
            <w:r>
              <w:rPr>
                <w:rFonts w:ascii="Arial" w:cs="Arial" w:eastAsia="Arial" w:hAnsi="Arial"/>
                <w:sz w:val="15"/>
                <w:szCs w:val="15"/>
                <w:b w:val="1"/>
                <w:bCs w:val="1"/>
                <w:color w:val="auto"/>
                <w:w w:val="89"/>
              </w:rPr>
              <w:t>Unrealized</w:t>
            </w:r>
          </w:p>
        </w:tc>
      </w:tr>
      <w:tr>
        <w:trPr>
          <w:trHeight w:val="179"/>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rPr>
              <w:t>Value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rPr>
              <w:t>Losses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Value</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b w:val="1"/>
                <w:bCs w:val="1"/>
                <w:color w:val="auto"/>
              </w:rPr>
              <w:t>Losses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Losses</w:t>
            </w:r>
          </w:p>
        </w:tc>
      </w:tr>
      <w:tr>
        <w:trPr>
          <w:trHeight w:val="159"/>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b w:val="1"/>
                <w:bCs w:val="1"/>
                <w:color w:val="auto"/>
              </w:rPr>
              <w:t>Fixed-Maturity Securities: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U.S. Treasury securities</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and obligations of U.S.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38"/>
        </w:trPr>
        <w:tc>
          <w:tcPr>
            <w:tcW w:w="2320" w:type="dxa"/>
            <w:vAlign w:val="bottom"/>
          </w:tcPr>
          <w:p>
            <w:pPr>
              <w:ind w:left="40"/>
              <w:spacing w:after="0"/>
              <w:rPr>
                <w:sz w:val="20"/>
                <w:szCs w:val="20"/>
                <w:color w:val="auto"/>
              </w:rPr>
            </w:pPr>
            <w:r>
              <w:rPr>
                <w:rFonts w:ascii="Arial" w:cs="Arial" w:eastAsia="Arial" w:hAnsi="Arial"/>
                <w:sz w:val="15"/>
                <w:szCs w:val="15"/>
                <w:color w:val="auto"/>
              </w:rPr>
              <w:t>government corporations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and agencies</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8,139,737</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(75,222)</w:t>
            </w:r>
          </w:p>
        </w:tc>
        <w:tc>
          <w:tcPr>
            <w:tcW w:w="88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71"/>
              </w:rPr>
              <w:t>7</w:t>
            </w:r>
          </w:p>
        </w:tc>
        <w:tc>
          <w:tcPr>
            <w:tcW w:w="380" w:type="dxa"/>
            <w:vAlign w:val="bottom"/>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07"/>
              <w:spacing w:after="0" w:line="159"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79"/>
              </w:rPr>
              <w:t>-</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8,139,737</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(75,222)</w:t>
            </w:r>
          </w:p>
        </w:tc>
      </w:tr>
      <w:tr>
        <w:trPr>
          <w:trHeight w:val="159"/>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Political subdivisions of</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States, Territories and</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Possessions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3,396,474</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(63,596)</w:t>
            </w:r>
          </w:p>
        </w:tc>
        <w:tc>
          <w:tcPr>
            <w:tcW w:w="88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71"/>
              </w:rPr>
              <w:t>7</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1,122,656</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(50,343)</w:t>
            </w:r>
          </w:p>
        </w:tc>
        <w:tc>
          <w:tcPr>
            <w:tcW w:w="90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95"/>
              </w:rPr>
              <w:t>2</w:t>
            </w: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4,519,130</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(113,939)</w:t>
            </w:r>
          </w:p>
        </w:tc>
      </w:tr>
      <w:tr>
        <w:trPr>
          <w:trHeight w:val="159"/>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Corporate and other</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bonds industrial and</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miscellaneous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86,846,478</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(2,461,966)</w:t>
            </w:r>
          </w:p>
        </w:tc>
        <w:tc>
          <w:tcPr>
            <w:tcW w:w="88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87"/>
              </w:rPr>
              <w:t>108</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6,950,836</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(399,360)</w:t>
            </w:r>
          </w:p>
        </w:tc>
        <w:tc>
          <w:tcPr>
            <w:tcW w:w="90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83"/>
              </w:rPr>
              <w:t>14</w:t>
            </w: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93,797,314</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(2,861,326)</w:t>
            </w:r>
          </w:p>
        </w:tc>
      </w:tr>
      <w:tr>
        <w:trPr>
          <w:trHeight w:val="159"/>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Residential mortgage and other</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5"/>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asset backed securities</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8,593,080</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87"/>
              <w:spacing w:after="0" w:line="159" w:lineRule="exact"/>
              <w:rPr>
                <w:sz w:val="20"/>
                <w:szCs w:val="20"/>
                <w:color w:val="auto"/>
              </w:rPr>
            </w:pPr>
            <w:r>
              <w:rPr>
                <w:rFonts w:ascii="Arial" w:cs="Arial" w:eastAsia="Arial" w:hAnsi="Arial"/>
                <w:sz w:val="15"/>
                <w:szCs w:val="15"/>
                <w:color w:val="auto"/>
              </w:rPr>
              <w:t>(99,954)</w:t>
            </w:r>
          </w:p>
        </w:tc>
        <w:tc>
          <w:tcPr>
            <w:tcW w:w="8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color w:val="auto"/>
                <w:w w:val="83"/>
              </w:rPr>
              <w:t>10</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11,453,668</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67"/>
              <w:spacing w:after="0" w:line="159" w:lineRule="exact"/>
              <w:rPr>
                <w:sz w:val="20"/>
                <w:szCs w:val="20"/>
                <w:color w:val="auto"/>
              </w:rPr>
            </w:pPr>
            <w:r>
              <w:rPr>
                <w:rFonts w:ascii="Arial" w:cs="Arial" w:eastAsia="Arial" w:hAnsi="Arial"/>
                <w:sz w:val="15"/>
                <w:szCs w:val="15"/>
                <w:color w:val="auto"/>
              </w:rPr>
              <w:t>(464,193)</w:t>
            </w:r>
          </w:p>
        </w:tc>
        <w:tc>
          <w:tcPr>
            <w:tcW w:w="9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color w:val="auto"/>
                <w:w w:val="83"/>
              </w:rPr>
              <w:t>18</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7"/>
              <w:spacing w:after="0" w:line="159" w:lineRule="exact"/>
              <w:rPr>
                <w:sz w:val="20"/>
                <w:szCs w:val="20"/>
                <w:color w:val="auto"/>
              </w:rPr>
            </w:pPr>
            <w:r>
              <w:rPr>
                <w:rFonts w:ascii="Arial" w:cs="Arial" w:eastAsia="Arial" w:hAnsi="Arial"/>
                <w:sz w:val="15"/>
                <w:szCs w:val="15"/>
                <w:color w:val="auto"/>
              </w:rPr>
              <w:t>20,046,748</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(564,147)</w:t>
            </w:r>
          </w:p>
        </w:tc>
      </w:tr>
      <w:tr>
        <w:trPr>
          <w:trHeight w:val="159"/>
        </w:trPr>
        <w:tc>
          <w:tcPr>
            <w:tcW w:w="2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Total fixed-maturity</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9"/>
        </w:trPr>
        <w:tc>
          <w:tcPr>
            <w:tcW w:w="2320" w:type="dxa"/>
            <w:vAlign w:val="bottom"/>
            <w:tcBorders>
              <w:bottom w:val="single" w:sz="8" w:color="CCEEFF"/>
            </w:tcBorders>
            <w:shd w:val="clear" w:color="auto" w:fill="CCEEFF"/>
          </w:tcPr>
          <w:p>
            <w:pPr>
              <w:ind w:left="40"/>
              <w:spacing w:after="0" w:line="159" w:lineRule="exact"/>
              <w:rPr>
                <w:sz w:val="20"/>
                <w:szCs w:val="20"/>
                <w:color w:val="auto"/>
              </w:rPr>
            </w:pPr>
            <w:r>
              <w:rPr>
                <w:rFonts w:ascii="Arial" w:cs="Arial" w:eastAsia="Arial" w:hAnsi="Arial"/>
                <w:sz w:val="15"/>
                <w:szCs w:val="15"/>
                <w:color w:val="auto"/>
              </w:rPr>
              <w:t>securities</w:t>
            </w:r>
          </w:p>
        </w:tc>
        <w:tc>
          <w:tcPr>
            <w:tcW w:w="2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93"/>
              </w:rPr>
              <w:t>106,975,769</w:t>
            </w:r>
          </w:p>
        </w:tc>
        <w:tc>
          <w:tcPr>
            <w:tcW w:w="3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(2,700,738)</w:t>
            </w:r>
          </w:p>
        </w:tc>
        <w:tc>
          <w:tcPr>
            <w:tcW w:w="88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87"/>
              </w:rPr>
              <w:t>132</w:t>
            </w:r>
          </w:p>
        </w:tc>
        <w:tc>
          <w:tcPr>
            <w:tcW w:w="380" w:type="dxa"/>
            <w:vAlign w:val="bottom"/>
            <w:tcBorders>
              <w:bottom w:val="single" w:sz="8" w:color="auto"/>
            </w:tcBorders>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95"/>
              </w:rPr>
              <w:t>19,527,160</w:t>
            </w:r>
          </w:p>
        </w:tc>
        <w:tc>
          <w:tcPr>
            <w:tcW w:w="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(913,896)</w:t>
            </w:r>
          </w:p>
        </w:tc>
        <w:tc>
          <w:tcPr>
            <w:tcW w:w="90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83"/>
              </w:rPr>
              <w:t>34</w:t>
            </w:r>
          </w:p>
        </w:tc>
        <w:tc>
          <w:tcPr>
            <w:tcW w:w="3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w w:val="93"/>
              </w:rPr>
              <w:t>126,502,929</w:t>
            </w:r>
          </w:p>
        </w:tc>
        <w:tc>
          <w:tcPr>
            <w:tcW w:w="2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(3,614,634)</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0" w:right="1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9"/>
        </w:trPr>
        <w:tc>
          <w:tcPr>
            <w:tcW w:w="2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667"/>
              <w:spacing w:after="0"/>
              <w:rPr>
                <w:sz w:val="20"/>
                <w:szCs w:val="20"/>
                <w:color w:val="auto"/>
              </w:rPr>
            </w:pPr>
            <w:r>
              <w:rPr>
                <w:rFonts w:ascii="Arial" w:cs="Arial" w:eastAsia="Arial" w:hAnsi="Arial"/>
                <w:sz w:val="15"/>
                <w:szCs w:val="15"/>
                <w:b w:val="1"/>
                <w:bCs w:val="1"/>
                <w:color w:val="auto"/>
              </w:rPr>
              <w:t>December 31, 2017</w:t>
            </w: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5"/>
        </w:trPr>
        <w:tc>
          <w:tcPr>
            <w:tcW w:w="2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67"/>
              <w:spacing w:after="0" w:line="159" w:lineRule="exact"/>
              <w:rPr>
                <w:sz w:val="20"/>
                <w:szCs w:val="20"/>
                <w:color w:val="auto"/>
              </w:rPr>
            </w:pPr>
            <w:r>
              <w:rPr>
                <w:rFonts w:ascii="Arial" w:cs="Arial" w:eastAsia="Arial" w:hAnsi="Arial"/>
                <w:sz w:val="15"/>
                <w:szCs w:val="15"/>
                <w:b w:val="1"/>
                <w:bCs w:val="1"/>
                <w:color w:val="auto"/>
                <w:w w:val="85"/>
              </w:rPr>
              <w:t>Less than 12 months</w:t>
            </w: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47"/>
              <w:spacing w:after="0" w:line="159" w:lineRule="exact"/>
              <w:rPr>
                <w:sz w:val="20"/>
                <w:szCs w:val="20"/>
                <w:color w:val="auto"/>
              </w:rPr>
            </w:pPr>
            <w:r>
              <w:rPr>
                <w:rFonts w:ascii="Arial" w:cs="Arial" w:eastAsia="Arial" w:hAnsi="Arial"/>
                <w:sz w:val="15"/>
                <w:szCs w:val="15"/>
                <w:b w:val="1"/>
                <w:bCs w:val="1"/>
                <w:color w:val="auto"/>
                <w:w w:val="87"/>
              </w:rPr>
              <w:t>12 months or more</w:t>
            </w: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14"/>
                <w:szCs w:val="14"/>
                <w:color w:val="auto"/>
              </w:rPr>
            </w:pPr>
          </w:p>
        </w:tc>
      </w:tr>
      <w:tr>
        <w:trPr>
          <w:trHeight w:val="146"/>
        </w:trPr>
        <w:tc>
          <w:tcPr>
            <w:tcW w:w="2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No. of</w:t>
            </w: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No. of</w:t>
            </w:r>
          </w:p>
        </w:tc>
        <w:tc>
          <w:tcPr>
            <w:tcW w:w="320" w:type="dxa"/>
            <w:vAlign w:val="bottom"/>
          </w:tcPr>
          <w:p>
            <w:pPr>
              <w:spacing w:after="0"/>
              <w:rPr>
                <w:sz w:val="12"/>
                <w:szCs w:val="12"/>
                <w:color w:val="auto"/>
              </w:rPr>
            </w:pPr>
          </w:p>
        </w:tc>
        <w:tc>
          <w:tcPr>
            <w:tcW w:w="920" w:type="dxa"/>
            <w:vAlign w:val="bottom"/>
          </w:tcPr>
          <w:p>
            <w:pPr>
              <w:jc w:val="center"/>
              <w:ind w:right="127"/>
              <w:spacing w:after="0" w:line="146" w:lineRule="exact"/>
              <w:rPr>
                <w:sz w:val="20"/>
                <w:szCs w:val="20"/>
                <w:color w:val="auto"/>
              </w:rPr>
            </w:pPr>
            <w:r>
              <w:rPr>
                <w:rFonts w:ascii="Arial" w:cs="Arial" w:eastAsia="Arial" w:hAnsi="Arial"/>
                <w:sz w:val="15"/>
                <w:szCs w:val="15"/>
                <w:b w:val="1"/>
                <w:bCs w:val="1"/>
                <w:color w:val="auto"/>
                <w:w w:val="86"/>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9"/>
        </w:trPr>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267"/>
              <w:spacing w:after="0" w:line="159" w:lineRule="exact"/>
              <w:rPr>
                <w:sz w:val="20"/>
                <w:szCs w:val="20"/>
                <w:color w:val="auto"/>
              </w:rPr>
            </w:pPr>
            <w:r>
              <w:rPr>
                <w:rFonts w:ascii="Arial" w:cs="Arial" w:eastAsia="Arial" w:hAnsi="Arial"/>
                <w:sz w:val="15"/>
                <w:szCs w:val="15"/>
                <w:b w:val="1"/>
                <w:bCs w:val="1"/>
                <w:color w:val="auto"/>
              </w:rPr>
              <w:t>Fair</w:t>
            </w:r>
          </w:p>
        </w:tc>
        <w:tc>
          <w:tcPr>
            <w:tcW w:w="320" w:type="dxa"/>
            <w:vAlign w:val="bottom"/>
          </w:tcPr>
          <w:p>
            <w:pPr>
              <w:spacing w:after="0"/>
              <w:rPr>
                <w:sz w:val="13"/>
                <w:szCs w:val="13"/>
                <w:color w:val="auto"/>
              </w:rPr>
            </w:pPr>
          </w:p>
        </w:tc>
        <w:tc>
          <w:tcPr>
            <w:tcW w:w="1120" w:type="dxa"/>
            <w:vAlign w:val="bottom"/>
          </w:tcPr>
          <w:p>
            <w:pPr>
              <w:jc w:val="right"/>
              <w:ind w:right="347"/>
              <w:spacing w:after="0" w:line="159" w:lineRule="exact"/>
              <w:rPr>
                <w:sz w:val="20"/>
                <w:szCs w:val="20"/>
                <w:color w:val="auto"/>
              </w:rPr>
            </w:pPr>
            <w:r>
              <w:rPr>
                <w:rFonts w:ascii="Arial" w:cs="Arial" w:eastAsia="Arial" w:hAnsi="Arial"/>
                <w:sz w:val="15"/>
                <w:szCs w:val="15"/>
                <w:b w:val="1"/>
                <w:bCs w:val="1"/>
                <w:color w:val="auto"/>
                <w:w w:val="89"/>
              </w:rPr>
              <w:t>Unrealized</w:t>
            </w:r>
          </w:p>
        </w:tc>
        <w:tc>
          <w:tcPr>
            <w:tcW w:w="880" w:type="dxa"/>
            <w:vAlign w:val="bottom"/>
          </w:tcPr>
          <w:p>
            <w:pPr>
              <w:jc w:val="center"/>
              <w:ind w:right="7"/>
              <w:spacing w:after="0" w:line="159" w:lineRule="exact"/>
              <w:rPr>
                <w:sz w:val="20"/>
                <w:szCs w:val="20"/>
                <w:color w:val="auto"/>
              </w:rPr>
            </w:pPr>
            <w:r>
              <w:rPr>
                <w:rFonts w:ascii="Arial" w:cs="Arial" w:eastAsia="Arial" w:hAnsi="Arial"/>
                <w:sz w:val="15"/>
                <w:szCs w:val="15"/>
                <w:b w:val="1"/>
                <w:bCs w:val="1"/>
                <w:color w:val="auto"/>
                <w:w w:val="82"/>
              </w:rPr>
              <w:t>Positions</w:t>
            </w:r>
          </w:p>
        </w:tc>
        <w:tc>
          <w:tcPr>
            <w:tcW w:w="380" w:type="dxa"/>
            <w:vAlign w:val="bottom"/>
          </w:tcPr>
          <w:p>
            <w:pPr>
              <w:spacing w:after="0"/>
              <w:rPr>
                <w:sz w:val="13"/>
                <w:szCs w:val="13"/>
                <w:color w:val="auto"/>
              </w:rPr>
            </w:pPr>
          </w:p>
        </w:tc>
        <w:tc>
          <w:tcPr>
            <w:tcW w:w="800" w:type="dxa"/>
            <w:vAlign w:val="bottom"/>
          </w:tcPr>
          <w:p>
            <w:pPr>
              <w:jc w:val="right"/>
              <w:ind w:right="287"/>
              <w:spacing w:after="0" w:line="159" w:lineRule="exact"/>
              <w:rPr>
                <w:sz w:val="20"/>
                <w:szCs w:val="20"/>
                <w:color w:val="auto"/>
              </w:rPr>
            </w:pPr>
            <w:r>
              <w:rPr>
                <w:rFonts w:ascii="Arial" w:cs="Arial" w:eastAsia="Arial" w:hAnsi="Arial"/>
                <w:sz w:val="15"/>
                <w:szCs w:val="15"/>
                <w:b w:val="1"/>
                <w:bCs w:val="1"/>
                <w:color w:val="auto"/>
              </w:rPr>
              <w:t>Fair</w:t>
            </w:r>
          </w:p>
        </w:tc>
        <w:tc>
          <w:tcPr>
            <w:tcW w:w="280" w:type="dxa"/>
            <w:vAlign w:val="bottom"/>
          </w:tcPr>
          <w:p>
            <w:pPr>
              <w:spacing w:after="0"/>
              <w:rPr>
                <w:sz w:val="13"/>
                <w:szCs w:val="13"/>
                <w:color w:val="auto"/>
              </w:rPr>
            </w:pPr>
          </w:p>
        </w:tc>
        <w:tc>
          <w:tcPr>
            <w:tcW w:w="1100" w:type="dxa"/>
            <w:vAlign w:val="bottom"/>
          </w:tcPr>
          <w:p>
            <w:pPr>
              <w:jc w:val="center"/>
              <w:ind w:right="267"/>
              <w:spacing w:after="0" w:line="159" w:lineRule="exact"/>
              <w:rPr>
                <w:sz w:val="20"/>
                <w:szCs w:val="20"/>
                <w:color w:val="auto"/>
              </w:rPr>
            </w:pPr>
            <w:r>
              <w:rPr>
                <w:rFonts w:ascii="Arial" w:cs="Arial" w:eastAsia="Arial" w:hAnsi="Arial"/>
                <w:sz w:val="15"/>
                <w:szCs w:val="15"/>
                <w:b w:val="1"/>
                <w:bCs w:val="1"/>
                <w:color w:val="auto"/>
                <w:w w:val="89"/>
              </w:rPr>
              <w:t>Unrealized</w:t>
            </w:r>
          </w:p>
        </w:tc>
        <w:tc>
          <w:tcPr>
            <w:tcW w:w="90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82"/>
              </w:rPr>
              <w:t>Positions</w:t>
            </w:r>
          </w:p>
        </w:tc>
        <w:tc>
          <w:tcPr>
            <w:tcW w:w="320" w:type="dxa"/>
            <w:vAlign w:val="bottom"/>
          </w:tcPr>
          <w:p>
            <w:pPr>
              <w:spacing w:after="0"/>
              <w:rPr>
                <w:sz w:val="13"/>
                <w:szCs w:val="13"/>
                <w:color w:val="auto"/>
              </w:rPr>
            </w:pPr>
          </w:p>
        </w:tc>
        <w:tc>
          <w:tcPr>
            <w:tcW w:w="920" w:type="dxa"/>
            <w:vAlign w:val="bottom"/>
          </w:tcPr>
          <w:p>
            <w:pPr>
              <w:jc w:val="center"/>
              <w:ind w:right="147"/>
              <w:spacing w:after="0" w:line="159" w:lineRule="exact"/>
              <w:rPr>
                <w:sz w:val="20"/>
                <w:szCs w:val="20"/>
                <w:color w:val="auto"/>
              </w:rPr>
            </w:pPr>
            <w:r>
              <w:rPr>
                <w:rFonts w:ascii="Arial" w:cs="Arial" w:eastAsia="Arial" w:hAnsi="Arial"/>
                <w:sz w:val="15"/>
                <w:szCs w:val="15"/>
                <w:b w:val="1"/>
                <w:bCs w:val="1"/>
                <w:color w:val="auto"/>
                <w:w w:val="94"/>
              </w:rPr>
              <w:t>Fair</w:t>
            </w:r>
          </w:p>
        </w:tc>
        <w:tc>
          <w:tcPr>
            <w:tcW w:w="220" w:type="dxa"/>
            <w:vAlign w:val="bottom"/>
          </w:tcPr>
          <w:p>
            <w:pPr>
              <w:spacing w:after="0"/>
              <w:rPr>
                <w:sz w:val="13"/>
                <w:szCs w:val="13"/>
                <w:color w:val="auto"/>
              </w:rPr>
            </w:pPr>
          </w:p>
        </w:tc>
        <w:tc>
          <w:tcPr>
            <w:tcW w:w="920" w:type="dxa"/>
            <w:vAlign w:val="bottom"/>
          </w:tcPr>
          <w:p>
            <w:pPr>
              <w:jc w:val="right"/>
              <w:ind w:right="147"/>
              <w:spacing w:after="0" w:line="159" w:lineRule="exact"/>
              <w:rPr>
                <w:sz w:val="20"/>
                <w:szCs w:val="20"/>
                <w:color w:val="auto"/>
              </w:rPr>
            </w:pPr>
            <w:r>
              <w:rPr>
                <w:rFonts w:ascii="Arial" w:cs="Arial" w:eastAsia="Arial" w:hAnsi="Arial"/>
                <w:sz w:val="15"/>
                <w:szCs w:val="15"/>
                <w:b w:val="1"/>
                <w:bCs w:val="1"/>
                <w:color w:val="auto"/>
                <w:w w:val="89"/>
              </w:rPr>
              <w:t>Unrealized</w:t>
            </w:r>
          </w:p>
        </w:tc>
      </w:tr>
      <w:tr>
        <w:trPr>
          <w:trHeight w:val="179"/>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Categor</w:t>
            </w:r>
            <w:r>
              <w:rPr>
                <w:rFonts w:ascii="Arial" w:cs="Arial" w:eastAsia="Arial" w:hAnsi="Arial"/>
                <w:sz w:val="15"/>
                <w:szCs w:val="15"/>
                <w:color w:val="auto"/>
              </w:rPr>
              <w:t>y</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rPr>
              <w:t>Value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rPr>
              <w:t>Losses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Value</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87"/>
              <w:spacing w:after="0"/>
              <w:rPr>
                <w:sz w:val="20"/>
                <w:szCs w:val="20"/>
                <w:color w:val="auto"/>
              </w:rPr>
            </w:pPr>
            <w:r>
              <w:rPr>
                <w:rFonts w:ascii="Arial" w:cs="Arial" w:eastAsia="Arial" w:hAnsi="Arial"/>
                <w:sz w:val="15"/>
                <w:szCs w:val="15"/>
                <w:b w:val="1"/>
                <w:bCs w:val="1"/>
                <w:color w:val="auto"/>
                <w:w w:val="81"/>
              </w:rPr>
              <w:t>Losses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Held</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7"/>
              <w:spacing w:after="0"/>
              <w:rPr>
                <w:sz w:val="20"/>
                <w:szCs w:val="20"/>
                <w:color w:val="auto"/>
              </w:rPr>
            </w:pPr>
            <w:r>
              <w:rPr>
                <w:rFonts w:ascii="Arial" w:cs="Arial" w:eastAsia="Arial" w:hAnsi="Arial"/>
                <w:sz w:val="15"/>
                <w:szCs w:val="15"/>
                <w:b w:val="1"/>
                <w:bCs w:val="1"/>
                <w:color w:val="auto"/>
                <w:w w:val="89"/>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Losses</w:t>
            </w:r>
          </w:p>
        </w:tc>
      </w:tr>
      <w:tr>
        <w:trPr>
          <w:trHeight w:val="159"/>
        </w:trPr>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b w:val="1"/>
                <w:bCs w:val="1"/>
                <w:color w:val="auto"/>
              </w:rPr>
              <w:t>Fixed-Maturity Securities:</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Political subdivisions of</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States, Territories and</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Possessions</w:t>
            </w:r>
          </w:p>
        </w:tc>
        <w:tc>
          <w:tcPr>
            <w:tcW w:w="300" w:type="dxa"/>
            <w:vAlign w:val="bottom"/>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59" w:lineRule="exact"/>
              <w:rPr>
                <w:sz w:val="20"/>
                <w:szCs w:val="20"/>
                <w:color w:val="auto"/>
              </w:rPr>
            </w:pPr>
            <w:r>
              <w:rPr>
                <w:rFonts w:ascii="Arial" w:cs="Arial" w:eastAsia="Arial" w:hAnsi="Arial"/>
                <w:sz w:val="15"/>
                <w:szCs w:val="15"/>
                <w:color w:val="auto"/>
              </w:rPr>
              <w:t>1,549,839</w:t>
            </w:r>
          </w:p>
        </w:tc>
        <w:tc>
          <w:tcPr>
            <w:tcW w:w="32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187"/>
              <w:spacing w:after="0" w:line="159" w:lineRule="exact"/>
              <w:rPr>
                <w:sz w:val="20"/>
                <w:szCs w:val="20"/>
                <w:color w:val="auto"/>
              </w:rPr>
            </w:pPr>
            <w:r>
              <w:rPr>
                <w:rFonts w:ascii="Arial" w:cs="Arial" w:eastAsia="Arial" w:hAnsi="Arial"/>
                <w:sz w:val="15"/>
                <w:szCs w:val="15"/>
                <w:color w:val="auto"/>
              </w:rPr>
              <w:t>(30,814)</w:t>
            </w:r>
          </w:p>
        </w:tc>
        <w:tc>
          <w:tcPr>
            <w:tcW w:w="880" w:type="dxa"/>
            <w:vAlign w:val="bottom"/>
          </w:tcPr>
          <w:p>
            <w:pPr>
              <w:jc w:val="center"/>
              <w:spacing w:after="0" w:line="159" w:lineRule="exact"/>
              <w:rPr>
                <w:sz w:val="20"/>
                <w:szCs w:val="20"/>
                <w:color w:val="auto"/>
              </w:rPr>
            </w:pPr>
            <w:r>
              <w:rPr>
                <w:rFonts w:ascii="Arial" w:cs="Arial" w:eastAsia="Arial" w:hAnsi="Arial"/>
                <w:sz w:val="15"/>
                <w:szCs w:val="15"/>
                <w:color w:val="auto"/>
                <w:w w:val="71"/>
              </w:rPr>
              <w:t>4</w:t>
            </w:r>
          </w:p>
        </w:tc>
        <w:tc>
          <w:tcPr>
            <w:tcW w:w="380" w:type="dxa"/>
            <w:vAlign w:val="bottom"/>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28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207"/>
              <w:spacing w:after="0" w:line="159" w:lineRule="exact"/>
              <w:rPr>
                <w:sz w:val="20"/>
                <w:szCs w:val="20"/>
                <w:color w:val="auto"/>
              </w:rPr>
            </w:pPr>
            <w:r>
              <w:rPr>
                <w:rFonts w:ascii="Arial" w:cs="Arial" w:eastAsia="Arial" w:hAnsi="Arial"/>
                <w:sz w:val="15"/>
                <w:szCs w:val="15"/>
                <w:color w:val="auto"/>
              </w:rPr>
              <w:t>-</w:t>
            </w:r>
          </w:p>
        </w:tc>
        <w:tc>
          <w:tcPr>
            <w:tcW w:w="900" w:type="dxa"/>
            <w:vAlign w:val="bottom"/>
          </w:tcPr>
          <w:p>
            <w:pPr>
              <w:jc w:val="center"/>
              <w:spacing w:after="0" w:line="159" w:lineRule="exact"/>
              <w:rPr>
                <w:sz w:val="20"/>
                <w:szCs w:val="20"/>
                <w:color w:val="auto"/>
              </w:rPr>
            </w:pPr>
            <w:r>
              <w:rPr>
                <w:rFonts w:ascii="Arial" w:cs="Arial" w:eastAsia="Arial" w:hAnsi="Arial"/>
                <w:sz w:val="15"/>
                <w:szCs w:val="15"/>
                <w:color w:val="auto"/>
                <w:w w:val="79"/>
              </w:rPr>
              <w:t>-</w:t>
            </w:r>
          </w:p>
        </w:tc>
        <w:tc>
          <w:tcPr>
            <w:tcW w:w="32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47"/>
              <w:spacing w:after="0" w:line="159" w:lineRule="exact"/>
              <w:rPr>
                <w:sz w:val="20"/>
                <w:szCs w:val="20"/>
                <w:color w:val="auto"/>
              </w:rPr>
            </w:pPr>
            <w:r>
              <w:rPr>
                <w:rFonts w:ascii="Arial" w:cs="Arial" w:eastAsia="Arial" w:hAnsi="Arial"/>
                <w:sz w:val="15"/>
                <w:szCs w:val="15"/>
                <w:color w:val="auto"/>
              </w:rPr>
              <w:t>1,549,839</w:t>
            </w:r>
          </w:p>
        </w:tc>
        <w:tc>
          <w:tcPr>
            <w:tcW w:w="22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5"/>
                <w:szCs w:val="15"/>
                <w:color w:val="auto"/>
              </w:rPr>
              <w:t>(30,814)</w:t>
            </w:r>
          </w:p>
        </w:tc>
      </w:tr>
      <w:tr>
        <w:trPr>
          <w:trHeight w:val="159"/>
        </w:trPr>
        <w:tc>
          <w:tcPr>
            <w:tcW w:w="2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Corporate and other</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bonds industrial and</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miscellaneous</w:t>
            </w:r>
          </w:p>
        </w:tc>
        <w:tc>
          <w:tcPr>
            <w:tcW w:w="30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5"/>
                <w:szCs w:val="15"/>
                <w:color w:val="auto"/>
                <w:w w:val="98"/>
              </w:rPr>
              <w:t>15,036,462</w:t>
            </w:r>
          </w:p>
        </w:tc>
        <w:tc>
          <w:tcPr>
            <w:tcW w:w="320" w:type="dxa"/>
            <w:vAlign w:val="bottom"/>
          </w:tcPr>
          <w:p>
            <w:pPr>
              <w:spacing w:after="0"/>
              <w:rPr>
                <w:sz w:val="13"/>
                <w:szCs w:val="13"/>
                <w:color w:val="auto"/>
              </w:rPr>
            </w:pPr>
          </w:p>
        </w:tc>
        <w:tc>
          <w:tcPr>
            <w:tcW w:w="1120" w:type="dxa"/>
            <w:vAlign w:val="bottom"/>
          </w:tcPr>
          <w:p>
            <w:pPr>
              <w:jc w:val="right"/>
              <w:ind w:right="187"/>
              <w:spacing w:after="0" w:line="159" w:lineRule="exact"/>
              <w:rPr>
                <w:sz w:val="20"/>
                <w:szCs w:val="20"/>
                <w:color w:val="auto"/>
              </w:rPr>
            </w:pPr>
            <w:r>
              <w:rPr>
                <w:rFonts w:ascii="Arial" w:cs="Arial" w:eastAsia="Arial" w:hAnsi="Arial"/>
                <w:sz w:val="15"/>
                <w:szCs w:val="15"/>
                <w:color w:val="auto"/>
              </w:rPr>
              <w:t>(269,857)</w:t>
            </w:r>
          </w:p>
        </w:tc>
        <w:tc>
          <w:tcPr>
            <w:tcW w:w="880" w:type="dxa"/>
            <w:vAlign w:val="bottom"/>
          </w:tcPr>
          <w:p>
            <w:pPr>
              <w:jc w:val="center"/>
              <w:spacing w:after="0" w:line="159" w:lineRule="exact"/>
              <w:rPr>
                <w:sz w:val="20"/>
                <w:szCs w:val="20"/>
                <w:color w:val="auto"/>
              </w:rPr>
            </w:pPr>
            <w:r>
              <w:rPr>
                <w:rFonts w:ascii="Arial" w:cs="Arial" w:eastAsia="Arial" w:hAnsi="Arial"/>
                <w:sz w:val="15"/>
                <w:szCs w:val="15"/>
                <w:color w:val="auto"/>
                <w:w w:val="83"/>
              </w:rPr>
              <w:t>20</w:t>
            </w:r>
          </w:p>
        </w:tc>
        <w:tc>
          <w:tcPr>
            <w:tcW w:w="3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5"/>
                <w:szCs w:val="15"/>
                <w:color w:val="auto"/>
              </w:rPr>
              <w:t>9,113,924</w:t>
            </w:r>
          </w:p>
        </w:tc>
        <w:tc>
          <w:tcPr>
            <w:tcW w:w="280" w:type="dxa"/>
            <w:vAlign w:val="bottom"/>
          </w:tcPr>
          <w:p>
            <w:pPr>
              <w:spacing w:after="0"/>
              <w:rPr>
                <w:sz w:val="13"/>
                <w:szCs w:val="13"/>
                <w:color w:val="auto"/>
              </w:rPr>
            </w:pPr>
          </w:p>
        </w:tc>
        <w:tc>
          <w:tcPr>
            <w:tcW w:w="1100" w:type="dxa"/>
            <w:vAlign w:val="bottom"/>
          </w:tcPr>
          <w:p>
            <w:pPr>
              <w:jc w:val="right"/>
              <w:ind w:right="167"/>
              <w:spacing w:after="0" w:line="159" w:lineRule="exact"/>
              <w:rPr>
                <w:sz w:val="20"/>
                <w:szCs w:val="20"/>
                <w:color w:val="auto"/>
              </w:rPr>
            </w:pPr>
            <w:r>
              <w:rPr>
                <w:rFonts w:ascii="Arial" w:cs="Arial" w:eastAsia="Arial" w:hAnsi="Arial"/>
                <w:sz w:val="15"/>
                <w:szCs w:val="15"/>
                <w:color w:val="auto"/>
              </w:rPr>
              <w:t>(340,516)</w:t>
            </w:r>
          </w:p>
        </w:tc>
        <w:tc>
          <w:tcPr>
            <w:tcW w:w="900" w:type="dxa"/>
            <w:vAlign w:val="bottom"/>
          </w:tcPr>
          <w:p>
            <w:pPr>
              <w:jc w:val="center"/>
              <w:spacing w:after="0" w:line="159" w:lineRule="exact"/>
              <w:rPr>
                <w:sz w:val="20"/>
                <w:szCs w:val="20"/>
                <w:color w:val="auto"/>
              </w:rPr>
            </w:pPr>
            <w:r>
              <w:rPr>
                <w:rFonts w:ascii="Arial" w:cs="Arial" w:eastAsia="Arial" w:hAnsi="Arial"/>
                <w:sz w:val="15"/>
                <w:szCs w:val="15"/>
                <w:color w:val="auto"/>
                <w:w w:val="83"/>
              </w:rPr>
              <w:t>17</w:t>
            </w:r>
          </w:p>
        </w:tc>
        <w:tc>
          <w:tcPr>
            <w:tcW w:w="320" w:type="dxa"/>
            <w:vAlign w:val="bottom"/>
          </w:tcPr>
          <w:p>
            <w:pPr>
              <w:spacing w:after="0"/>
              <w:rPr>
                <w:sz w:val="13"/>
                <w:szCs w:val="13"/>
                <w:color w:val="auto"/>
              </w:rPr>
            </w:pPr>
          </w:p>
        </w:tc>
        <w:tc>
          <w:tcPr>
            <w:tcW w:w="920" w:type="dxa"/>
            <w:vAlign w:val="bottom"/>
          </w:tcPr>
          <w:p>
            <w:pPr>
              <w:jc w:val="right"/>
              <w:ind w:right="47"/>
              <w:spacing w:after="0" w:line="159" w:lineRule="exact"/>
              <w:rPr>
                <w:sz w:val="20"/>
                <w:szCs w:val="20"/>
                <w:color w:val="auto"/>
              </w:rPr>
            </w:pPr>
            <w:r>
              <w:rPr>
                <w:rFonts w:ascii="Arial" w:cs="Arial" w:eastAsia="Arial" w:hAnsi="Arial"/>
                <w:sz w:val="15"/>
                <w:szCs w:val="15"/>
                <w:color w:val="auto"/>
              </w:rPr>
              <w:t>24,150,386</w:t>
            </w:r>
          </w:p>
        </w:tc>
        <w:tc>
          <w:tcPr>
            <w:tcW w:w="22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5"/>
                <w:szCs w:val="15"/>
                <w:color w:val="auto"/>
              </w:rPr>
              <w:t>(610,373)</w:t>
            </w:r>
          </w:p>
        </w:tc>
      </w:tr>
      <w:tr>
        <w:trPr>
          <w:trHeight w:val="159"/>
        </w:trPr>
        <w:tc>
          <w:tcPr>
            <w:tcW w:w="2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Residential mortgage and other</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2320" w:type="dxa"/>
            <w:vAlign w:val="bottom"/>
            <w:tcBorders>
              <w:bottom w:val="single" w:sz="8" w:color="CCEEFF"/>
            </w:tcBorders>
            <w:shd w:val="clear" w:color="auto" w:fill="CCEEFF"/>
          </w:tcPr>
          <w:p>
            <w:pPr>
              <w:ind w:left="40"/>
              <w:spacing w:after="0" w:line="159" w:lineRule="exact"/>
              <w:rPr>
                <w:sz w:val="20"/>
                <w:szCs w:val="20"/>
                <w:color w:val="auto"/>
              </w:rPr>
            </w:pPr>
            <w:r>
              <w:rPr>
                <w:rFonts w:ascii="Arial" w:cs="Arial" w:eastAsia="Arial" w:hAnsi="Arial"/>
                <w:sz w:val="15"/>
                <w:szCs w:val="15"/>
                <w:color w:val="auto"/>
              </w:rPr>
              <w:t>asset backed securities</w:t>
            </w:r>
          </w:p>
        </w:tc>
        <w:tc>
          <w:tcPr>
            <w:tcW w:w="3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6,956,371</w:t>
            </w: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(48,482)</w:t>
            </w:r>
          </w:p>
        </w:tc>
        <w:tc>
          <w:tcPr>
            <w:tcW w:w="88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71"/>
              </w:rPr>
              <w:t>6</w:t>
            </w:r>
          </w:p>
        </w:tc>
        <w:tc>
          <w:tcPr>
            <w:tcW w:w="3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7,867,572</w:t>
            </w: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(189,022)</w:t>
            </w:r>
          </w:p>
        </w:tc>
        <w:tc>
          <w:tcPr>
            <w:tcW w:w="90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83"/>
              </w:rPr>
              <w:t>15</w:t>
            </w: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14,823,943</w:t>
            </w: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(237,504)</w:t>
            </w:r>
          </w:p>
        </w:tc>
      </w:tr>
      <w:tr>
        <w:trPr>
          <w:trHeight w:val="159"/>
        </w:trPr>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Total fixed-maturity</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5"/>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securities</w:t>
            </w:r>
          </w:p>
        </w:tc>
        <w:tc>
          <w:tcPr>
            <w:tcW w:w="30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98"/>
              </w:rPr>
              <w:t>23,542,672</w:t>
            </w:r>
          </w:p>
        </w:tc>
        <w:tc>
          <w:tcPr>
            <w:tcW w:w="3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187"/>
              <w:spacing w:after="0" w:line="159" w:lineRule="exact"/>
              <w:rPr>
                <w:sz w:val="20"/>
                <w:szCs w:val="20"/>
                <w:color w:val="auto"/>
              </w:rPr>
            </w:pPr>
            <w:r>
              <w:rPr>
                <w:rFonts w:ascii="Arial" w:cs="Arial" w:eastAsia="Arial" w:hAnsi="Arial"/>
                <w:sz w:val="15"/>
                <w:szCs w:val="15"/>
                <w:color w:val="auto"/>
              </w:rPr>
              <w:t>(349,153)</w:t>
            </w:r>
          </w:p>
        </w:tc>
        <w:tc>
          <w:tcPr>
            <w:tcW w:w="8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color w:val="auto"/>
                <w:w w:val="83"/>
              </w:rPr>
              <w:t>30</w:t>
            </w:r>
          </w:p>
        </w:tc>
        <w:tc>
          <w:tcPr>
            <w:tcW w:w="38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16,981,496</w:t>
            </w:r>
          </w:p>
        </w:tc>
        <w:tc>
          <w:tcPr>
            <w:tcW w:w="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67"/>
              <w:spacing w:after="0" w:line="159" w:lineRule="exact"/>
              <w:rPr>
                <w:sz w:val="20"/>
                <w:szCs w:val="20"/>
                <w:color w:val="auto"/>
              </w:rPr>
            </w:pPr>
            <w:r>
              <w:rPr>
                <w:rFonts w:ascii="Arial" w:cs="Arial" w:eastAsia="Arial" w:hAnsi="Arial"/>
                <w:sz w:val="15"/>
                <w:szCs w:val="15"/>
                <w:color w:val="auto"/>
              </w:rPr>
              <w:t>(529,538)</w:t>
            </w:r>
          </w:p>
        </w:tc>
        <w:tc>
          <w:tcPr>
            <w:tcW w:w="9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color w:val="auto"/>
                <w:w w:val="83"/>
              </w:rPr>
              <w:t>32</w:t>
            </w:r>
          </w:p>
        </w:tc>
        <w:tc>
          <w:tcPr>
            <w:tcW w:w="3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47"/>
              <w:spacing w:after="0" w:line="159" w:lineRule="exact"/>
              <w:rPr>
                <w:sz w:val="20"/>
                <w:szCs w:val="20"/>
                <w:color w:val="auto"/>
              </w:rPr>
            </w:pPr>
            <w:r>
              <w:rPr>
                <w:rFonts w:ascii="Arial" w:cs="Arial" w:eastAsia="Arial" w:hAnsi="Arial"/>
                <w:sz w:val="15"/>
                <w:szCs w:val="15"/>
                <w:color w:val="auto"/>
              </w:rPr>
              <w:t>40,524,168</w:t>
            </w:r>
          </w:p>
        </w:tc>
        <w:tc>
          <w:tcPr>
            <w:tcW w:w="2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(878,691)</w:t>
            </w:r>
          </w:p>
        </w:tc>
      </w:tr>
      <w:tr>
        <w:trPr>
          <w:trHeight w:val="159"/>
        </w:trPr>
        <w:tc>
          <w:tcPr>
            <w:tcW w:w="2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b w:val="1"/>
                <w:bCs w:val="1"/>
                <w:color w:val="auto"/>
              </w:rPr>
              <w:t>Equity Securities:</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320" w:type="dxa"/>
            <w:vAlign w:val="bottom"/>
            <w:shd w:val="clear" w:color="auto" w:fill="CCEEFF"/>
          </w:tcPr>
          <w:p>
            <w:pPr>
              <w:ind w:left="40"/>
              <w:spacing w:after="0" w:line="159" w:lineRule="exact"/>
              <w:rPr>
                <w:sz w:val="20"/>
                <w:szCs w:val="20"/>
                <w:color w:val="auto"/>
              </w:rPr>
            </w:pPr>
            <w:r>
              <w:rPr>
                <w:rFonts w:ascii="Arial" w:cs="Arial" w:eastAsia="Arial" w:hAnsi="Arial"/>
                <w:sz w:val="15"/>
                <w:szCs w:val="15"/>
                <w:color w:val="auto"/>
              </w:rPr>
              <w:t>Preferred stocks</w:t>
            </w:r>
          </w:p>
        </w:tc>
        <w:tc>
          <w:tcPr>
            <w:tcW w:w="300" w:type="dxa"/>
            <w:vAlign w:val="bottom"/>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1,605,217</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(20,313)</w:t>
            </w:r>
          </w:p>
        </w:tc>
        <w:tc>
          <w:tcPr>
            <w:tcW w:w="88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71"/>
              </w:rPr>
              <w:t>5</w:t>
            </w:r>
          </w:p>
        </w:tc>
        <w:tc>
          <w:tcPr>
            <w:tcW w:w="380" w:type="dxa"/>
            <w:vAlign w:val="bottom"/>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1,776,675</w:t>
            </w: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(120,712)</w:t>
            </w:r>
          </w:p>
        </w:tc>
        <w:tc>
          <w:tcPr>
            <w:tcW w:w="900" w:type="dxa"/>
            <w:vAlign w:val="bottom"/>
            <w:shd w:val="clear" w:color="auto" w:fill="CCEEFF"/>
          </w:tcPr>
          <w:p>
            <w:pPr>
              <w:jc w:val="center"/>
              <w:spacing w:after="0" w:line="159" w:lineRule="exact"/>
              <w:rPr>
                <w:sz w:val="20"/>
                <w:szCs w:val="20"/>
                <w:color w:val="auto"/>
              </w:rPr>
            </w:pPr>
            <w:r>
              <w:rPr>
                <w:rFonts w:ascii="Arial" w:cs="Arial" w:eastAsia="Arial" w:hAnsi="Arial"/>
                <w:sz w:val="15"/>
                <w:szCs w:val="15"/>
                <w:color w:val="auto"/>
                <w:w w:val="95"/>
              </w:rPr>
              <w:t>3</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3,381,892</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(141,025)</w:t>
            </w:r>
          </w:p>
        </w:tc>
      </w:tr>
      <w:tr>
        <w:trPr>
          <w:trHeight w:val="159"/>
        </w:trPr>
        <w:tc>
          <w:tcPr>
            <w:tcW w:w="2320" w:type="dxa"/>
            <w:vAlign w:val="bottom"/>
          </w:tcPr>
          <w:p>
            <w:pPr>
              <w:ind w:left="40"/>
              <w:spacing w:after="0" w:line="159" w:lineRule="exact"/>
              <w:rPr>
                <w:sz w:val="20"/>
                <w:szCs w:val="20"/>
                <w:color w:val="auto"/>
              </w:rPr>
            </w:pPr>
            <w:r>
              <w:rPr>
                <w:rFonts w:ascii="Arial" w:cs="Arial" w:eastAsia="Arial" w:hAnsi="Arial"/>
                <w:sz w:val="15"/>
                <w:szCs w:val="15"/>
                <w:color w:val="auto"/>
              </w:rPr>
              <w:t>Common stocks and</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2320" w:type="dxa"/>
            <w:vAlign w:val="bottom"/>
            <w:tcBorders>
              <w:bottom w:val="single" w:sz="8" w:color="CCEEFF"/>
            </w:tcBorders>
            <w:shd w:val="clear" w:color="auto" w:fill="CCEEFF"/>
          </w:tcPr>
          <w:p>
            <w:pPr>
              <w:ind w:left="40"/>
              <w:spacing w:after="0" w:line="159" w:lineRule="exact"/>
              <w:rPr>
                <w:sz w:val="20"/>
                <w:szCs w:val="20"/>
                <w:color w:val="auto"/>
              </w:rPr>
            </w:pPr>
            <w:r>
              <w:rPr>
                <w:rFonts w:ascii="Arial" w:cs="Arial" w:eastAsia="Arial" w:hAnsi="Arial"/>
                <w:sz w:val="15"/>
                <w:szCs w:val="15"/>
                <w:color w:val="auto"/>
              </w:rPr>
              <w:t>exchange traded mutual funds</w:t>
            </w:r>
          </w:p>
        </w:tc>
        <w:tc>
          <w:tcPr>
            <w:tcW w:w="3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1,446,375</w:t>
            </w: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(222,205)</w:t>
            </w:r>
          </w:p>
        </w:tc>
        <w:tc>
          <w:tcPr>
            <w:tcW w:w="88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71"/>
              </w:rPr>
              <w:t>4</w:t>
            </w:r>
          </w:p>
        </w:tc>
        <w:tc>
          <w:tcPr>
            <w:tcW w:w="3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124,900</w:t>
            </w: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(14,530)</w:t>
            </w:r>
          </w:p>
        </w:tc>
        <w:tc>
          <w:tcPr>
            <w:tcW w:w="90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95"/>
              </w:rPr>
              <w:t>1</w:t>
            </w: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1,571,275</w:t>
            </w: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(236,735)</w:t>
            </w:r>
          </w:p>
        </w:tc>
      </w:tr>
      <w:tr>
        <w:trPr>
          <w:trHeight w:val="159"/>
        </w:trPr>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2320" w:type="dxa"/>
            <w:vAlign w:val="bottom"/>
            <w:tcBorders>
              <w:bottom w:val="single" w:sz="8" w:color="CCEEFF"/>
            </w:tcBorders>
            <w:shd w:val="clear" w:color="auto" w:fill="CCEEFF"/>
          </w:tcPr>
          <w:p>
            <w:pPr>
              <w:ind w:left="40"/>
              <w:spacing w:after="0" w:line="159" w:lineRule="exact"/>
              <w:rPr>
                <w:sz w:val="20"/>
                <w:szCs w:val="20"/>
                <w:color w:val="auto"/>
              </w:rPr>
            </w:pPr>
            <w:r>
              <w:rPr>
                <w:rFonts w:ascii="Arial" w:cs="Arial" w:eastAsia="Arial" w:hAnsi="Arial"/>
                <w:sz w:val="15"/>
                <w:szCs w:val="15"/>
                <w:color w:val="auto"/>
              </w:rPr>
              <w:t>Total equity securities</w:t>
            </w:r>
          </w:p>
        </w:tc>
        <w:tc>
          <w:tcPr>
            <w:tcW w:w="300" w:type="dxa"/>
            <w:vAlign w:val="bottom"/>
            <w:tcBorders>
              <w:bottom w:val="single" w:sz="8" w:color="auto"/>
            </w:tcBorders>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3,051,592</w:t>
            </w:r>
          </w:p>
        </w:tc>
        <w:tc>
          <w:tcPr>
            <w:tcW w:w="3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(242,518)</w:t>
            </w:r>
          </w:p>
        </w:tc>
        <w:tc>
          <w:tcPr>
            <w:tcW w:w="88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71"/>
              </w:rPr>
              <w:t>9</w:t>
            </w:r>
          </w:p>
        </w:tc>
        <w:tc>
          <w:tcPr>
            <w:tcW w:w="380" w:type="dxa"/>
            <w:vAlign w:val="bottom"/>
            <w:tcBorders>
              <w:bottom w:val="single" w:sz="8" w:color="auto"/>
            </w:tcBorders>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1,901,575</w:t>
            </w:r>
          </w:p>
        </w:tc>
        <w:tc>
          <w:tcPr>
            <w:tcW w:w="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(135,242)</w:t>
            </w:r>
          </w:p>
        </w:tc>
        <w:tc>
          <w:tcPr>
            <w:tcW w:w="90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95"/>
              </w:rPr>
              <w:t>4</w:t>
            </w:r>
          </w:p>
        </w:tc>
        <w:tc>
          <w:tcPr>
            <w:tcW w:w="3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4,953,167</w:t>
            </w:r>
          </w:p>
        </w:tc>
        <w:tc>
          <w:tcPr>
            <w:tcW w:w="2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(377,760)</w:t>
            </w:r>
          </w:p>
        </w:tc>
      </w:tr>
      <w:tr>
        <w:trPr>
          <w:trHeight w:val="159"/>
        </w:trPr>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9"/>
        </w:trPr>
        <w:tc>
          <w:tcPr>
            <w:tcW w:w="2320" w:type="dxa"/>
            <w:vAlign w:val="bottom"/>
            <w:tcBorders>
              <w:bottom w:val="single" w:sz="8" w:color="CCEEFF"/>
            </w:tcBorders>
            <w:shd w:val="clear" w:color="auto" w:fill="CCEEFF"/>
          </w:tcPr>
          <w:p>
            <w:pPr>
              <w:ind w:left="40"/>
              <w:spacing w:after="0" w:line="159" w:lineRule="exact"/>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98"/>
              </w:rPr>
              <w:t>26,594,264</w:t>
            </w:r>
          </w:p>
        </w:tc>
        <w:tc>
          <w:tcPr>
            <w:tcW w:w="3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87"/>
              <w:spacing w:after="0" w:line="159" w:lineRule="exact"/>
              <w:rPr>
                <w:sz w:val="20"/>
                <w:szCs w:val="20"/>
                <w:color w:val="auto"/>
              </w:rPr>
            </w:pPr>
            <w:r>
              <w:rPr>
                <w:rFonts w:ascii="Arial" w:cs="Arial" w:eastAsia="Arial" w:hAnsi="Arial"/>
                <w:sz w:val="15"/>
                <w:szCs w:val="15"/>
                <w:color w:val="auto"/>
              </w:rPr>
              <w:t>(591,671)</w:t>
            </w:r>
          </w:p>
        </w:tc>
        <w:tc>
          <w:tcPr>
            <w:tcW w:w="88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83"/>
              </w:rPr>
              <w:t>39</w:t>
            </w:r>
          </w:p>
        </w:tc>
        <w:tc>
          <w:tcPr>
            <w:tcW w:w="380" w:type="dxa"/>
            <w:vAlign w:val="bottom"/>
            <w:tcBorders>
              <w:bottom w:val="single" w:sz="8" w:color="auto"/>
            </w:tcBorders>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95"/>
              </w:rPr>
              <w:t>18,883,071</w:t>
            </w:r>
          </w:p>
        </w:tc>
        <w:tc>
          <w:tcPr>
            <w:tcW w:w="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167"/>
              <w:spacing w:after="0" w:line="159" w:lineRule="exact"/>
              <w:rPr>
                <w:sz w:val="20"/>
                <w:szCs w:val="20"/>
                <w:color w:val="auto"/>
              </w:rPr>
            </w:pPr>
            <w:r>
              <w:rPr>
                <w:rFonts w:ascii="Arial" w:cs="Arial" w:eastAsia="Arial" w:hAnsi="Arial"/>
                <w:sz w:val="15"/>
                <w:szCs w:val="15"/>
                <w:color w:val="auto"/>
              </w:rPr>
              <w:t>(664,780)</w:t>
            </w:r>
          </w:p>
        </w:tc>
        <w:tc>
          <w:tcPr>
            <w:tcW w:w="900" w:type="dxa"/>
            <w:vAlign w:val="bottom"/>
            <w:tcBorders>
              <w:bottom w:val="single" w:sz="8" w:color="auto"/>
            </w:tcBorders>
            <w:shd w:val="clear" w:color="auto" w:fill="CCEEFF"/>
          </w:tcPr>
          <w:p>
            <w:pPr>
              <w:jc w:val="center"/>
              <w:spacing w:after="0" w:line="159" w:lineRule="exact"/>
              <w:rPr>
                <w:sz w:val="20"/>
                <w:szCs w:val="20"/>
                <w:color w:val="auto"/>
              </w:rPr>
            </w:pPr>
            <w:r>
              <w:rPr>
                <w:rFonts w:ascii="Arial" w:cs="Arial" w:eastAsia="Arial" w:hAnsi="Arial"/>
                <w:sz w:val="15"/>
                <w:szCs w:val="15"/>
                <w:color w:val="auto"/>
                <w:w w:val="83"/>
              </w:rPr>
              <w:t>36</w:t>
            </w:r>
          </w:p>
        </w:tc>
        <w:tc>
          <w:tcPr>
            <w:tcW w:w="3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7"/>
              <w:spacing w:after="0" w:line="159" w:lineRule="exact"/>
              <w:rPr>
                <w:sz w:val="20"/>
                <w:szCs w:val="20"/>
                <w:color w:val="auto"/>
              </w:rPr>
            </w:pPr>
            <w:r>
              <w:rPr>
                <w:rFonts w:ascii="Arial" w:cs="Arial" w:eastAsia="Arial" w:hAnsi="Arial"/>
                <w:sz w:val="15"/>
                <w:szCs w:val="15"/>
                <w:color w:val="auto"/>
              </w:rPr>
              <w:t>45,477,335</w:t>
            </w:r>
          </w:p>
        </w:tc>
        <w:tc>
          <w:tcPr>
            <w:tcW w:w="2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(1,256,451)</w:t>
            </w:r>
          </w:p>
        </w:tc>
      </w:tr>
    </w:tbl>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0" w:right="179" w:bottom="1440" w:gutter="0" w:footer="0" w:header="0"/>
        </w:sectPr>
      </w:pPr>
    </w:p>
    <w:bookmarkStart w:id="73" w:name="page74"/>
    <w:bookmarkEnd w:id="73"/>
    <w:p>
      <w:pPr>
        <w:jc w:val="both"/>
        <w:ind w:firstLine="636"/>
        <w:spacing w:after="0" w:line="287" w:lineRule="auto"/>
        <w:rPr>
          <w:sz w:val="20"/>
          <w:szCs w:val="20"/>
          <w:color w:val="auto"/>
        </w:rPr>
      </w:pPr>
      <w:r>
        <w:rPr>
          <w:rFonts w:ascii="Arial" w:cs="Arial" w:eastAsia="Arial" w:hAnsi="Arial"/>
          <w:sz w:val="16"/>
          <w:szCs w:val="16"/>
          <w:color w:val="auto"/>
        </w:rPr>
        <w:t>There were 166 securities at September 30, 2018 that accounted for the gross unrealized loss, none of which were deemed by us to be other than temporarily impaired. There were 62 fixed-maturity securities and 13 equity securities at December 31, 2017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Cash Flows</w:t>
      </w:r>
    </w:p>
    <w:p>
      <w:pPr>
        <w:spacing w:after="0" w:line="162"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17"/>
          <w:szCs w:val="17"/>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22"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6"/>
          <w:szCs w:val="16"/>
          <w:color w:val="auto"/>
        </w:rPr>
        <w:t>On January 31, 2017, we closed on an underwritten public offering of 2,500,000 shares of our common stock. On February 14, 2017, we closed on the underwriters’ purchase option for an additional 192,500 shares of our common stock. The public offering price for the 2,692,500 shares sold was $12.00 per share. The aggregate net proceeds to us were approximately $30,137,000. On March 1, 2017, we used $23,000,000 of the net proceeds of the offering to contribute capital to KICO, to support its ratings upgrade plan and additional growth. The remainder of the net proceeds will be used for general corporate purposes.</w:t>
      </w:r>
    </w:p>
    <w:p>
      <w:pPr>
        <w:spacing w:after="0" w:line="104"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6"/>
          <w:szCs w:val="16"/>
          <w:color w:val="auto"/>
        </w:rPr>
        <w:t>On December 19, 2017, we issued $30 million of our 5.50% Senior Unsecured Notes due December 30, 2022 pursuant to an underwritten public offering. The net proceeds to us were approximately $29,121,000. On December 20, 2017, we used $25,000,000 of the net proceeds from the debt offering to contribute capital to KICO, to support additional growth. The remainder of the net proceeds will be used for general corporate purposes. Interest will be payable semi-annually in arrears on June 30 and December 30 of each year, which began on June 30 2018 at the rate of 5.50% per year from December 19, 2017.</w:t>
      </w:r>
    </w:p>
    <w:p>
      <w:pPr>
        <w:spacing w:after="0" w:line="104"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For the nine months ended September 30, 2018, the primary source of cash flow for our holding company was the dividends received from KICO, subject to statutory restrictions. For the nine months ended September 30, 2018, KICO paid dividends of $2,600,000 to us.</w:t>
      </w:r>
    </w:p>
    <w:p>
      <w:pPr>
        <w:spacing w:after="0" w:line="102"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Consolidated Financial Statements, – “Investments”, for eligible collateral held in a designated custodian account available for future advances. Advances are limited to 5% of KICO’s net admitted assets as of December 31, 2017 and are due and payable within one year of borrowing. The maximum allowable advance as of September 30, 2018, based on the net admitted assets as of December 31, 2017, was approximately $9,849,000. Advances are limited to the amount of available collateral, which was approximately $5,790,000 as of September 30, 2018. There were no borrowings under this facility during the nine months ended September 30,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74" w:name="page75"/>
    <w:bookmarkEnd w:id="74"/>
    <w:p>
      <w:pPr>
        <w:jc w:val="both"/>
        <w:ind w:firstLine="636"/>
        <w:spacing w:after="0" w:line="287" w:lineRule="auto"/>
        <w:rPr>
          <w:sz w:val="20"/>
          <w:szCs w:val="20"/>
          <w:color w:val="auto"/>
        </w:rPr>
      </w:pPr>
      <w:r>
        <w:rPr>
          <w:rFonts w:ascii="Arial" w:cs="Arial" w:eastAsia="Arial" w:hAnsi="Arial"/>
          <w:sz w:val="17"/>
          <w:szCs w:val="17"/>
          <w:color w:val="auto"/>
        </w:rPr>
        <w:t>As of September 30, 2018, invested assets and cash in our holding company was approximately $6,103,000. If the aforementioned sources of cash flow currently available are insufficient to cover our holding company cash requirements, we will seek to obtain additional financing.</w:t>
      </w:r>
    </w:p>
    <w:p>
      <w:pPr>
        <w:spacing w:after="0" w:line="168"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102"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Cash flow and liquidity are categorized into three sources: (1) operating activities; (2) investing activities; and (3) financing activities, which are shown in the following table: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8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Nine months ended September 30,</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2017</w:t>
            </w:r>
          </w:p>
        </w:tc>
      </w:tr>
      <w:tr>
        <w:trPr>
          <w:trHeight w:val="238"/>
        </w:trPr>
        <w:tc>
          <w:tcPr>
            <w:tcW w:w="8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8"/>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flows provided by (used in):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2"/>
        </w:trPr>
        <w:tc>
          <w:tcPr>
            <w:tcW w:w="8800" w:type="dxa"/>
            <w:vAlign w:val="bottom"/>
          </w:tcPr>
          <w:p>
            <w:pPr>
              <w:ind w:left="200"/>
              <w:spacing w:after="0"/>
              <w:rPr>
                <w:sz w:val="20"/>
                <w:szCs w:val="20"/>
                <w:color w:val="auto"/>
              </w:rPr>
            </w:pPr>
            <w:r>
              <w:rPr>
                <w:rFonts w:ascii="Arial" w:cs="Arial" w:eastAsia="Arial" w:hAnsi="Arial"/>
                <w:sz w:val="17"/>
                <w:szCs w:val="17"/>
                <w:color w:val="auto"/>
              </w:rPr>
              <w:t>Operating activities</w:t>
            </w:r>
          </w:p>
        </w:tc>
        <w:tc>
          <w:tcPr>
            <w:tcW w:w="3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6"/>
              <w:spacing w:after="0"/>
              <w:rPr>
                <w:sz w:val="20"/>
                <w:szCs w:val="20"/>
                <w:color w:val="auto"/>
              </w:rPr>
            </w:pPr>
            <w:r>
              <w:rPr>
                <w:rFonts w:ascii="Arial" w:cs="Arial" w:eastAsia="Arial" w:hAnsi="Arial"/>
                <w:sz w:val="17"/>
                <w:szCs w:val="17"/>
                <w:color w:val="auto"/>
              </w:rPr>
              <w:t>18,197,327</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20,889,623</w:t>
            </w:r>
          </w:p>
        </w:tc>
      </w:tr>
      <w:tr>
        <w:trPr>
          <w:trHeight w:val="212"/>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9"/>
              </w:rPr>
              <w:t>(32,299,835)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(34,698,530)</w:t>
            </w:r>
          </w:p>
        </w:tc>
      </w:tr>
      <w:tr>
        <w:trPr>
          <w:trHeight w:val="218"/>
        </w:trPr>
        <w:tc>
          <w:tcPr>
            <w:tcW w:w="8800" w:type="dxa"/>
            <w:vAlign w:val="bottom"/>
          </w:tcPr>
          <w:p>
            <w:pPr>
              <w:ind w:left="200"/>
              <w:spacing w:after="0"/>
              <w:rPr>
                <w:sz w:val="20"/>
                <w:szCs w:val="20"/>
                <w:color w:val="auto"/>
              </w:rPr>
            </w:pPr>
            <w:r>
              <w:rPr>
                <w:rFonts w:ascii="Arial" w:cs="Arial" w:eastAsia="Arial" w:hAnsi="Arial"/>
                <w:sz w:val="17"/>
                <w:szCs w:val="17"/>
                <w:color w:val="auto"/>
              </w:rPr>
              <w:t>Financing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(4,385,449)</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27,644,693</w:t>
            </w: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(decrease) increase in cash and cash equivalents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9"/>
              </w:rPr>
              <w:t>(18,487,957)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13,835,786</w:t>
            </w:r>
          </w:p>
        </w:tc>
      </w:tr>
      <w:tr>
        <w:trPr>
          <w:trHeight w:val="218"/>
        </w:trPr>
        <w:tc>
          <w:tcPr>
            <w:tcW w:w="8800" w:type="dxa"/>
            <w:vAlign w:val="bottom"/>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48,381,633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12,044,520</w:t>
            </w:r>
          </w:p>
        </w:tc>
      </w:tr>
      <w:tr>
        <w:trPr>
          <w:trHeight w:val="252"/>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end of period</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29,893,676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25,880,306</w:t>
            </w:r>
          </w:p>
        </w:tc>
      </w:tr>
    </w:tbl>
    <w:p>
      <w:pPr>
        <w:spacing w:after="0" w:line="203" w:lineRule="exact"/>
        <w:rPr>
          <w:sz w:val="20"/>
          <w:szCs w:val="20"/>
          <w:color w:val="auto"/>
        </w:rPr>
      </w:pPr>
    </w:p>
    <w:p>
      <w:pPr>
        <w:jc w:val="both"/>
        <w:ind w:firstLine="636"/>
        <w:spacing w:after="0" w:line="298" w:lineRule="auto"/>
        <w:rPr>
          <w:sz w:val="20"/>
          <w:szCs w:val="20"/>
          <w:color w:val="auto"/>
        </w:rPr>
      </w:pPr>
      <w:r>
        <w:rPr>
          <w:rFonts w:ascii="Arial" w:cs="Arial" w:eastAsia="Arial" w:hAnsi="Arial"/>
          <w:sz w:val="16"/>
          <w:szCs w:val="16"/>
          <w:color w:val="auto"/>
        </w:rPr>
        <w:t>Net cash provided by operating activities was $18,197,000 in 2018 as compared to $20,890,000 in 2017. The $2,693,000 decrease in cash flows provided by operating activities in 2018 was primarily a result of a decrease in net income (adjusted for non-cash items) of $3,357,000, partially offset by an increase in cash arising from net fluctuations in assets and liabilities relating to operating activities of KICO as affected by the growth in its operations which are described above.</w:t>
      </w:r>
    </w:p>
    <w:p>
      <w:pPr>
        <w:spacing w:after="0" w:line="96"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7"/>
          <w:szCs w:val="17"/>
          <w:color w:val="auto"/>
        </w:rPr>
        <w:t>Net cash used in investing activities was $32,300,000 in 2018 compared to $34,699,000 in 2017. The $2,399,000 decrease in net cash used in investing activities was the result of a $12,902,000 increase in sales or maturities of invested assets, which offset the $10,404,000 increase in acquisitions of invested assets and the $100,000 increase in fixed asset acquisitions in 2018.</w:t>
      </w:r>
    </w:p>
    <w:p>
      <w:pPr>
        <w:spacing w:after="0" w:line="114"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7"/>
          <w:szCs w:val="17"/>
          <w:color w:val="auto"/>
        </w:rPr>
        <w:t>Net cash used in financing activities was $4,385,000 in 2018 compared to $27,645,000 provided in 2017. The $32,030,000 decrease in net cash provided by financing activities was the result of the $30,137,000 net proceeds we received from the public offering of our common stock in January/February 2017 and an $841,000 increase in dividends paid in 2018.</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168"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Our quota share reinsurance treaties are on a July 1 through June 30 fiscal year basis; therefore, for year to date fiscal periods after June 30, two separate treaties will be included in such periods.</w:t>
      </w:r>
    </w:p>
    <w:p>
      <w:pPr>
        <w:spacing w:after="0" w:line="168"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7"/>
          <w:szCs w:val="17"/>
          <w:color w:val="auto"/>
        </w:rPr>
        <w:t>Our quota share reinsurance treaty in effect for 2018 for our personal lines business, which primarily consists of homeowners policies, was covered under the 2017/2019 Treaty. Our quota share reinsurance treaty in effect for 2017 for our personal lines business, which primarily consists of homeowners policies, was covered under the 2017/2019 and 2016/2017 Treaties.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75" w:name="page76"/>
    <w:bookmarkEnd w:id="75"/>
    <w:p>
      <w:pPr>
        <w:jc w:val="both"/>
        <w:ind w:right="20" w:firstLine="636"/>
        <w:spacing w:after="0" w:line="269" w:lineRule="auto"/>
        <w:rPr>
          <w:sz w:val="20"/>
          <w:szCs w:val="20"/>
          <w:color w:val="auto"/>
        </w:rPr>
      </w:pPr>
      <w:r>
        <w:rPr>
          <w:rFonts w:ascii="Arial" w:cs="Arial" w:eastAsia="Arial" w:hAnsi="Arial"/>
          <w:sz w:val="17"/>
          <w:szCs w:val="17"/>
          <w:color w:val="auto"/>
        </w:rPr>
        <w:t>In March 2017, we bound our personal lines quota share reinsurance treaty effective July 1, 2017. The treaty provides for a reduction in the quota share ceding rate to 20%, from 40% in the 2016/2017 Treaty, and an increase in the provisional ceding commission rate to 53%, from 52% in the 2016/2017 Treaty. The 2017/2019 Treaty covers a two year period from July 1, 2017 through June 30, 2019. In August 2018, we reduced our quota share ceding rate under the 2017/2019 Treaty to 10%, from 20%, effective July 1, 2018.</w:t>
      </w:r>
    </w:p>
    <w:p>
      <w:pPr>
        <w:spacing w:after="0" w:line="183" w:lineRule="exact"/>
        <w:rPr>
          <w:sz w:val="20"/>
          <w:szCs w:val="20"/>
          <w:color w:val="auto"/>
        </w:rPr>
      </w:pPr>
    </w:p>
    <w:p>
      <w:pPr>
        <w:jc w:val="both"/>
        <w:ind w:right="20" w:firstLine="636"/>
        <w:spacing w:after="0" w:line="287" w:lineRule="auto"/>
        <w:rPr>
          <w:sz w:val="20"/>
          <w:szCs w:val="20"/>
          <w:color w:val="auto"/>
        </w:rPr>
      </w:pPr>
      <w:r>
        <w:rPr>
          <w:rFonts w:ascii="Arial" w:cs="Arial" w:eastAsia="Arial" w:hAnsi="Arial"/>
          <w:sz w:val="17"/>
          <w:szCs w:val="17"/>
          <w:color w:val="auto"/>
        </w:rPr>
        <w:t>We entered into new excess of loss and catastrophe reinsurance treaties effective July 1, 2018. Material terms for our reinsurance treaties in effect for the treaty years shown below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35"/>
              <w:spacing w:after="0"/>
              <w:rPr>
                <w:sz w:val="20"/>
                <w:szCs w:val="20"/>
                <w:color w:val="auto"/>
              </w:rPr>
            </w:pPr>
            <w:r>
              <w:rPr>
                <w:rFonts w:ascii="Arial" w:cs="Arial" w:eastAsia="Arial" w:hAnsi="Arial"/>
                <w:sz w:val="15"/>
                <w:szCs w:val="15"/>
                <w:b w:val="1"/>
                <w:bCs w:val="1"/>
                <w:color w:val="auto"/>
                <w:w w:val="90"/>
              </w:rPr>
              <w:t>Treaty Year</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6"/>
        </w:trPr>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235"/>
              <w:spacing w:after="0" w:line="146" w:lineRule="exact"/>
              <w:rPr>
                <w:sz w:val="20"/>
                <w:szCs w:val="20"/>
                <w:color w:val="auto"/>
              </w:rPr>
            </w:pPr>
            <w:r>
              <w:rPr>
                <w:rFonts w:ascii="Arial" w:cs="Arial" w:eastAsia="Arial" w:hAnsi="Arial"/>
                <w:sz w:val="15"/>
                <w:szCs w:val="15"/>
                <w:b w:val="1"/>
                <w:bCs w:val="1"/>
                <w:color w:val="auto"/>
                <w:w w:val="87"/>
              </w:rPr>
              <w:t>July 1, 2018</w:t>
            </w:r>
          </w:p>
        </w:tc>
        <w:tc>
          <w:tcPr>
            <w:tcW w:w="160" w:type="dxa"/>
            <w:vAlign w:val="bottom"/>
          </w:tcPr>
          <w:p>
            <w:pPr>
              <w:spacing w:after="0"/>
              <w:rPr>
                <w:sz w:val="12"/>
                <w:szCs w:val="12"/>
                <w:color w:val="auto"/>
              </w:rPr>
            </w:pPr>
          </w:p>
        </w:tc>
        <w:tc>
          <w:tcPr>
            <w:tcW w:w="1220" w:type="dxa"/>
            <w:vAlign w:val="bottom"/>
          </w:tcPr>
          <w:p>
            <w:pPr>
              <w:jc w:val="center"/>
              <w:ind w:right="235"/>
              <w:spacing w:after="0" w:line="146" w:lineRule="exact"/>
              <w:rPr>
                <w:sz w:val="20"/>
                <w:szCs w:val="20"/>
                <w:color w:val="auto"/>
              </w:rPr>
            </w:pPr>
            <w:r>
              <w:rPr>
                <w:rFonts w:ascii="Arial" w:cs="Arial" w:eastAsia="Arial" w:hAnsi="Arial"/>
                <w:sz w:val="15"/>
                <w:szCs w:val="15"/>
                <w:b w:val="1"/>
                <w:bCs w:val="1"/>
                <w:color w:val="auto"/>
                <w:w w:val="87"/>
              </w:rPr>
              <w:t>July 1, 2017</w:t>
            </w:r>
          </w:p>
        </w:tc>
        <w:tc>
          <w:tcPr>
            <w:tcW w:w="180" w:type="dxa"/>
            <w:vAlign w:val="bottom"/>
          </w:tcPr>
          <w:p>
            <w:pPr>
              <w:spacing w:after="0"/>
              <w:rPr>
                <w:sz w:val="12"/>
                <w:szCs w:val="12"/>
                <w:color w:val="auto"/>
              </w:rPr>
            </w:pPr>
          </w:p>
        </w:tc>
        <w:tc>
          <w:tcPr>
            <w:tcW w:w="1120" w:type="dxa"/>
            <w:vAlign w:val="bottom"/>
          </w:tcPr>
          <w:p>
            <w:pPr>
              <w:jc w:val="center"/>
              <w:ind w:right="175"/>
              <w:spacing w:after="0" w:line="146" w:lineRule="exact"/>
              <w:rPr>
                <w:sz w:val="20"/>
                <w:szCs w:val="20"/>
                <w:color w:val="auto"/>
              </w:rPr>
            </w:pPr>
            <w:r>
              <w:rPr>
                <w:rFonts w:ascii="Arial" w:cs="Arial" w:eastAsia="Arial" w:hAnsi="Arial"/>
                <w:sz w:val="15"/>
                <w:szCs w:val="15"/>
                <w:b w:val="1"/>
                <w:bCs w:val="1"/>
                <w:color w:val="auto"/>
                <w:w w:val="87"/>
              </w:rPr>
              <w:t>July 1, 2016</w:t>
            </w:r>
          </w:p>
        </w:tc>
        <w:tc>
          <w:tcPr>
            <w:tcW w:w="20" w:type="dxa"/>
            <w:vAlign w:val="bottom"/>
          </w:tcPr>
          <w:p>
            <w:pPr>
              <w:spacing w:after="0"/>
              <w:rPr>
                <w:sz w:val="12"/>
                <w:szCs w:val="12"/>
                <w:color w:val="auto"/>
              </w:rPr>
            </w:pPr>
          </w:p>
        </w:tc>
      </w:tr>
      <w:tr>
        <w:trPr>
          <w:trHeight w:val="159"/>
        </w:trPr>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55"/>
              <w:spacing w:after="0" w:line="159" w:lineRule="exact"/>
              <w:rPr>
                <w:sz w:val="20"/>
                <w:szCs w:val="20"/>
                <w:color w:val="auto"/>
              </w:rPr>
            </w:pPr>
            <w:r>
              <w:rPr>
                <w:rFonts w:ascii="Arial" w:cs="Arial" w:eastAsia="Arial" w:hAnsi="Arial"/>
                <w:sz w:val="15"/>
                <w:szCs w:val="15"/>
                <w:b w:val="1"/>
                <w:bCs w:val="1"/>
                <w:color w:val="auto"/>
                <w:w w:val="84"/>
              </w:rPr>
              <w:t>to</w:t>
            </w:r>
          </w:p>
        </w:tc>
        <w:tc>
          <w:tcPr>
            <w:tcW w:w="160" w:type="dxa"/>
            <w:vAlign w:val="bottom"/>
          </w:tcPr>
          <w:p>
            <w:pPr>
              <w:spacing w:after="0"/>
              <w:rPr>
                <w:sz w:val="13"/>
                <w:szCs w:val="13"/>
                <w:color w:val="auto"/>
              </w:rPr>
            </w:pPr>
          </w:p>
        </w:tc>
        <w:tc>
          <w:tcPr>
            <w:tcW w:w="1220" w:type="dxa"/>
            <w:vAlign w:val="bottom"/>
          </w:tcPr>
          <w:p>
            <w:pPr>
              <w:jc w:val="center"/>
              <w:ind w:right="215"/>
              <w:spacing w:after="0" w:line="159" w:lineRule="exact"/>
              <w:rPr>
                <w:sz w:val="20"/>
                <w:szCs w:val="20"/>
                <w:color w:val="auto"/>
              </w:rPr>
            </w:pPr>
            <w:r>
              <w:rPr>
                <w:rFonts w:ascii="Arial" w:cs="Arial" w:eastAsia="Arial" w:hAnsi="Arial"/>
                <w:sz w:val="15"/>
                <w:szCs w:val="15"/>
                <w:b w:val="1"/>
                <w:bCs w:val="1"/>
                <w:color w:val="auto"/>
                <w:w w:val="84"/>
              </w:rPr>
              <w:t>to</w:t>
            </w:r>
          </w:p>
        </w:tc>
        <w:tc>
          <w:tcPr>
            <w:tcW w:w="180" w:type="dxa"/>
            <w:vAlign w:val="bottom"/>
          </w:tcPr>
          <w:p>
            <w:pPr>
              <w:spacing w:after="0"/>
              <w:rPr>
                <w:sz w:val="13"/>
                <w:szCs w:val="13"/>
                <w:color w:val="auto"/>
              </w:rPr>
            </w:pPr>
          </w:p>
        </w:tc>
        <w:tc>
          <w:tcPr>
            <w:tcW w:w="1140" w:type="dxa"/>
            <w:vAlign w:val="bottom"/>
            <w:gridSpan w:val="2"/>
          </w:tcPr>
          <w:p>
            <w:pPr>
              <w:jc w:val="center"/>
              <w:ind w:right="260"/>
              <w:spacing w:after="0" w:line="159" w:lineRule="exact"/>
              <w:rPr>
                <w:sz w:val="20"/>
                <w:szCs w:val="20"/>
                <w:color w:val="auto"/>
              </w:rPr>
            </w:pPr>
            <w:r>
              <w:rPr>
                <w:rFonts w:ascii="Arial" w:cs="Arial" w:eastAsia="Arial" w:hAnsi="Arial"/>
                <w:sz w:val="15"/>
                <w:szCs w:val="15"/>
                <w:b w:val="1"/>
                <w:bCs w:val="1"/>
                <w:color w:val="auto"/>
                <w:w w:val="84"/>
              </w:rPr>
              <w:t>to</w:t>
            </w:r>
          </w:p>
        </w:tc>
      </w:tr>
      <w:tr>
        <w:trPr>
          <w:trHeight w:val="179"/>
        </w:trPr>
        <w:tc>
          <w:tcPr>
            <w:tcW w:w="5660" w:type="dxa"/>
            <w:vAlign w:val="bottom"/>
            <w:gridSpan w:val="4"/>
          </w:tcPr>
          <w:p>
            <w:pPr>
              <w:ind w:left="40"/>
              <w:spacing w:after="0"/>
              <w:rPr>
                <w:sz w:val="20"/>
                <w:szCs w:val="20"/>
                <w:color w:val="auto"/>
              </w:rPr>
            </w:pPr>
            <w:r>
              <w:rPr>
                <w:rFonts w:ascii="Arial" w:cs="Arial" w:eastAsia="Arial" w:hAnsi="Arial"/>
                <w:sz w:val="15"/>
                <w:szCs w:val="15"/>
                <w:b w:val="1"/>
                <w:bCs w:val="1"/>
                <w:color w:val="auto"/>
              </w:rPr>
              <w:t>Line of Busines</w:t>
            </w: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255"/>
              <w:spacing w:after="0"/>
              <w:rPr>
                <w:sz w:val="20"/>
                <w:szCs w:val="20"/>
                <w:color w:val="auto"/>
              </w:rPr>
            </w:pPr>
            <w:r>
              <w:rPr>
                <w:rFonts w:ascii="Arial" w:cs="Arial" w:eastAsia="Arial" w:hAnsi="Arial"/>
                <w:sz w:val="15"/>
                <w:szCs w:val="15"/>
                <w:b w:val="1"/>
                <w:bCs w:val="1"/>
                <w:color w:val="auto"/>
                <w:w w:val="86"/>
              </w:rPr>
              <w:t>June 30, 2019</w:t>
            </w:r>
          </w:p>
        </w:tc>
        <w:tc>
          <w:tcPr>
            <w:tcW w:w="160" w:type="dxa"/>
            <w:vAlign w:val="bottom"/>
          </w:tcPr>
          <w:p>
            <w:pPr>
              <w:spacing w:after="0"/>
              <w:rPr>
                <w:sz w:val="15"/>
                <w:szCs w:val="15"/>
                <w:color w:val="auto"/>
              </w:rPr>
            </w:pPr>
          </w:p>
        </w:tc>
        <w:tc>
          <w:tcPr>
            <w:tcW w:w="1220" w:type="dxa"/>
            <w:vAlign w:val="bottom"/>
          </w:tcPr>
          <w:p>
            <w:pPr>
              <w:jc w:val="center"/>
              <w:ind w:right="215"/>
              <w:spacing w:after="0"/>
              <w:rPr>
                <w:sz w:val="20"/>
                <w:szCs w:val="20"/>
                <w:color w:val="auto"/>
              </w:rPr>
            </w:pPr>
            <w:r>
              <w:rPr>
                <w:rFonts w:ascii="Arial" w:cs="Arial" w:eastAsia="Arial" w:hAnsi="Arial"/>
                <w:sz w:val="15"/>
                <w:szCs w:val="15"/>
                <w:b w:val="1"/>
                <w:bCs w:val="1"/>
                <w:color w:val="auto"/>
                <w:w w:val="86"/>
              </w:rPr>
              <w:t>June 30, 2018</w:t>
            </w:r>
          </w:p>
        </w:tc>
        <w:tc>
          <w:tcPr>
            <w:tcW w:w="1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June 30, 2017</w:t>
            </w:r>
          </w:p>
        </w:tc>
      </w:tr>
      <w:tr>
        <w:trPr>
          <w:trHeight w:val="238"/>
        </w:trPr>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9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5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0"/>
        </w:trPr>
        <w:tc>
          <w:tcPr>
            <w:tcW w:w="102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5660" w:type="dxa"/>
            <w:vAlign w:val="bottom"/>
            <w:gridSpan w:val="4"/>
          </w:tcPr>
          <w:p>
            <w:pPr>
              <w:spacing w:after="0"/>
              <w:rPr>
                <w:sz w:val="20"/>
                <w:szCs w:val="20"/>
                <w:color w:val="auto"/>
              </w:rPr>
            </w:pPr>
            <w:r>
              <w:rPr>
                <w:rFonts w:ascii="Arial" w:cs="Arial" w:eastAsia="Arial" w:hAnsi="Arial"/>
                <w:sz w:val="17"/>
                <w:szCs w:val="17"/>
                <w:color w:val="auto"/>
              </w:rPr>
              <w:t>Homeowners, dwelling fire and canine legal liability</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56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Quota share treaty:</w:t>
            </w:r>
          </w:p>
        </w:tc>
        <w:tc>
          <w:tcPr>
            <w:tcW w:w="1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5660" w:type="dxa"/>
            <w:vAlign w:val="bottom"/>
            <w:gridSpan w:val="4"/>
          </w:tcPr>
          <w:p>
            <w:pPr>
              <w:ind w:left="360"/>
              <w:spacing w:after="0"/>
              <w:rPr>
                <w:sz w:val="20"/>
                <w:szCs w:val="20"/>
                <w:color w:val="auto"/>
              </w:rPr>
            </w:pPr>
            <w:r>
              <w:rPr>
                <w:rFonts w:ascii="Arial" w:cs="Arial" w:eastAsia="Arial" w:hAnsi="Arial"/>
                <w:sz w:val="17"/>
                <w:szCs w:val="17"/>
                <w:color w:val="auto"/>
              </w:rPr>
              <w:t>Percent ceded</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8"/>
                <w:szCs w:val="18"/>
                <w:color w:val="auto"/>
              </w:rPr>
            </w:pPr>
          </w:p>
        </w:tc>
      </w:tr>
      <w:tr>
        <w:trPr>
          <w:trHeight w:val="212"/>
        </w:trPr>
        <w:tc>
          <w:tcPr>
            <w:tcW w:w="566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Risk retained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900,000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500,000</w:t>
            </w:r>
          </w:p>
        </w:tc>
        <w:tc>
          <w:tcPr>
            <w:tcW w:w="20" w:type="dxa"/>
            <w:vAlign w:val="bottom"/>
          </w:tcPr>
          <w:p>
            <w:pPr>
              <w:spacing w:after="0"/>
              <w:rPr>
                <w:sz w:val="18"/>
                <w:szCs w:val="18"/>
                <w:color w:val="auto"/>
              </w:rPr>
            </w:pPr>
          </w:p>
        </w:tc>
      </w:tr>
      <w:tr>
        <w:trPr>
          <w:trHeight w:val="212"/>
        </w:trPr>
        <w:tc>
          <w:tcPr>
            <w:tcW w:w="5660" w:type="dxa"/>
            <w:vAlign w:val="bottom"/>
            <w:gridSpan w:val="4"/>
          </w:tcPr>
          <w:p>
            <w:pPr>
              <w:ind w:left="36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0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833,333</w:t>
            </w:r>
          </w:p>
        </w:tc>
        <w:tc>
          <w:tcPr>
            <w:tcW w:w="20" w:type="dxa"/>
            <w:vAlign w:val="bottom"/>
          </w:tcPr>
          <w:p>
            <w:pPr>
              <w:spacing w:after="0"/>
              <w:rPr>
                <w:sz w:val="18"/>
                <w:szCs w:val="18"/>
                <w:color w:val="auto"/>
              </w:rPr>
            </w:pPr>
          </w:p>
        </w:tc>
      </w:tr>
      <w:tr>
        <w:trPr>
          <w:trHeight w:val="212"/>
        </w:trPr>
        <w:tc>
          <w:tcPr>
            <w:tcW w:w="56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w w:val="91"/>
              </w:rPr>
              <w:t>Excess of loss coverage and facultative facility above quota share coverage (1)</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9,000,000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9,000,000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3,666,667</w:t>
            </w:r>
          </w:p>
        </w:tc>
        <w:tc>
          <w:tcPr>
            <w:tcW w:w="20" w:type="dxa"/>
            <w:vAlign w:val="bottom"/>
          </w:tcPr>
          <w:p>
            <w:pPr>
              <w:spacing w:after="0"/>
              <w:rPr>
                <w:sz w:val="18"/>
                <w:szCs w:val="18"/>
                <w:color w:val="auto"/>
              </w:rPr>
            </w:pPr>
          </w:p>
        </w:tc>
      </w:tr>
      <w:tr>
        <w:trPr>
          <w:trHeight w:val="212"/>
        </w:trPr>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255"/>
              <w:spacing w:after="0"/>
              <w:rPr>
                <w:sz w:val="20"/>
                <w:szCs w:val="20"/>
                <w:color w:val="auto"/>
              </w:rPr>
            </w:pPr>
            <w:r>
              <w:rPr>
                <w:rFonts w:ascii="Arial" w:cs="Arial" w:eastAsia="Arial" w:hAnsi="Arial"/>
                <w:sz w:val="17"/>
                <w:szCs w:val="17"/>
                <w:color w:val="auto"/>
                <w:w w:val="95"/>
              </w:rPr>
              <w:t>in excess of</w:t>
            </w:r>
          </w:p>
        </w:tc>
        <w:tc>
          <w:tcPr>
            <w:tcW w:w="1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Arial" w:cs="Arial" w:eastAsia="Arial" w:hAnsi="Arial"/>
                <w:sz w:val="17"/>
                <w:szCs w:val="17"/>
                <w:color w:val="auto"/>
              </w:rPr>
              <w:t>in excess of</w:t>
            </w:r>
          </w:p>
        </w:tc>
        <w:tc>
          <w:tcPr>
            <w:tcW w:w="180" w:type="dxa"/>
            <w:vAlign w:val="bottom"/>
          </w:tcPr>
          <w:p>
            <w:pPr>
              <w:spacing w:after="0"/>
              <w:rPr>
                <w:sz w:val="18"/>
                <w:szCs w:val="18"/>
                <w:color w:val="auto"/>
              </w:rPr>
            </w:pPr>
          </w:p>
        </w:tc>
        <w:tc>
          <w:tcPr>
            <w:tcW w:w="1120" w:type="dxa"/>
            <w:vAlign w:val="bottom"/>
          </w:tcPr>
          <w:p>
            <w:pPr>
              <w:jc w:val="right"/>
              <w:ind w:right="175"/>
              <w:spacing w:after="0"/>
              <w:rPr>
                <w:sz w:val="20"/>
                <w:szCs w:val="20"/>
                <w:color w:val="auto"/>
              </w:rPr>
            </w:pPr>
            <w:r>
              <w:rPr>
                <w:rFonts w:ascii="Arial" w:cs="Arial" w:eastAsia="Arial" w:hAnsi="Arial"/>
                <w:sz w:val="17"/>
                <w:szCs w:val="17"/>
                <w:color w:val="auto"/>
                <w:w w:val="93"/>
              </w:rPr>
              <w:t>in excess of</w:t>
            </w:r>
          </w:p>
        </w:tc>
        <w:tc>
          <w:tcPr>
            <w:tcW w:w="20" w:type="dxa"/>
            <w:vAlign w:val="bottom"/>
          </w:tcPr>
          <w:p>
            <w:pPr>
              <w:spacing w:after="0"/>
              <w:rPr>
                <w:sz w:val="18"/>
                <w:szCs w:val="18"/>
                <w:color w:val="auto"/>
              </w:rPr>
            </w:pPr>
          </w:p>
        </w:tc>
      </w:tr>
      <w:tr>
        <w:trPr>
          <w:trHeight w:val="212"/>
        </w:trPr>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833,333</w:t>
            </w:r>
          </w:p>
        </w:tc>
        <w:tc>
          <w:tcPr>
            <w:tcW w:w="20" w:type="dxa"/>
            <w:vAlign w:val="bottom"/>
          </w:tcPr>
          <w:p>
            <w:pPr>
              <w:spacing w:after="0"/>
              <w:rPr>
                <w:sz w:val="18"/>
                <w:szCs w:val="18"/>
                <w:color w:val="auto"/>
              </w:rPr>
            </w:pPr>
          </w:p>
        </w:tc>
      </w:tr>
      <w:tr>
        <w:trPr>
          <w:trHeight w:val="212"/>
        </w:trPr>
        <w:tc>
          <w:tcPr>
            <w:tcW w:w="5660" w:type="dxa"/>
            <w:vAlign w:val="bottom"/>
            <w:gridSpan w:val="4"/>
          </w:tcPr>
          <w:p>
            <w:pPr>
              <w:ind w:left="200"/>
              <w:spacing w:after="0"/>
              <w:rPr>
                <w:sz w:val="20"/>
                <w:szCs w:val="20"/>
                <w:color w:val="auto"/>
              </w:rPr>
            </w:pPr>
            <w:r>
              <w:rPr>
                <w:rFonts w:ascii="Arial" w:cs="Arial" w:eastAsia="Arial" w:hAnsi="Arial"/>
                <w:sz w:val="17"/>
                <w:szCs w:val="17"/>
                <w:color w:val="auto"/>
              </w:rPr>
              <w:t>Total reinsurance coverage per occurrence</w:t>
            </w:r>
          </w:p>
        </w:tc>
        <w:tc>
          <w:tcPr>
            <w:tcW w:w="20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9,100,000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9,200,000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4,000,000</w:t>
            </w:r>
          </w:p>
        </w:tc>
        <w:tc>
          <w:tcPr>
            <w:tcW w:w="20" w:type="dxa"/>
            <w:vAlign w:val="bottom"/>
          </w:tcPr>
          <w:p>
            <w:pPr>
              <w:spacing w:after="0"/>
              <w:rPr>
                <w:sz w:val="18"/>
                <w:szCs w:val="18"/>
                <w:color w:val="auto"/>
              </w:rPr>
            </w:pPr>
          </w:p>
        </w:tc>
      </w:tr>
      <w:tr>
        <w:trPr>
          <w:trHeight w:val="212"/>
        </w:trPr>
        <w:tc>
          <w:tcPr>
            <w:tcW w:w="56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Losses per occurrence subject to reinsurance coverage</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4,500,000</w:t>
            </w:r>
          </w:p>
        </w:tc>
        <w:tc>
          <w:tcPr>
            <w:tcW w:w="20" w:type="dxa"/>
            <w:vAlign w:val="bottom"/>
          </w:tcPr>
          <w:p>
            <w:pPr>
              <w:spacing w:after="0"/>
              <w:rPr>
                <w:sz w:val="18"/>
                <w:szCs w:val="18"/>
                <w:color w:val="auto"/>
              </w:rPr>
            </w:pPr>
          </w:p>
        </w:tc>
      </w:tr>
      <w:tr>
        <w:trPr>
          <w:trHeight w:val="237"/>
        </w:trPr>
        <w:tc>
          <w:tcPr>
            <w:tcW w:w="5660" w:type="dxa"/>
            <w:vAlign w:val="bottom"/>
            <w:gridSpan w:val="4"/>
          </w:tcPr>
          <w:p>
            <w:pPr>
              <w:ind w:left="200"/>
              <w:spacing w:after="0"/>
              <w:rPr>
                <w:sz w:val="20"/>
                <w:szCs w:val="20"/>
                <w:color w:val="auto"/>
              </w:rPr>
            </w:pPr>
            <w:r>
              <w:rPr>
                <w:rFonts w:ascii="Arial" w:cs="Arial" w:eastAsia="Arial" w:hAnsi="Arial"/>
                <w:sz w:val="17"/>
                <w:szCs w:val="17"/>
                <w:color w:val="auto"/>
              </w:rPr>
              <w:t>Expiration date</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June 30, 2019</w:t>
            </w:r>
          </w:p>
        </w:tc>
        <w:tc>
          <w:tcPr>
            <w:tcW w:w="160" w:type="dxa"/>
            <w:vAlign w:val="bottom"/>
          </w:tcPr>
          <w:p>
            <w:pPr>
              <w:spacing w:after="0"/>
              <w:rPr>
                <w:sz w:val="20"/>
                <w:szCs w:val="20"/>
                <w:color w:val="auto"/>
              </w:rPr>
            </w:pPr>
          </w:p>
        </w:tc>
        <w:tc>
          <w:tcPr>
            <w:tcW w:w="1220" w:type="dxa"/>
            <w:vAlign w:val="bottom"/>
          </w:tcPr>
          <w:p>
            <w:pPr>
              <w:ind w:left="40"/>
              <w:spacing w:after="0"/>
              <w:rPr>
                <w:sz w:val="20"/>
                <w:szCs w:val="20"/>
                <w:color w:val="auto"/>
              </w:rPr>
            </w:pPr>
            <w:r>
              <w:rPr>
                <w:rFonts w:ascii="Arial" w:cs="Arial" w:eastAsia="Arial" w:hAnsi="Arial"/>
                <w:sz w:val="17"/>
                <w:szCs w:val="17"/>
                <w:color w:val="auto"/>
              </w:rPr>
              <w:t>June 30, 2019</w:t>
            </w:r>
          </w:p>
        </w:tc>
        <w:tc>
          <w:tcPr>
            <w:tcW w:w="18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7"/>
                <w:szCs w:val="17"/>
                <w:color w:val="auto"/>
              </w:rPr>
              <w:t>June 30, 2017</w:t>
            </w:r>
          </w:p>
        </w:tc>
      </w:tr>
      <w:tr>
        <w:trPr>
          <w:trHeight w:val="213"/>
        </w:trPr>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5660" w:type="dxa"/>
            <w:vAlign w:val="bottom"/>
            <w:gridSpan w:val="4"/>
          </w:tcPr>
          <w:p>
            <w:pPr>
              <w:ind w:left="40"/>
              <w:spacing w:after="0"/>
              <w:rPr>
                <w:sz w:val="20"/>
                <w:szCs w:val="20"/>
                <w:color w:val="auto"/>
              </w:rPr>
            </w:pPr>
            <w:r>
              <w:rPr>
                <w:rFonts w:ascii="Arial" w:cs="Arial" w:eastAsia="Arial" w:hAnsi="Arial"/>
                <w:sz w:val="17"/>
                <w:szCs w:val="17"/>
                <w:color w:val="auto"/>
              </w:rPr>
              <w:t>Personal Umbrella</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56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Quota share treaty:</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5660" w:type="dxa"/>
            <w:vAlign w:val="bottom"/>
            <w:gridSpan w:val="4"/>
          </w:tcPr>
          <w:p>
            <w:pPr>
              <w:ind w:left="360"/>
              <w:spacing w:after="0"/>
              <w:rPr>
                <w:sz w:val="20"/>
                <w:szCs w:val="20"/>
                <w:color w:val="auto"/>
              </w:rPr>
            </w:pPr>
            <w:r>
              <w:rPr>
                <w:rFonts w:ascii="Arial" w:cs="Arial" w:eastAsia="Arial" w:hAnsi="Arial"/>
                <w:sz w:val="17"/>
                <w:szCs w:val="17"/>
                <w:color w:val="auto"/>
              </w:rPr>
              <w:t>Percent ceded - first $1,000,000 of coverage</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r>
      <w:tr>
        <w:trPr>
          <w:trHeight w:val="212"/>
        </w:trPr>
        <w:tc>
          <w:tcPr>
            <w:tcW w:w="566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Percent ceded - excess of $1,000,000 dollars of coverage</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r>
      <w:tr>
        <w:trPr>
          <w:trHeight w:val="212"/>
        </w:trPr>
        <w:tc>
          <w:tcPr>
            <w:tcW w:w="5660" w:type="dxa"/>
            <w:vAlign w:val="bottom"/>
            <w:gridSpan w:val="4"/>
          </w:tcPr>
          <w:p>
            <w:pPr>
              <w:ind w:left="360"/>
              <w:spacing w:after="0"/>
              <w:rPr>
                <w:sz w:val="20"/>
                <w:szCs w:val="20"/>
                <w:color w:val="auto"/>
              </w:rPr>
            </w:pPr>
            <w:r>
              <w:rPr>
                <w:rFonts w:ascii="Arial" w:cs="Arial" w:eastAsia="Arial" w:hAnsi="Arial"/>
                <w:sz w:val="17"/>
                <w:szCs w:val="17"/>
                <w:color w:val="auto"/>
              </w:rPr>
              <w:t>Risk retained</w:t>
            </w:r>
          </w:p>
        </w:tc>
        <w:tc>
          <w:tcPr>
            <w:tcW w:w="20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100,000</w:t>
            </w:r>
          </w:p>
        </w:tc>
        <w:tc>
          <w:tcPr>
            <w:tcW w:w="20" w:type="dxa"/>
            <w:vAlign w:val="bottom"/>
          </w:tcPr>
          <w:p>
            <w:pPr>
              <w:spacing w:after="0"/>
              <w:rPr>
                <w:sz w:val="18"/>
                <w:szCs w:val="18"/>
                <w:color w:val="auto"/>
              </w:rPr>
            </w:pPr>
          </w:p>
        </w:tc>
      </w:tr>
      <w:tr>
        <w:trPr>
          <w:trHeight w:val="212"/>
        </w:trPr>
        <w:tc>
          <w:tcPr>
            <w:tcW w:w="566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Total reinsurance coverage per occurrence</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4,900,000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4,900,000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4,900,000</w:t>
            </w:r>
          </w:p>
        </w:tc>
        <w:tc>
          <w:tcPr>
            <w:tcW w:w="20" w:type="dxa"/>
            <w:vAlign w:val="bottom"/>
          </w:tcPr>
          <w:p>
            <w:pPr>
              <w:spacing w:after="0"/>
              <w:rPr>
                <w:sz w:val="18"/>
                <w:szCs w:val="18"/>
                <w:color w:val="auto"/>
              </w:rPr>
            </w:pPr>
          </w:p>
        </w:tc>
      </w:tr>
      <w:tr>
        <w:trPr>
          <w:trHeight w:val="212"/>
        </w:trPr>
        <w:tc>
          <w:tcPr>
            <w:tcW w:w="5660" w:type="dxa"/>
            <w:vAlign w:val="bottom"/>
            <w:gridSpan w:val="4"/>
          </w:tcPr>
          <w:p>
            <w:pPr>
              <w:ind w:left="36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0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5,000,000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5,000,000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5,000,000</w:t>
            </w:r>
          </w:p>
        </w:tc>
        <w:tc>
          <w:tcPr>
            <w:tcW w:w="20" w:type="dxa"/>
            <w:vAlign w:val="bottom"/>
          </w:tcPr>
          <w:p>
            <w:pPr>
              <w:spacing w:after="0"/>
              <w:rPr>
                <w:sz w:val="18"/>
                <w:szCs w:val="18"/>
                <w:color w:val="auto"/>
              </w:rPr>
            </w:pPr>
          </w:p>
        </w:tc>
      </w:tr>
      <w:tr>
        <w:trPr>
          <w:trHeight w:val="238"/>
        </w:trPr>
        <w:tc>
          <w:tcPr>
            <w:tcW w:w="56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Expiration date</w:t>
            </w:r>
          </w:p>
        </w:tc>
        <w:tc>
          <w:tcPr>
            <w:tcW w:w="1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8"/>
              </w:rPr>
              <w:t>June 30, 2019</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June 30, 2018</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30, 2017</w:t>
            </w:r>
          </w:p>
        </w:tc>
        <w:tc>
          <w:tcPr>
            <w:tcW w:w="20" w:type="dxa"/>
            <w:vAlign w:val="bottom"/>
          </w:tcPr>
          <w:p>
            <w:pPr>
              <w:spacing w:after="0"/>
              <w:rPr>
                <w:sz w:val="20"/>
                <w:szCs w:val="20"/>
                <w:color w:val="auto"/>
              </w:rPr>
            </w:pPr>
          </w:p>
        </w:tc>
      </w:tr>
      <w:tr>
        <w:trPr>
          <w:trHeight w:val="212"/>
        </w:trPr>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2"/>
        </w:trPr>
        <w:tc>
          <w:tcPr>
            <w:tcW w:w="5660" w:type="dxa"/>
            <w:vAlign w:val="bottom"/>
            <w:gridSpan w:val="4"/>
            <w:shd w:val="clear" w:color="auto" w:fill="CCEEFF"/>
          </w:tcPr>
          <w:p>
            <w:pPr>
              <w:spacing w:after="0" w:line="172" w:lineRule="exact"/>
              <w:rPr>
                <w:sz w:val="20"/>
                <w:szCs w:val="20"/>
                <w:color w:val="auto"/>
              </w:rPr>
            </w:pPr>
            <w:r>
              <w:rPr>
                <w:rFonts w:ascii="Arial" w:cs="Arial" w:eastAsia="Arial" w:hAnsi="Arial"/>
                <w:sz w:val="17"/>
                <w:szCs w:val="17"/>
                <w:color w:val="auto"/>
              </w:rPr>
              <w:t>Commercial Lines:</w:t>
            </w:r>
          </w:p>
        </w:tc>
        <w:tc>
          <w:tcPr>
            <w:tcW w:w="1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40"/>
        </w:trPr>
        <w:tc>
          <w:tcPr>
            <w:tcW w:w="102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5660" w:type="dxa"/>
            <w:vAlign w:val="bottom"/>
            <w:gridSpan w:val="4"/>
          </w:tcPr>
          <w:p>
            <w:pPr>
              <w:ind w:left="40"/>
              <w:spacing w:after="0"/>
              <w:rPr>
                <w:sz w:val="20"/>
                <w:szCs w:val="20"/>
                <w:color w:val="auto"/>
              </w:rPr>
            </w:pPr>
            <w:r>
              <w:rPr>
                <w:rFonts w:ascii="Arial" w:cs="Arial" w:eastAsia="Arial" w:hAnsi="Arial"/>
                <w:sz w:val="17"/>
                <w:szCs w:val="17"/>
                <w:color w:val="auto"/>
              </w:rPr>
              <w:t>General liability commercial policies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56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Quota share treaty</w:t>
            </w:r>
          </w:p>
        </w:tc>
        <w:tc>
          <w:tcPr>
            <w:tcW w:w="1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right="255"/>
              <w:spacing w:after="0"/>
              <w:rPr>
                <w:sz w:val="20"/>
                <w:szCs w:val="20"/>
                <w:color w:val="auto"/>
              </w:rPr>
            </w:pPr>
            <w:r>
              <w:rPr>
                <w:rFonts w:ascii="Arial" w:cs="Arial" w:eastAsia="Arial" w:hAnsi="Arial"/>
                <w:sz w:val="17"/>
                <w:szCs w:val="17"/>
                <w:color w:val="auto"/>
                <w:w w:val="88"/>
              </w:rPr>
              <w:t>None</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right="235"/>
              <w:spacing w:after="0"/>
              <w:rPr>
                <w:sz w:val="20"/>
                <w:szCs w:val="20"/>
                <w:color w:val="auto"/>
              </w:rPr>
            </w:pPr>
            <w:r>
              <w:rPr>
                <w:rFonts w:ascii="Arial" w:cs="Arial" w:eastAsia="Arial" w:hAnsi="Arial"/>
                <w:sz w:val="17"/>
                <w:szCs w:val="17"/>
                <w:color w:val="auto"/>
                <w:w w:val="93"/>
              </w:rPr>
              <w:t>None</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w w:val="88"/>
              </w:rPr>
              <w:t>None</w:t>
            </w:r>
          </w:p>
        </w:tc>
        <w:tc>
          <w:tcPr>
            <w:tcW w:w="20" w:type="dxa"/>
            <w:vAlign w:val="bottom"/>
          </w:tcPr>
          <w:p>
            <w:pPr>
              <w:spacing w:after="0"/>
              <w:rPr>
                <w:sz w:val="20"/>
                <w:szCs w:val="20"/>
                <w:color w:val="auto"/>
              </w:rPr>
            </w:pPr>
          </w:p>
        </w:tc>
      </w:tr>
      <w:tr>
        <w:trPr>
          <w:trHeight w:val="212"/>
        </w:trPr>
        <w:tc>
          <w:tcPr>
            <w:tcW w:w="5660" w:type="dxa"/>
            <w:vAlign w:val="bottom"/>
            <w:gridSpan w:val="4"/>
          </w:tcPr>
          <w:p>
            <w:pPr>
              <w:ind w:left="200"/>
              <w:spacing w:after="0"/>
              <w:rPr>
                <w:sz w:val="20"/>
                <w:szCs w:val="20"/>
                <w:color w:val="auto"/>
              </w:rPr>
            </w:pPr>
            <w:r>
              <w:rPr>
                <w:rFonts w:ascii="Arial" w:cs="Arial" w:eastAsia="Arial" w:hAnsi="Arial"/>
                <w:sz w:val="17"/>
                <w:szCs w:val="17"/>
                <w:color w:val="auto"/>
              </w:rPr>
              <w:t>Risk retained</w:t>
            </w:r>
          </w:p>
        </w:tc>
        <w:tc>
          <w:tcPr>
            <w:tcW w:w="20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750,000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750,000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500,000</w:t>
            </w:r>
          </w:p>
        </w:tc>
        <w:tc>
          <w:tcPr>
            <w:tcW w:w="20" w:type="dxa"/>
            <w:vAlign w:val="bottom"/>
          </w:tcPr>
          <w:p>
            <w:pPr>
              <w:spacing w:after="0"/>
              <w:rPr>
                <w:sz w:val="18"/>
                <w:szCs w:val="18"/>
                <w:color w:val="auto"/>
              </w:rPr>
            </w:pPr>
          </w:p>
        </w:tc>
      </w:tr>
      <w:tr>
        <w:trPr>
          <w:trHeight w:val="212"/>
        </w:trPr>
        <w:tc>
          <w:tcPr>
            <w:tcW w:w="56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Excess of loss coverage above risk retained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3,750,000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3,750,000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4,000,000</w:t>
            </w:r>
          </w:p>
        </w:tc>
        <w:tc>
          <w:tcPr>
            <w:tcW w:w="20" w:type="dxa"/>
            <w:vAlign w:val="bottom"/>
          </w:tcPr>
          <w:p>
            <w:pPr>
              <w:spacing w:after="0"/>
              <w:rPr>
                <w:sz w:val="18"/>
                <w:szCs w:val="18"/>
                <w:color w:val="auto"/>
              </w:rPr>
            </w:pPr>
          </w:p>
        </w:tc>
      </w:tr>
      <w:tr>
        <w:trPr>
          <w:trHeight w:val="212"/>
        </w:trPr>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255"/>
              <w:spacing w:after="0"/>
              <w:rPr>
                <w:sz w:val="20"/>
                <w:szCs w:val="20"/>
                <w:color w:val="auto"/>
              </w:rPr>
            </w:pPr>
            <w:r>
              <w:rPr>
                <w:rFonts w:ascii="Arial" w:cs="Arial" w:eastAsia="Arial" w:hAnsi="Arial"/>
                <w:sz w:val="17"/>
                <w:szCs w:val="17"/>
                <w:color w:val="auto"/>
                <w:w w:val="95"/>
              </w:rPr>
              <w:t>in excess of</w:t>
            </w:r>
          </w:p>
        </w:tc>
        <w:tc>
          <w:tcPr>
            <w:tcW w:w="1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Arial" w:cs="Arial" w:eastAsia="Arial" w:hAnsi="Arial"/>
                <w:sz w:val="17"/>
                <w:szCs w:val="17"/>
                <w:color w:val="auto"/>
              </w:rPr>
              <w:t>in excess of</w:t>
            </w:r>
          </w:p>
        </w:tc>
        <w:tc>
          <w:tcPr>
            <w:tcW w:w="180" w:type="dxa"/>
            <w:vAlign w:val="bottom"/>
          </w:tcPr>
          <w:p>
            <w:pPr>
              <w:spacing w:after="0"/>
              <w:rPr>
                <w:sz w:val="18"/>
                <w:szCs w:val="18"/>
                <w:color w:val="auto"/>
              </w:rPr>
            </w:pPr>
          </w:p>
        </w:tc>
        <w:tc>
          <w:tcPr>
            <w:tcW w:w="1120" w:type="dxa"/>
            <w:vAlign w:val="bottom"/>
          </w:tcPr>
          <w:p>
            <w:pPr>
              <w:jc w:val="right"/>
              <w:ind w:right="175"/>
              <w:spacing w:after="0"/>
              <w:rPr>
                <w:sz w:val="20"/>
                <w:szCs w:val="20"/>
                <w:color w:val="auto"/>
              </w:rPr>
            </w:pPr>
            <w:r>
              <w:rPr>
                <w:rFonts w:ascii="Arial" w:cs="Arial" w:eastAsia="Arial" w:hAnsi="Arial"/>
                <w:sz w:val="17"/>
                <w:szCs w:val="17"/>
                <w:color w:val="auto"/>
                <w:w w:val="93"/>
              </w:rPr>
              <w:t>in excess of</w:t>
            </w:r>
          </w:p>
        </w:tc>
        <w:tc>
          <w:tcPr>
            <w:tcW w:w="20" w:type="dxa"/>
            <w:vAlign w:val="bottom"/>
          </w:tcPr>
          <w:p>
            <w:pPr>
              <w:spacing w:after="0"/>
              <w:rPr>
                <w:sz w:val="18"/>
                <w:szCs w:val="18"/>
                <w:color w:val="auto"/>
              </w:rPr>
            </w:pPr>
          </w:p>
        </w:tc>
      </w:tr>
      <w:tr>
        <w:trPr>
          <w:trHeight w:val="212"/>
        </w:trPr>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750,000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750,000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500,000</w:t>
            </w:r>
          </w:p>
        </w:tc>
        <w:tc>
          <w:tcPr>
            <w:tcW w:w="20" w:type="dxa"/>
            <w:vAlign w:val="bottom"/>
          </w:tcPr>
          <w:p>
            <w:pPr>
              <w:spacing w:after="0"/>
              <w:rPr>
                <w:sz w:val="18"/>
                <w:szCs w:val="18"/>
                <w:color w:val="auto"/>
              </w:rPr>
            </w:pPr>
          </w:p>
        </w:tc>
      </w:tr>
      <w:tr>
        <w:trPr>
          <w:trHeight w:val="212"/>
        </w:trPr>
        <w:tc>
          <w:tcPr>
            <w:tcW w:w="5660" w:type="dxa"/>
            <w:vAlign w:val="bottom"/>
            <w:gridSpan w:val="4"/>
          </w:tcPr>
          <w:p>
            <w:pPr>
              <w:ind w:left="200"/>
              <w:spacing w:after="0"/>
              <w:rPr>
                <w:sz w:val="20"/>
                <w:szCs w:val="20"/>
                <w:color w:val="auto"/>
              </w:rPr>
            </w:pPr>
            <w:r>
              <w:rPr>
                <w:rFonts w:ascii="Arial" w:cs="Arial" w:eastAsia="Arial" w:hAnsi="Arial"/>
                <w:sz w:val="17"/>
                <w:szCs w:val="17"/>
                <w:color w:val="auto"/>
              </w:rPr>
              <w:t>Total reinsurance coverage per occurrence</w:t>
            </w:r>
          </w:p>
        </w:tc>
        <w:tc>
          <w:tcPr>
            <w:tcW w:w="20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3,750,000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3,750,000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4,000,000</w:t>
            </w:r>
          </w:p>
        </w:tc>
        <w:tc>
          <w:tcPr>
            <w:tcW w:w="20" w:type="dxa"/>
            <w:vAlign w:val="bottom"/>
          </w:tcPr>
          <w:p>
            <w:pPr>
              <w:spacing w:after="0"/>
              <w:rPr>
                <w:sz w:val="18"/>
                <w:szCs w:val="18"/>
                <w:color w:val="auto"/>
              </w:rPr>
            </w:pPr>
          </w:p>
        </w:tc>
      </w:tr>
      <w:tr>
        <w:trPr>
          <w:trHeight w:val="212"/>
        </w:trPr>
        <w:tc>
          <w:tcPr>
            <w:tcW w:w="56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Losses per occurrence subject to reinsurance coverage</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4,500,000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4,500,000</w:t>
            </w:r>
          </w:p>
        </w:tc>
        <w:tc>
          <w:tcPr>
            <w:tcW w:w="20" w:type="dxa"/>
            <w:vAlign w:val="bottom"/>
          </w:tcPr>
          <w:p>
            <w:pPr>
              <w:spacing w:after="0"/>
              <w:rPr>
                <w:sz w:val="18"/>
                <w:szCs w:val="18"/>
                <w:color w:val="auto"/>
              </w:rPr>
            </w:pPr>
          </w:p>
        </w:tc>
      </w:tr>
      <w:tr>
        <w:trPr>
          <w:trHeight w:val="212"/>
        </w:trPr>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566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Commercial Umbrella</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5660" w:type="dxa"/>
            <w:vAlign w:val="bottom"/>
            <w:gridSpan w:val="4"/>
          </w:tcPr>
          <w:p>
            <w:pPr>
              <w:ind w:left="200"/>
              <w:spacing w:after="0"/>
              <w:rPr>
                <w:sz w:val="20"/>
                <w:szCs w:val="20"/>
                <w:color w:val="auto"/>
              </w:rPr>
            </w:pPr>
            <w:r>
              <w:rPr>
                <w:rFonts w:ascii="Arial" w:cs="Arial" w:eastAsia="Arial" w:hAnsi="Arial"/>
                <w:sz w:val="17"/>
                <w:szCs w:val="17"/>
                <w:color w:val="auto"/>
              </w:rPr>
              <w:t>Quota share treaty:</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566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Percent ceded - first $1,000,000 of coverage</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r>
      <w:tr>
        <w:trPr>
          <w:trHeight w:val="212"/>
        </w:trPr>
        <w:tc>
          <w:tcPr>
            <w:tcW w:w="5660" w:type="dxa"/>
            <w:vAlign w:val="bottom"/>
            <w:gridSpan w:val="4"/>
          </w:tcPr>
          <w:p>
            <w:pPr>
              <w:ind w:left="360"/>
              <w:spacing w:after="0"/>
              <w:rPr>
                <w:sz w:val="20"/>
                <w:szCs w:val="20"/>
                <w:color w:val="auto"/>
              </w:rPr>
            </w:pPr>
            <w:r>
              <w:rPr>
                <w:rFonts w:ascii="Arial" w:cs="Arial" w:eastAsia="Arial" w:hAnsi="Arial"/>
                <w:sz w:val="17"/>
                <w:szCs w:val="17"/>
                <w:color w:val="auto"/>
              </w:rPr>
              <w:t>Percent ceded - excess of $1,000,000 of coverage</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r>
      <w:tr>
        <w:trPr>
          <w:trHeight w:val="212"/>
        </w:trPr>
        <w:tc>
          <w:tcPr>
            <w:tcW w:w="566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Risk retained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100,000</w:t>
            </w:r>
          </w:p>
        </w:tc>
        <w:tc>
          <w:tcPr>
            <w:tcW w:w="20" w:type="dxa"/>
            <w:vAlign w:val="bottom"/>
          </w:tcPr>
          <w:p>
            <w:pPr>
              <w:spacing w:after="0"/>
              <w:rPr>
                <w:sz w:val="18"/>
                <w:szCs w:val="18"/>
                <w:color w:val="auto"/>
              </w:rPr>
            </w:pPr>
          </w:p>
        </w:tc>
      </w:tr>
      <w:tr>
        <w:trPr>
          <w:trHeight w:val="212"/>
        </w:trPr>
        <w:tc>
          <w:tcPr>
            <w:tcW w:w="5660" w:type="dxa"/>
            <w:vAlign w:val="bottom"/>
            <w:gridSpan w:val="4"/>
          </w:tcPr>
          <w:p>
            <w:pPr>
              <w:ind w:left="360"/>
              <w:spacing w:after="0"/>
              <w:rPr>
                <w:sz w:val="20"/>
                <w:szCs w:val="20"/>
                <w:color w:val="auto"/>
              </w:rPr>
            </w:pPr>
            <w:r>
              <w:rPr>
                <w:rFonts w:ascii="Arial" w:cs="Arial" w:eastAsia="Arial" w:hAnsi="Arial"/>
                <w:sz w:val="17"/>
                <w:szCs w:val="17"/>
                <w:color w:val="auto"/>
              </w:rPr>
              <w:t>Total reinsurance coverage per occurrence</w:t>
            </w:r>
          </w:p>
        </w:tc>
        <w:tc>
          <w:tcPr>
            <w:tcW w:w="20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4,900,000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4,900,000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4,900,000</w:t>
            </w:r>
          </w:p>
        </w:tc>
        <w:tc>
          <w:tcPr>
            <w:tcW w:w="20" w:type="dxa"/>
            <w:vAlign w:val="bottom"/>
          </w:tcPr>
          <w:p>
            <w:pPr>
              <w:spacing w:after="0"/>
              <w:rPr>
                <w:sz w:val="18"/>
                <w:szCs w:val="18"/>
                <w:color w:val="auto"/>
              </w:rPr>
            </w:pPr>
          </w:p>
        </w:tc>
      </w:tr>
      <w:tr>
        <w:trPr>
          <w:trHeight w:val="212"/>
        </w:trPr>
        <w:tc>
          <w:tcPr>
            <w:tcW w:w="566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5,000,000</w:t>
            </w:r>
          </w:p>
        </w:tc>
        <w:tc>
          <w:tcPr>
            <w:tcW w:w="20" w:type="dxa"/>
            <w:vAlign w:val="bottom"/>
          </w:tcPr>
          <w:p>
            <w:pPr>
              <w:spacing w:after="0"/>
              <w:rPr>
                <w:sz w:val="18"/>
                <w:szCs w:val="18"/>
                <w:color w:val="auto"/>
              </w:rPr>
            </w:pPr>
          </w:p>
        </w:tc>
      </w:tr>
      <w:tr>
        <w:trPr>
          <w:trHeight w:val="237"/>
        </w:trPr>
        <w:tc>
          <w:tcPr>
            <w:tcW w:w="5660" w:type="dxa"/>
            <w:vAlign w:val="bottom"/>
            <w:gridSpan w:val="4"/>
          </w:tcPr>
          <w:p>
            <w:pPr>
              <w:ind w:left="200"/>
              <w:spacing w:after="0"/>
              <w:rPr>
                <w:sz w:val="20"/>
                <w:szCs w:val="20"/>
                <w:color w:val="auto"/>
              </w:rPr>
            </w:pPr>
            <w:r>
              <w:rPr>
                <w:rFonts w:ascii="Arial" w:cs="Arial" w:eastAsia="Arial" w:hAnsi="Arial"/>
                <w:sz w:val="17"/>
                <w:szCs w:val="17"/>
                <w:color w:val="auto"/>
              </w:rPr>
              <w:t>Expiration date</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June 30, 2019</w:t>
            </w:r>
          </w:p>
        </w:tc>
        <w:tc>
          <w:tcPr>
            <w:tcW w:w="160" w:type="dxa"/>
            <w:vAlign w:val="bottom"/>
          </w:tcPr>
          <w:p>
            <w:pPr>
              <w:spacing w:after="0"/>
              <w:rPr>
                <w:sz w:val="20"/>
                <w:szCs w:val="20"/>
                <w:color w:val="auto"/>
              </w:rPr>
            </w:pPr>
          </w:p>
        </w:tc>
        <w:tc>
          <w:tcPr>
            <w:tcW w:w="1220" w:type="dxa"/>
            <w:vAlign w:val="bottom"/>
          </w:tcPr>
          <w:p>
            <w:pPr>
              <w:ind w:left="40"/>
              <w:spacing w:after="0"/>
              <w:rPr>
                <w:sz w:val="20"/>
                <w:szCs w:val="20"/>
                <w:color w:val="auto"/>
              </w:rPr>
            </w:pPr>
            <w:r>
              <w:rPr>
                <w:rFonts w:ascii="Arial" w:cs="Arial" w:eastAsia="Arial" w:hAnsi="Arial"/>
                <w:sz w:val="17"/>
                <w:szCs w:val="17"/>
                <w:color w:val="auto"/>
              </w:rPr>
              <w:t>June 30, 2018</w:t>
            </w:r>
          </w:p>
        </w:tc>
        <w:tc>
          <w:tcPr>
            <w:tcW w:w="18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7"/>
                <w:szCs w:val="17"/>
                <w:color w:val="auto"/>
              </w:rPr>
              <w:t>June 30, 2017</w:t>
            </w:r>
          </w:p>
        </w:tc>
      </w:tr>
      <w:tr>
        <w:trPr>
          <w:trHeight w:val="213"/>
        </w:trPr>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2"/>
        </w:trPr>
        <w:tc>
          <w:tcPr>
            <w:tcW w:w="5660" w:type="dxa"/>
            <w:vAlign w:val="bottom"/>
            <w:gridSpan w:val="4"/>
          </w:tcPr>
          <w:p>
            <w:pPr>
              <w:spacing w:after="0" w:line="172" w:lineRule="exact"/>
              <w:rPr>
                <w:sz w:val="20"/>
                <w:szCs w:val="20"/>
                <w:color w:val="auto"/>
              </w:rPr>
            </w:pPr>
            <w:r>
              <w:rPr>
                <w:rFonts w:ascii="Arial" w:cs="Arial" w:eastAsia="Arial" w:hAnsi="Arial"/>
                <w:sz w:val="17"/>
                <w:szCs w:val="17"/>
                <w:color w:val="auto"/>
              </w:rPr>
              <w:t>Catastrophe Reinsurance:</w:t>
            </w: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
        </w:trPr>
        <w:tc>
          <w:tcPr>
            <w:tcW w:w="1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566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Initial loss subject to personal lines quota share treaty</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5,000,000</w:t>
            </w:r>
          </w:p>
        </w:tc>
        <w:tc>
          <w:tcPr>
            <w:tcW w:w="20" w:type="dxa"/>
            <w:vAlign w:val="bottom"/>
          </w:tcPr>
          <w:p>
            <w:pPr>
              <w:spacing w:after="0"/>
              <w:rPr>
                <w:sz w:val="19"/>
                <w:szCs w:val="19"/>
                <w:color w:val="auto"/>
              </w:rPr>
            </w:pPr>
          </w:p>
        </w:tc>
      </w:tr>
      <w:tr>
        <w:trPr>
          <w:trHeight w:val="212"/>
        </w:trPr>
        <w:tc>
          <w:tcPr>
            <w:tcW w:w="5660" w:type="dxa"/>
            <w:vAlign w:val="bottom"/>
            <w:gridSpan w:val="4"/>
          </w:tcPr>
          <w:p>
            <w:pPr>
              <w:ind w:left="200"/>
              <w:spacing w:after="0"/>
              <w:rPr>
                <w:sz w:val="20"/>
                <w:szCs w:val="20"/>
                <w:color w:val="auto"/>
              </w:rPr>
            </w:pPr>
            <w:r>
              <w:rPr>
                <w:rFonts w:ascii="Arial" w:cs="Arial" w:eastAsia="Arial" w:hAnsi="Arial"/>
                <w:sz w:val="17"/>
                <w:szCs w:val="17"/>
                <w:color w:val="auto"/>
              </w:rPr>
              <w:t>Risk retained per catastrophe occurrence (2)</w:t>
            </w:r>
          </w:p>
        </w:tc>
        <w:tc>
          <w:tcPr>
            <w:tcW w:w="20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4,500,000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3,000,000</w:t>
            </w:r>
          </w:p>
        </w:tc>
        <w:tc>
          <w:tcPr>
            <w:tcW w:w="20" w:type="dxa"/>
            <w:vAlign w:val="bottom"/>
          </w:tcPr>
          <w:p>
            <w:pPr>
              <w:spacing w:after="0"/>
              <w:rPr>
                <w:sz w:val="18"/>
                <w:szCs w:val="18"/>
                <w:color w:val="auto"/>
              </w:rPr>
            </w:pPr>
          </w:p>
        </w:tc>
      </w:tr>
      <w:tr>
        <w:trPr>
          <w:trHeight w:val="212"/>
        </w:trPr>
        <w:tc>
          <w:tcPr>
            <w:tcW w:w="566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Catastrophe loss coverage in excess of quota share coverage (3) (4)</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445,000,000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315,000,000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247,000,000</w:t>
            </w:r>
          </w:p>
        </w:tc>
        <w:tc>
          <w:tcPr>
            <w:tcW w:w="20" w:type="dxa"/>
            <w:vAlign w:val="bottom"/>
          </w:tcPr>
          <w:p>
            <w:pPr>
              <w:spacing w:after="0"/>
              <w:rPr>
                <w:sz w:val="18"/>
                <w:szCs w:val="18"/>
                <w:color w:val="auto"/>
              </w:rPr>
            </w:pPr>
          </w:p>
        </w:tc>
      </w:tr>
      <w:tr>
        <w:trPr>
          <w:trHeight w:val="217"/>
        </w:trPr>
        <w:tc>
          <w:tcPr>
            <w:tcW w:w="5660" w:type="dxa"/>
            <w:vAlign w:val="bottom"/>
            <w:gridSpan w:val="4"/>
          </w:tcPr>
          <w:p>
            <w:pPr>
              <w:ind w:left="200"/>
              <w:spacing w:after="0"/>
              <w:rPr>
                <w:sz w:val="20"/>
                <w:szCs w:val="20"/>
                <w:color w:val="auto"/>
              </w:rPr>
            </w:pPr>
            <w:r>
              <w:rPr>
                <w:rFonts w:ascii="Arial" w:cs="Arial" w:eastAsia="Arial" w:hAnsi="Arial"/>
                <w:sz w:val="17"/>
                <w:szCs w:val="17"/>
                <w:color w:val="auto"/>
              </w:rPr>
              <w:t>Reinstatement premium protection (5)</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255"/>
              <w:spacing w:after="0"/>
              <w:rPr>
                <w:sz w:val="20"/>
                <w:szCs w:val="20"/>
                <w:color w:val="auto"/>
              </w:rPr>
            </w:pPr>
            <w:r>
              <w:rPr>
                <w:rFonts w:ascii="Arial" w:cs="Arial" w:eastAsia="Arial" w:hAnsi="Arial"/>
                <w:sz w:val="17"/>
                <w:szCs w:val="17"/>
                <w:color w:val="auto"/>
                <w:w w:val="81"/>
              </w:rPr>
              <w:t>Yes</w:t>
            </w:r>
          </w:p>
        </w:tc>
        <w:tc>
          <w:tcPr>
            <w:tcW w:w="160" w:type="dxa"/>
            <w:vAlign w:val="bottom"/>
          </w:tcPr>
          <w:p>
            <w:pPr>
              <w:spacing w:after="0"/>
              <w:rPr>
                <w:sz w:val="18"/>
                <w:szCs w:val="18"/>
                <w:color w:val="auto"/>
              </w:rPr>
            </w:pPr>
          </w:p>
        </w:tc>
        <w:tc>
          <w:tcPr>
            <w:tcW w:w="1220" w:type="dxa"/>
            <w:vAlign w:val="bottom"/>
          </w:tcPr>
          <w:p>
            <w:pPr>
              <w:jc w:val="right"/>
              <w:ind w:right="535"/>
              <w:spacing w:after="0"/>
              <w:rPr>
                <w:sz w:val="20"/>
                <w:szCs w:val="20"/>
                <w:color w:val="auto"/>
              </w:rPr>
            </w:pPr>
            <w:r>
              <w:rPr>
                <w:rFonts w:ascii="Arial" w:cs="Arial" w:eastAsia="Arial" w:hAnsi="Arial"/>
                <w:sz w:val="17"/>
                <w:szCs w:val="17"/>
                <w:color w:val="auto"/>
              </w:rPr>
              <w:t>Yes</w:t>
            </w:r>
          </w:p>
        </w:tc>
        <w:tc>
          <w:tcPr>
            <w:tcW w:w="180" w:type="dxa"/>
            <w:vAlign w:val="bottom"/>
          </w:tcPr>
          <w:p>
            <w:pPr>
              <w:spacing w:after="0"/>
              <w:rPr>
                <w:sz w:val="18"/>
                <w:szCs w:val="18"/>
                <w:color w:val="auto"/>
              </w:rPr>
            </w:pPr>
          </w:p>
        </w:tc>
        <w:tc>
          <w:tcPr>
            <w:tcW w:w="1120" w:type="dxa"/>
            <w:vAlign w:val="bottom"/>
          </w:tcPr>
          <w:p>
            <w:pPr>
              <w:jc w:val="center"/>
              <w:ind w:right="115"/>
              <w:spacing w:after="0"/>
              <w:rPr>
                <w:sz w:val="20"/>
                <w:szCs w:val="20"/>
                <w:color w:val="auto"/>
              </w:rPr>
            </w:pPr>
            <w:r>
              <w:rPr>
                <w:rFonts w:ascii="Arial" w:cs="Arial" w:eastAsia="Arial" w:hAnsi="Arial"/>
                <w:sz w:val="17"/>
                <w:szCs w:val="17"/>
                <w:color w:val="auto"/>
                <w:w w:val="81"/>
              </w:rPr>
              <w:t>Yes</w:t>
            </w:r>
          </w:p>
        </w:tc>
        <w:tc>
          <w:tcPr>
            <w:tcW w:w="20" w:type="dxa"/>
            <w:vAlign w:val="bottom"/>
          </w:tcPr>
          <w:p>
            <w:pPr>
              <w:spacing w:after="0"/>
              <w:rPr>
                <w:sz w:val="18"/>
                <w:szCs w:val="18"/>
                <w:color w:val="auto"/>
              </w:rPr>
            </w:pPr>
          </w:p>
        </w:tc>
      </w:tr>
      <w:tr>
        <w:trPr>
          <w:trHeight w:val="629"/>
        </w:trPr>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434"/>
              <w:spacing w:after="0"/>
              <w:rPr>
                <w:sz w:val="20"/>
                <w:szCs w:val="20"/>
                <w:color w:val="auto"/>
              </w:rPr>
            </w:pPr>
            <w:r>
              <w:rPr>
                <w:rFonts w:ascii="Arial" w:cs="Arial" w:eastAsia="Arial" w:hAnsi="Arial"/>
                <w:sz w:val="17"/>
                <w:szCs w:val="17"/>
                <w:color w:val="auto"/>
              </w:rPr>
              <w:t>74</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580"/>
          </w:cols>
          <w:pgMar w:left="160" w:top="475" w:right="159" w:bottom="1440" w:gutter="0" w:footer="0" w:header="0"/>
        </w:sectPr>
      </w:pPr>
    </w:p>
    <w:bookmarkStart w:id="76" w:name="page77"/>
    <w:bookmarkEnd w:id="76"/>
    <w:p>
      <w:pPr>
        <w:ind w:left="320" w:hanging="314"/>
        <w:spacing w:after="0" w:line="263"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ind w:left="320" w:hanging="314"/>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6" w:lineRule="exact"/>
        <w:rPr>
          <w:rFonts w:ascii="Arial" w:cs="Arial" w:eastAsia="Arial" w:hAnsi="Arial"/>
          <w:sz w:val="17"/>
          <w:szCs w:val="17"/>
          <w:color w:val="auto"/>
        </w:rPr>
      </w:pPr>
    </w:p>
    <w:p>
      <w:pPr>
        <w:ind w:left="320" w:hanging="314"/>
        <w:spacing w:after="0" w:line="260"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ind w:left="320" w:hanging="314"/>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Effective July 1, 2018, the top $50,000,000 layer of catastrophe reinsurance coverage has a two year term expiring on June 30, 2020.</w:t>
      </w:r>
    </w:p>
    <w:p>
      <w:pPr>
        <w:spacing w:after="0" w:line="16" w:lineRule="exact"/>
        <w:rPr>
          <w:rFonts w:ascii="Arial" w:cs="Arial" w:eastAsia="Arial" w:hAnsi="Arial"/>
          <w:sz w:val="17"/>
          <w:szCs w:val="17"/>
          <w:color w:val="auto"/>
        </w:rPr>
      </w:pPr>
    </w:p>
    <w:p>
      <w:pPr>
        <w:ind w:left="320" w:right="2680" w:hanging="314"/>
        <w:spacing w:after="0" w:line="322" w:lineRule="auto"/>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Effective July 1, 2016, reinstatement premium protection for $20,000,000 of catastrophe coverage in excess of $5,000,000. Effective July 1, 2017, reinstatement premium protection for $145,000,000 of catastrophe coverage in excess of $5,000,000. Effective July 1, 2018, reinstatement premium protection for $210,000,000 of catastrophe coverage in excess of $5,000,000.</w:t>
      </w:r>
    </w:p>
    <w:p>
      <w:pPr>
        <w:spacing w:after="0" w:line="293"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7"/>
          <w:szCs w:val="17"/>
          <w:color w:val="auto"/>
        </w:rPr>
        <w:t>The single maximum risks per occurrence to which the Company is subject under the treaties effective July 1, 2018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Treaty</w:t>
            </w:r>
          </w:p>
        </w:tc>
        <w:tc>
          <w:tcPr>
            <w:tcW w:w="180" w:type="dxa"/>
            <w:vAlign w:val="bottom"/>
            <w:vMerge w:val="restart"/>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476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July 1, 2018 - June 30, 2019</w:t>
            </w:r>
          </w:p>
        </w:tc>
        <w:tc>
          <w:tcPr>
            <w:tcW w:w="0" w:type="dxa"/>
            <w:vAlign w:val="bottom"/>
          </w:tcPr>
          <w:p>
            <w:pPr>
              <w:spacing w:after="0"/>
              <w:rPr>
                <w:sz w:val="1"/>
                <w:szCs w:val="1"/>
                <w:color w:val="auto"/>
              </w:rPr>
            </w:pPr>
          </w:p>
        </w:tc>
      </w:tr>
      <w:tr>
        <w:trPr>
          <w:trHeight w:val="165"/>
        </w:trPr>
        <w:tc>
          <w:tcPr>
            <w:tcW w:w="37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880" w:type="dxa"/>
            <w:vAlign w:val="bottom"/>
            <w:tcBorders>
              <w:bottom w:val="single" w:sz="8" w:color="auto"/>
            </w:tcBorders>
          </w:tcPr>
          <w:p>
            <w:pPr>
              <w:jc w:val="center"/>
              <w:ind w:left="795"/>
              <w:spacing w:after="0" w:line="159" w:lineRule="exact"/>
              <w:rPr>
                <w:sz w:val="20"/>
                <w:szCs w:val="20"/>
                <w:color w:val="auto"/>
              </w:rPr>
            </w:pPr>
            <w:r>
              <w:rPr>
                <w:rFonts w:ascii="Arial" w:cs="Arial" w:eastAsia="Arial" w:hAnsi="Arial"/>
                <w:sz w:val="15"/>
                <w:szCs w:val="15"/>
                <w:b w:val="1"/>
                <w:bCs w:val="1"/>
                <w:color w:val="auto"/>
                <w:w w:val="85"/>
              </w:rPr>
              <w:t>Extent of Loss</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7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b w:val="1"/>
                <w:bCs w:val="1"/>
                <w:color w:val="auto"/>
                <w:w w:val="86"/>
              </w:rPr>
              <w:t>Risk Retained</w:t>
            </w: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1"/>
              </w:rPr>
              <w:t>Personal Lines (1)</w:t>
            </w:r>
          </w:p>
        </w:tc>
        <w:tc>
          <w:tcPr>
            <w:tcW w:w="2880" w:type="dxa"/>
            <w:vAlign w:val="bottom"/>
            <w:shd w:val="clear" w:color="auto" w:fill="CCEEFF"/>
          </w:tcPr>
          <w:p>
            <w:pPr>
              <w:jc w:val="center"/>
              <w:ind w:left="795"/>
              <w:spacing w:after="0"/>
              <w:rPr>
                <w:sz w:val="20"/>
                <w:szCs w:val="20"/>
                <w:color w:val="auto"/>
              </w:rPr>
            </w:pPr>
            <w:r>
              <w:rPr>
                <w:rFonts w:ascii="Arial" w:cs="Arial" w:eastAsia="Arial" w:hAnsi="Arial"/>
                <w:sz w:val="17"/>
                <w:szCs w:val="17"/>
                <w:color w:val="auto"/>
                <w:w w:val="95"/>
              </w:rPr>
              <w:t>Initial $1,000,000</w:t>
            </w:r>
          </w:p>
        </w:tc>
        <w:tc>
          <w:tcPr>
            <w:tcW w:w="4760" w:type="dxa"/>
            <w:vAlign w:val="bottom"/>
            <w:gridSpan w:val="3"/>
            <w:shd w:val="clear" w:color="auto" w:fill="CCEEFF"/>
          </w:tcPr>
          <w:p>
            <w:pPr>
              <w:jc w:val="center"/>
              <w:ind w:left="935"/>
              <w:spacing w:after="0"/>
              <w:rPr>
                <w:sz w:val="20"/>
                <w:szCs w:val="20"/>
                <w:color w:val="auto"/>
              </w:rPr>
            </w:pPr>
            <w:r>
              <w:rPr>
                <w:rFonts w:ascii="Arial" w:cs="Arial" w:eastAsia="Arial" w:hAnsi="Arial"/>
                <w:sz w:val="17"/>
                <w:szCs w:val="17"/>
                <w:color w:val="auto"/>
                <w:w w:val="93"/>
              </w:rPr>
              <w:t>$900,000</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tcPr>
          <w:p>
            <w:pPr>
              <w:jc w:val="center"/>
              <w:ind w:left="815"/>
              <w:spacing w:after="0"/>
              <w:rPr>
                <w:sz w:val="20"/>
                <w:szCs w:val="20"/>
                <w:color w:val="auto"/>
              </w:rPr>
            </w:pPr>
            <w:r>
              <w:rPr>
                <w:rFonts w:ascii="Arial" w:cs="Arial" w:eastAsia="Arial" w:hAnsi="Arial"/>
                <w:sz w:val="17"/>
                <w:szCs w:val="17"/>
                <w:color w:val="auto"/>
                <w:w w:val="91"/>
              </w:rPr>
              <w:t>$1,000,000 - $10,000,000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7"/>
                <w:szCs w:val="17"/>
                <w:color w:val="auto"/>
                <w:w w:val="94"/>
              </w:rPr>
              <w:t>None(2)</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80" w:type="dxa"/>
            <w:vAlign w:val="bottom"/>
            <w:shd w:val="clear" w:color="auto" w:fill="CCEEFF"/>
          </w:tcPr>
          <w:p>
            <w:pPr>
              <w:jc w:val="center"/>
              <w:ind w:left="795"/>
              <w:spacing w:after="0"/>
              <w:rPr>
                <w:sz w:val="20"/>
                <w:szCs w:val="20"/>
                <w:color w:val="auto"/>
              </w:rPr>
            </w:pPr>
            <w:r>
              <w:rPr>
                <w:rFonts w:ascii="Arial" w:cs="Arial" w:eastAsia="Arial" w:hAnsi="Arial"/>
                <w:sz w:val="17"/>
                <w:szCs w:val="17"/>
                <w:color w:val="auto"/>
                <w:w w:val="91"/>
              </w:rPr>
              <w:t>Over $10,000,000</w:t>
            </w:r>
          </w:p>
        </w:tc>
        <w:tc>
          <w:tcPr>
            <w:tcW w:w="476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1"/>
              </w:rPr>
              <w:t>Personal Umbrella</w:t>
            </w:r>
          </w:p>
        </w:tc>
        <w:tc>
          <w:tcPr>
            <w:tcW w:w="2880" w:type="dxa"/>
            <w:vAlign w:val="bottom"/>
            <w:shd w:val="clear" w:color="auto" w:fill="CCEEFF"/>
          </w:tcPr>
          <w:p>
            <w:pPr>
              <w:jc w:val="center"/>
              <w:ind w:left="795"/>
              <w:spacing w:after="0"/>
              <w:rPr>
                <w:sz w:val="20"/>
                <w:szCs w:val="20"/>
                <w:color w:val="auto"/>
              </w:rPr>
            </w:pPr>
            <w:r>
              <w:rPr>
                <w:rFonts w:ascii="Arial" w:cs="Arial" w:eastAsia="Arial" w:hAnsi="Arial"/>
                <w:sz w:val="17"/>
                <w:szCs w:val="17"/>
                <w:color w:val="auto"/>
                <w:w w:val="95"/>
              </w:rPr>
              <w:t>Initial $1,000,000</w:t>
            </w:r>
          </w:p>
        </w:tc>
        <w:tc>
          <w:tcPr>
            <w:tcW w:w="4760" w:type="dxa"/>
            <w:vAlign w:val="bottom"/>
            <w:gridSpan w:val="3"/>
            <w:shd w:val="clear" w:color="auto" w:fill="CCEEFF"/>
          </w:tcPr>
          <w:p>
            <w:pPr>
              <w:jc w:val="center"/>
              <w:ind w:left="935"/>
              <w:spacing w:after="0"/>
              <w:rPr>
                <w:sz w:val="20"/>
                <w:szCs w:val="20"/>
                <w:color w:val="auto"/>
              </w:rPr>
            </w:pPr>
            <w:r>
              <w:rPr>
                <w:rFonts w:ascii="Arial" w:cs="Arial" w:eastAsia="Arial" w:hAnsi="Arial"/>
                <w:sz w:val="17"/>
                <w:szCs w:val="17"/>
                <w:color w:val="auto"/>
                <w:w w:val="93"/>
              </w:rPr>
              <w:t>$100,000</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tcPr>
          <w:p>
            <w:pPr>
              <w:jc w:val="center"/>
              <w:ind w:left="795"/>
              <w:spacing w:after="0"/>
              <w:rPr>
                <w:sz w:val="20"/>
                <w:szCs w:val="20"/>
                <w:color w:val="auto"/>
              </w:rPr>
            </w:pPr>
            <w:r>
              <w:rPr>
                <w:rFonts w:ascii="Arial" w:cs="Arial" w:eastAsia="Arial" w:hAnsi="Arial"/>
                <w:sz w:val="17"/>
                <w:szCs w:val="17"/>
                <w:color w:val="auto"/>
                <w:w w:val="90"/>
              </w:rPr>
              <w:t>$1,000,000 - $5,000,000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80" w:type="dxa"/>
            <w:vAlign w:val="bottom"/>
            <w:shd w:val="clear" w:color="auto" w:fill="CCEEFF"/>
          </w:tcPr>
          <w:p>
            <w:pPr>
              <w:jc w:val="center"/>
              <w:ind w:left="795"/>
              <w:spacing w:after="0"/>
              <w:rPr>
                <w:sz w:val="20"/>
                <w:szCs w:val="20"/>
                <w:color w:val="auto"/>
              </w:rPr>
            </w:pPr>
            <w:r>
              <w:rPr>
                <w:rFonts w:ascii="Arial" w:cs="Arial" w:eastAsia="Arial" w:hAnsi="Arial"/>
                <w:sz w:val="17"/>
                <w:szCs w:val="17"/>
                <w:color w:val="auto"/>
                <w:w w:val="91"/>
              </w:rPr>
              <w:t>Over $5,000,000</w:t>
            </w:r>
          </w:p>
        </w:tc>
        <w:tc>
          <w:tcPr>
            <w:tcW w:w="476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4"/>
              </w:rPr>
              <w:t>Commercial Lines</w:t>
            </w:r>
          </w:p>
        </w:tc>
        <w:tc>
          <w:tcPr>
            <w:tcW w:w="2880" w:type="dxa"/>
            <w:vAlign w:val="bottom"/>
            <w:shd w:val="clear" w:color="auto" w:fill="CCEEFF"/>
          </w:tcPr>
          <w:p>
            <w:pPr>
              <w:jc w:val="center"/>
              <w:ind w:left="815"/>
              <w:spacing w:after="0"/>
              <w:rPr>
                <w:sz w:val="20"/>
                <w:szCs w:val="20"/>
                <w:color w:val="auto"/>
              </w:rPr>
            </w:pPr>
            <w:r>
              <w:rPr>
                <w:rFonts w:ascii="Arial" w:cs="Arial" w:eastAsia="Arial" w:hAnsi="Arial"/>
                <w:sz w:val="17"/>
                <w:szCs w:val="17"/>
                <w:color w:val="auto"/>
                <w:w w:val="95"/>
              </w:rPr>
              <w:t>Initial $750,000</w:t>
            </w:r>
          </w:p>
        </w:tc>
        <w:tc>
          <w:tcPr>
            <w:tcW w:w="4760" w:type="dxa"/>
            <w:vAlign w:val="bottom"/>
            <w:gridSpan w:val="3"/>
            <w:shd w:val="clear" w:color="auto" w:fill="CCEEFF"/>
          </w:tcPr>
          <w:p>
            <w:pPr>
              <w:jc w:val="center"/>
              <w:ind w:left="935"/>
              <w:spacing w:after="0"/>
              <w:rPr>
                <w:sz w:val="20"/>
                <w:szCs w:val="20"/>
                <w:color w:val="auto"/>
              </w:rPr>
            </w:pPr>
            <w:r>
              <w:rPr>
                <w:rFonts w:ascii="Arial" w:cs="Arial" w:eastAsia="Arial" w:hAnsi="Arial"/>
                <w:sz w:val="17"/>
                <w:szCs w:val="17"/>
                <w:color w:val="auto"/>
                <w:w w:val="93"/>
              </w:rPr>
              <w:t>$750,000</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tcPr>
          <w:p>
            <w:pPr>
              <w:jc w:val="center"/>
              <w:ind w:left="795"/>
              <w:spacing w:after="0"/>
              <w:rPr>
                <w:sz w:val="20"/>
                <w:szCs w:val="20"/>
                <w:color w:val="auto"/>
              </w:rPr>
            </w:pPr>
            <w:r>
              <w:rPr>
                <w:rFonts w:ascii="Arial" w:cs="Arial" w:eastAsia="Arial" w:hAnsi="Arial"/>
                <w:sz w:val="17"/>
                <w:szCs w:val="17"/>
                <w:color w:val="auto"/>
                <w:w w:val="91"/>
              </w:rPr>
              <w:t>$750,000 - $4,500,000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7"/>
                <w:szCs w:val="17"/>
                <w:color w:val="auto"/>
                <w:w w:val="94"/>
              </w:rPr>
              <w:t>None(3)</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80" w:type="dxa"/>
            <w:vAlign w:val="bottom"/>
            <w:shd w:val="clear" w:color="auto" w:fill="CCEEFF"/>
          </w:tcPr>
          <w:p>
            <w:pPr>
              <w:jc w:val="center"/>
              <w:ind w:left="795"/>
              <w:spacing w:after="0"/>
              <w:rPr>
                <w:sz w:val="20"/>
                <w:szCs w:val="20"/>
                <w:color w:val="auto"/>
              </w:rPr>
            </w:pPr>
            <w:r>
              <w:rPr>
                <w:rFonts w:ascii="Arial" w:cs="Arial" w:eastAsia="Arial" w:hAnsi="Arial"/>
                <w:sz w:val="17"/>
                <w:szCs w:val="17"/>
                <w:color w:val="auto"/>
                <w:w w:val="91"/>
              </w:rPr>
              <w:t>Over $4,500,000</w:t>
            </w:r>
          </w:p>
        </w:tc>
        <w:tc>
          <w:tcPr>
            <w:tcW w:w="476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4"/>
              </w:rPr>
              <w:t>Commercial Umbrella</w:t>
            </w:r>
          </w:p>
        </w:tc>
        <w:tc>
          <w:tcPr>
            <w:tcW w:w="2880" w:type="dxa"/>
            <w:vAlign w:val="bottom"/>
            <w:shd w:val="clear" w:color="auto" w:fill="CCEEFF"/>
          </w:tcPr>
          <w:p>
            <w:pPr>
              <w:jc w:val="center"/>
              <w:ind w:left="795"/>
              <w:spacing w:after="0"/>
              <w:rPr>
                <w:sz w:val="20"/>
                <w:szCs w:val="20"/>
                <w:color w:val="auto"/>
              </w:rPr>
            </w:pPr>
            <w:r>
              <w:rPr>
                <w:rFonts w:ascii="Arial" w:cs="Arial" w:eastAsia="Arial" w:hAnsi="Arial"/>
                <w:sz w:val="17"/>
                <w:szCs w:val="17"/>
                <w:color w:val="auto"/>
                <w:w w:val="95"/>
              </w:rPr>
              <w:t>Initial $1,000,000</w:t>
            </w:r>
          </w:p>
        </w:tc>
        <w:tc>
          <w:tcPr>
            <w:tcW w:w="4760" w:type="dxa"/>
            <w:vAlign w:val="bottom"/>
            <w:gridSpan w:val="3"/>
            <w:shd w:val="clear" w:color="auto" w:fill="CCEEFF"/>
          </w:tcPr>
          <w:p>
            <w:pPr>
              <w:jc w:val="center"/>
              <w:ind w:left="935"/>
              <w:spacing w:after="0"/>
              <w:rPr>
                <w:sz w:val="20"/>
                <w:szCs w:val="20"/>
                <w:color w:val="auto"/>
              </w:rPr>
            </w:pPr>
            <w:r>
              <w:rPr>
                <w:rFonts w:ascii="Arial" w:cs="Arial" w:eastAsia="Arial" w:hAnsi="Arial"/>
                <w:sz w:val="17"/>
                <w:szCs w:val="17"/>
                <w:color w:val="auto"/>
                <w:w w:val="93"/>
              </w:rPr>
              <w:t>$100,000</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tcPr>
          <w:p>
            <w:pPr>
              <w:jc w:val="center"/>
              <w:ind w:left="795"/>
              <w:spacing w:after="0"/>
              <w:rPr>
                <w:sz w:val="20"/>
                <w:szCs w:val="20"/>
                <w:color w:val="auto"/>
              </w:rPr>
            </w:pPr>
            <w:r>
              <w:rPr>
                <w:rFonts w:ascii="Arial" w:cs="Arial" w:eastAsia="Arial" w:hAnsi="Arial"/>
                <w:sz w:val="17"/>
                <w:szCs w:val="17"/>
                <w:color w:val="auto"/>
                <w:w w:val="90"/>
              </w:rPr>
              <w:t>$1,000,000 - $5,000,000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80" w:type="dxa"/>
            <w:vAlign w:val="bottom"/>
            <w:shd w:val="clear" w:color="auto" w:fill="CCEEFF"/>
          </w:tcPr>
          <w:p>
            <w:pPr>
              <w:jc w:val="center"/>
              <w:ind w:left="795"/>
              <w:spacing w:after="0"/>
              <w:rPr>
                <w:sz w:val="20"/>
                <w:szCs w:val="20"/>
                <w:color w:val="auto"/>
              </w:rPr>
            </w:pPr>
            <w:r>
              <w:rPr>
                <w:rFonts w:ascii="Arial" w:cs="Arial" w:eastAsia="Arial" w:hAnsi="Arial"/>
                <w:sz w:val="17"/>
                <w:szCs w:val="17"/>
                <w:color w:val="auto"/>
                <w:w w:val="91"/>
              </w:rPr>
              <w:t>Over $5,000,000</w:t>
            </w:r>
          </w:p>
        </w:tc>
        <w:tc>
          <w:tcPr>
            <w:tcW w:w="476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89"/>
              </w:rPr>
              <w:t>Catastrophe (4)</w:t>
            </w:r>
          </w:p>
        </w:tc>
        <w:tc>
          <w:tcPr>
            <w:tcW w:w="2880" w:type="dxa"/>
            <w:vAlign w:val="bottom"/>
            <w:shd w:val="clear" w:color="auto" w:fill="CCEEFF"/>
          </w:tcPr>
          <w:p>
            <w:pPr>
              <w:jc w:val="center"/>
              <w:ind w:left="795"/>
              <w:spacing w:after="0"/>
              <w:rPr>
                <w:sz w:val="20"/>
                <w:szCs w:val="20"/>
                <w:color w:val="auto"/>
              </w:rPr>
            </w:pPr>
            <w:r>
              <w:rPr>
                <w:rFonts w:ascii="Arial" w:cs="Arial" w:eastAsia="Arial" w:hAnsi="Arial"/>
                <w:sz w:val="17"/>
                <w:szCs w:val="17"/>
                <w:color w:val="auto"/>
                <w:w w:val="95"/>
              </w:rPr>
              <w:t>Initial $5,000,000</w:t>
            </w:r>
          </w:p>
        </w:tc>
        <w:tc>
          <w:tcPr>
            <w:tcW w:w="4760" w:type="dxa"/>
            <w:vAlign w:val="bottom"/>
            <w:gridSpan w:val="3"/>
            <w:shd w:val="clear" w:color="auto" w:fill="CCEEFF"/>
          </w:tcPr>
          <w:p>
            <w:pPr>
              <w:jc w:val="center"/>
              <w:ind w:left="935"/>
              <w:spacing w:after="0"/>
              <w:rPr>
                <w:sz w:val="20"/>
                <w:szCs w:val="20"/>
                <w:color w:val="auto"/>
              </w:rPr>
            </w:pPr>
            <w:r>
              <w:rPr>
                <w:rFonts w:ascii="Arial" w:cs="Arial" w:eastAsia="Arial" w:hAnsi="Arial"/>
                <w:sz w:val="17"/>
                <w:szCs w:val="17"/>
                <w:color w:val="auto"/>
                <w:w w:val="91"/>
              </w:rPr>
              <w:t>$4,500,000</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tcPr>
          <w:p>
            <w:pPr>
              <w:jc w:val="center"/>
              <w:ind w:left="795"/>
              <w:spacing w:after="0"/>
              <w:rPr>
                <w:sz w:val="20"/>
                <w:szCs w:val="20"/>
                <w:color w:val="auto"/>
              </w:rPr>
            </w:pPr>
            <w:r>
              <w:rPr>
                <w:rFonts w:ascii="Arial" w:cs="Arial" w:eastAsia="Arial" w:hAnsi="Arial"/>
                <w:sz w:val="17"/>
                <w:szCs w:val="17"/>
                <w:color w:val="auto"/>
                <w:w w:val="92"/>
              </w:rPr>
              <w:t>$5,000,000 - $450,000,000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80" w:type="dxa"/>
            <w:vAlign w:val="bottom"/>
            <w:shd w:val="clear" w:color="auto" w:fill="CCEEFF"/>
          </w:tcPr>
          <w:p>
            <w:pPr>
              <w:jc w:val="center"/>
              <w:ind w:left="795"/>
              <w:spacing w:after="0"/>
              <w:rPr>
                <w:sz w:val="20"/>
                <w:szCs w:val="20"/>
                <w:color w:val="auto"/>
              </w:rPr>
            </w:pPr>
            <w:r>
              <w:rPr>
                <w:rFonts w:ascii="Arial" w:cs="Arial" w:eastAsia="Arial" w:hAnsi="Arial"/>
                <w:sz w:val="17"/>
                <w:szCs w:val="17"/>
                <w:color w:val="auto"/>
                <w:w w:val="90"/>
              </w:rPr>
              <w:t>Over $450,000,000</w:t>
            </w:r>
          </w:p>
        </w:tc>
        <w:tc>
          <w:tcPr>
            <w:tcW w:w="4760" w:type="dxa"/>
            <w:vAlign w:val="bottom"/>
            <w:gridSpan w:val="3"/>
            <w:shd w:val="clear" w:color="auto" w:fill="CCEEFF"/>
          </w:tcPr>
          <w:p>
            <w:pPr>
              <w:jc w:val="center"/>
              <w:ind w:left="95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20" w:hanging="314"/>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Treaty for July 1, 2018 – June 30, 2019 is a two year treaty with expiration date of June 30, 2019.</w:t>
      </w:r>
    </w:p>
    <w:p>
      <w:pPr>
        <w:spacing w:after="0" w:line="21" w:lineRule="exact"/>
        <w:rPr>
          <w:rFonts w:ascii="Arial" w:cs="Arial" w:eastAsia="Arial" w:hAnsi="Arial"/>
          <w:sz w:val="17"/>
          <w:szCs w:val="17"/>
          <w:color w:val="auto"/>
        </w:rPr>
      </w:pPr>
    </w:p>
    <w:p>
      <w:pPr>
        <w:ind w:left="320" w:hanging="314"/>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6" w:lineRule="exact"/>
        <w:rPr>
          <w:rFonts w:ascii="Arial" w:cs="Arial" w:eastAsia="Arial" w:hAnsi="Arial"/>
          <w:sz w:val="17"/>
          <w:szCs w:val="17"/>
          <w:color w:val="auto"/>
        </w:rPr>
      </w:pPr>
    </w:p>
    <w:p>
      <w:pPr>
        <w:ind w:left="320" w:hanging="314"/>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6" w:lineRule="exact"/>
        <w:rPr>
          <w:rFonts w:ascii="Arial" w:cs="Arial" w:eastAsia="Arial" w:hAnsi="Arial"/>
          <w:sz w:val="17"/>
          <w:szCs w:val="17"/>
          <w:color w:val="auto"/>
        </w:rPr>
      </w:pPr>
    </w:p>
    <w:p>
      <w:pPr>
        <w:ind w:left="320" w:hanging="314"/>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77" w:name="page78"/>
    <w:bookmarkEnd w:id="77"/>
    <w:p>
      <w:pPr>
        <w:ind w:left="640"/>
        <w:spacing w:after="0"/>
        <w:rPr>
          <w:sz w:val="20"/>
          <w:szCs w:val="20"/>
          <w:color w:val="auto"/>
        </w:rPr>
      </w:pPr>
      <w:r>
        <w:rPr>
          <w:rFonts w:ascii="Arial" w:cs="Arial" w:eastAsia="Arial" w:hAnsi="Arial"/>
          <w:sz w:val="17"/>
          <w:szCs w:val="17"/>
          <w:color w:val="auto"/>
        </w:rPr>
        <w:t>The single maximum risks per occurrence to which the Company is subject under the treaty years shown below are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Treaty</w:t>
            </w:r>
          </w:p>
        </w:tc>
        <w:tc>
          <w:tcPr>
            <w:tcW w:w="120" w:type="dxa"/>
            <w:vAlign w:val="bottom"/>
            <w:vMerge w:val="restart"/>
          </w:tcPr>
          <w:p>
            <w:pPr>
              <w:spacing w:after="0"/>
              <w:rPr>
                <w:sz w:val="17"/>
                <w:szCs w:val="17"/>
                <w:color w:val="auto"/>
              </w:rPr>
            </w:pPr>
          </w:p>
        </w:tc>
        <w:tc>
          <w:tcPr>
            <w:tcW w:w="4760" w:type="dxa"/>
            <w:vAlign w:val="bottom"/>
            <w:tcBorders>
              <w:bottom w:val="single" w:sz="8" w:color="auto"/>
            </w:tcBorders>
            <w:gridSpan w:val="3"/>
          </w:tcPr>
          <w:p>
            <w:pPr>
              <w:ind w:left="1600"/>
              <w:spacing w:after="0"/>
              <w:rPr>
                <w:sz w:val="20"/>
                <w:szCs w:val="20"/>
                <w:color w:val="auto"/>
              </w:rPr>
            </w:pPr>
            <w:r>
              <w:rPr>
                <w:rFonts w:ascii="Arial" w:cs="Arial" w:eastAsia="Arial" w:hAnsi="Arial"/>
                <w:sz w:val="15"/>
                <w:szCs w:val="15"/>
                <w:b w:val="1"/>
                <w:bCs w:val="1"/>
                <w:color w:val="auto"/>
              </w:rPr>
              <w:t>July 1, 2017 - June 30, 2018</w:t>
            </w:r>
          </w:p>
        </w:tc>
        <w:tc>
          <w:tcPr>
            <w:tcW w:w="120" w:type="dxa"/>
            <w:vAlign w:val="bottom"/>
          </w:tcPr>
          <w:p>
            <w:pPr>
              <w:spacing w:after="0"/>
              <w:rPr>
                <w:sz w:val="17"/>
                <w:szCs w:val="17"/>
                <w:color w:val="auto"/>
              </w:rPr>
            </w:pPr>
          </w:p>
        </w:tc>
        <w:tc>
          <w:tcPr>
            <w:tcW w:w="4700" w:type="dxa"/>
            <w:vAlign w:val="bottom"/>
            <w:tcBorders>
              <w:bottom w:val="single" w:sz="8" w:color="auto"/>
            </w:tcBorders>
            <w:gridSpan w:val="3"/>
          </w:tcPr>
          <w:p>
            <w:pPr>
              <w:ind w:left="1520"/>
              <w:spacing w:after="0"/>
              <w:rPr>
                <w:sz w:val="20"/>
                <w:szCs w:val="20"/>
                <w:color w:val="auto"/>
              </w:rPr>
            </w:pPr>
            <w:r>
              <w:rPr>
                <w:rFonts w:ascii="Arial" w:cs="Arial" w:eastAsia="Arial" w:hAnsi="Arial"/>
                <w:sz w:val="15"/>
                <w:szCs w:val="15"/>
                <w:b w:val="1"/>
                <w:bCs w:val="1"/>
                <w:color w:val="auto"/>
              </w:rPr>
              <w:t>July 1, 2016 - June 30, 2017</w:t>
            </w:r>
          </w:p>
        </w:tc>
        <w:tc>
          <w:tcPr>
            <w:tcW w:w="0" w:type="dxa"/>
            <w:vAlign w:val="bottom"/>
          </w:tcPr>
          <w:p>
            <w:pPr>
              <w:spacing w:after="0"/>
              <w:rPr>
                <w:sz w:val="1"/>
                <w:szCs w:val="1"/>
                <w:color w:val="auto"/>
              </w:rPr>
            </w:pPr>
          </w:p>
        </w:tc>
      </w:tr>
      <w:tr>
        <w:trPr>
          <w:trHeight w:val="165"/>
        </w:trPr>
        <w:tc>
          <w:tcPr>
            <w:tcW w:w="18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3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b w:val="1"/>
                <w:bCs w:val="1"/>
                <w:color w:val="auto"/>
                <w:w w:val="85"/>
              </w:rPr>
              <w:t>Range of Loss</w:t>
            </w:r>
          </w:p>
        </w:tc>
        <w:tc>
          <w:tcPr>
            <w:tcW w:w="120" w:type="dxa"/>
            <w:vAlign w:val="bottom"/>
          </w:tcPr>
          <w:p>
            <w:pPr>
              <w:spacing w:after="0"/>
              <w:rPr>
                <w:sz w:val="14"/>
                <w:szCs w:val="14"/>
                <w:color w:val="auto"/>
              </w:rPr>
            </w:pPr>
          </w:p>
        </w:tc>
        <w:tc>
          <w:tcPr>
            <w:tcW w:w="23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b w:val="1"/>
                <w:bCs w:val="1"/>
                <w:color w:val="auto"/>
                <w:w w:val="88"/>
              </w:rPr>
              <w:t>Risk Retained</w:t>
            </w:r>
          </w:p>
        </w:tc>
        <w:tc>
          <w:tcPr>
            <w:tcW w:w="120" w:type="dxa"/>
            <w:vAlign w:val="bottom"/>
          </w:tcPr>
          <w:p>
            <w:pPr>
              <w:spacing w:after="0"/>
              <w:rPr>
                <w:sz w:val="14"/>
                <w:szCs w:val="14"/>
                <w:color w:val="auto"/>
              </w:rPr>
            </w:pPr>
          </w:p>
        </w:tc>
        <w:tc>
          <w:tcPr>
            <w:tcW w:w="23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b w:val="1"/>
                <w:bCs w:val="1"/>
                <w:color w:val="auto"/>
                <w:w w:val="85"/>
              </w:rPr>
              <w:t>Range of Loss</w:t>
            </w:r>
          </w:p>
        </w:tc>
        <w:tc>
          <w:tcPr>
            <w:tcW w:w="100" w:type="dxa"/>
            <w:vAlign w:val="bottom"/>
          </w:tcPr>
          <w:p>
            <w:pPr>
              <w:spacing w:after="0"/>
              <w:rPr>
                <w:sz w:val="14"/>
                <w:szCs w:val="14"/>
                <w:color w:val="auto"/>
              </w:rPr>
            </w:pPr>
          </w:p>
        </w:tc>
        <w:tc>
          <w:tcPr>
            <w:tcW w:w="23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5"/>
                <w:szCs w:val="15"/>
                <w:b w:val="1"/>
                <w:bCs w:val="1"/>
                <w:color w:val="auto"/>
                <w:w w:val="88"/>
              </w:rPr>
              <w:t>Risk Retained</w:t>
            </w: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Personal Lines (1)</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Initial $1,000,000</w:t>
            </w:r>
          </w:p>
        </w:tc>
        <w:tc>
          <w:tcPr>
            <w:tcW w:w="24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0"/>
              </w:rPr>
              <w:t>$800,000</w:t>
            </w: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Initial $833,333</w:t>
            </w:r>
          </w:p>
        </w:tc>
        <w:tc>
          <w:tcPr>
            <w:tcW w:w="24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0"/>
              </w:rPr>
              <w:t>$500,000</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7"/>
                <w:szCs w:val="17"/>
                <w:color w:val="auto"/>
                <w:w w:val="91"/>
              </w:rPr>
              <w:t>$1,000,000 - $10,000,000</w:t>
            </w: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7"/>
                <w:szCs w:val="17"/>
                <w:color w:val="auto"/>
                <w:w w:val="94"/>
              </w:rPr>
              <w:t>None(2)</w:t>
            </w:r>
          </w:p>
        </w:tc>
        <w:tc>
          <w:tcPr>
            <w:tcW w:w="2420" w:type="dxa"/>
            <w:vAlign w:val="bottom"/>
            <w:gridSpan w:val="2"/>
          </w:tcPr>
          <w:p>
            <w:pPr>
              <w:jc w:val="center"/>
              <w:ind w:left="14"/>
              <w:spacing w:after="0"/>
              <w:rPr>
                <w:sz w:val="20"/>
                <w:szCs w:val="20"/>
                <w:color w:val="auto"/>
              </w:rPr>
            </w:pPr>
            <w:r>
              <w:rPr>
                <w:rFonts w:ascii="Arial" w:cs="Arial" w:eastAsia="Arial" w:hAnsi="Arial"/>
                <w:sz w:val="17"/>
                <w:szCs w:val="17"/>
                <w:color w:val="auto"/>
                <w:w w:val="91"/>
              </w:rPr>
              <w:t>$833,333 - $4,500,000</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7"/>
                <w:szCs w:val="17"/>
                <w:color w:val="auto"/>
                <w:w w:val="94"/>
              </w:rPr>
              <w:t>None(3)</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Over $10,000,000</w:t>
            </w:r>
          </w:p>
        </w:tc>
        <w:tc>
          <w:tcPr>
            <w:tcW w:w="24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1"/>
              </w:rPr>
              <w:t>100%</w:t>
            </w: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Over $4,500,000</w:t>
            </w:r>
          </w:p>
        </w:tc>
        <w:tc>
          <w:tcPr>
            <w:tcW w:w="24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Personal Umbrella</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Initial $1,000,000</w:t>
            </w:r>
          </w:p>
        </w:tc>
        <w:tc>
          <w:tcPr>
            <w:tcW w:w="24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0"/>
              </w:rPr>
              <w:t>$100,000</w:t>
            </w: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Initial $1,000,000</w:t>
            </w:r>
          </w:p>
        </w:tc>
        <w:tc>
          <w:tcPr>
            <w:tcW w:w="24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0"/>
              </w:rPr>
              <w:t>$100,000</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7"/>
                <w:szCs w:val="17"/>
                <w:color w:val="auto"/>
                <w:w w:val="90"/>
              </w:rPr>
              <w:t>$1,000,000 - $5,000,000</w:t>
            </w: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2420" w:type="dxa"/>
            <w:vAlign w:val="bottom"/>
            <w:gridSpan w:val="2"/>
          </w:tcPr>
          <w:p>
            <w:pPr>
              <w:jc w:val="center"/>
              <w:ind w:left="34"/>
              <w:spacing w:after="0"/>
              <w:rPr>
                <w:sz w:val="20"/>
                <w:szCs w:val="20"/>
                <w:color w:val="auto"/>
              </w:rPr>
            </w:pPr>
            <w:r>
              <w:rPr>
                <w:rFonts w:ascii="Arial" w:cs="Arial" w:eastAsia="Arial" w:hAnsi="Arial"/>
                <w:sz w:val="17"/>
                <w:szCs w:val="17"/>
                <w:color w:val="auto"/>
                <w:w w:val="91"/>
              </w:rPr>
              <w:t>$1,000,000 - $5,000,000</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Over $5,000,000</w:t>
            </w:r>
          </w:p>
        </w:tc>
        <w:tc>
          <w:tcPr>
            <w:tcW w:w="24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1"/>
              </w:rPr>
              <w:t>100%</w:t>
            </w: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Over $5,000,000</w:t>
            </w:r>
          </w:p>
        </w:tc>
        <w:tc>
          <w:tcPr>
            <w:tcW w:w="24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4"/>
              </w:rPr>
              <w:t>Commercial Lines</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Initial $750,000</w:t>
            </w:r>
          </w:p>
        </w:tc>
        <w:tc>
          <w:tcPr>
            <w:tcW w:w="24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0"/>
              </w:rPr>
              <w:t>$750,000</w:t>
            </w: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Initial $500,000</w:t>
            </w:r>
          </w:p>
        </w:tc>
        <w:tc>
          <w:tcPr>
            <w:tcW w:w="24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0"/>
              </w:rPr>
              <w:t>$500,000</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7"/>
                <w:szCs w:val="17"/>
                <w:color w:val="auto"/>
                <w:w w:val="91"/>
              </w:rPr>
              <w:t>$750,000 - $4,500,000</w:t>
            </w: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7"/>
                <w:szCs w:val="17"/>
                <w:color w:val="auto"/>
                <w:w w:val="94"/>
              </w:rPr>
              <w:t>None(3)</w:t>
            </w:r>
          </w:p>
        </w:tc>
        <w:tc>
          <w:tcPr>
            <w:tcW w:w="2420" w:type="dxa"/>
            <w:vAlign w:val="bottom"/>
            <w:gridSpan w:val="2"/>
          </w:tcPr>
          <w:p>
            <w:pPr>
              <w:jc w:val="center"/>
              <w:ind w:left="14"/>
              <w:spacing w:after="0"/>
              <w:rPr>
                <w:sz w:val="20"/>
                <w:szCs w:val="20"/>
                <w:color w:val="auto"/>
              </w:rPr>
            </w:pPr>
            <w:r>
              <w:rPr>
                <w:rFonts w:ascii="Arial" w:cs="Arial" w:eastAsia="Arial" w:hAnsi="Arial"/>
                <w:sz w:val="17"/>
                <w:szCs w:val="17"/>
                <w:color w:val="auto"/>
                <w:w w:val="91"/>
              </w:rPr>
              <w:t>$500,000 - $4,500,000</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7"/>
                <w:szCs w:val="17"/>
                <w:color w:val="auto"/>
                <w:w w:val="94"/>
              </w:rPr>
              <w:t>None(3)</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Over $4,500,000</w:t>
            </w:r>
          </w:p>
        </w:tc>
        <w:tc>
          <w:tcPr>
            <w:tcW w:w="24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1"/>
              </w:rPr>
              <w:t>100%</w:t>
            </w: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Over $4,500,000</w:t>
            </w:r>
          </w:p>
        </w:tc>
        <w:tc>
          <w:tcPr>
            <w:tcW w:w="24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4"/>
              </w:rPr>
              <w:t>Commercial Umbrella</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Initial $1,000,000</w:t>
            </w:r>
          </w:p>
        </w:tc>
        <w:tc>
          <w:tcPr>
            <w:tcW w:w="24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0"/>
              </w:rPr>
              <w:t>$100,000</w:t>
            </w: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Initial $1,000,000</w:t>
            </w:r>
          </w:p>
        </w:tc>
        <w:tc>
          <w:tcPr>
            <w:tcW w:w="24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0"/>
              </w:rPr>
              <w:t>$100,000</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7"/>
                <w:szCs w:val="17"/>
                <w:color w:val="auto"/>
                <w:w w:val="90"/>
              </w:rPr>
              <w:t>$1,000,000 - $5,000,000</w:t>
            </w: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2420" w:type="dxa"/>
            <w:vAlign w:val="bottom"/>
            <w:gridSpan w:val="2"/>
          </w:tcPr>
          <w:p>
            <w:pPr>
              <w:jc w:val="center"/>
              <w:ind w:left="34"/>
              <w:spacing w:after="0"/>
              <w:rPr>
                <w:sz w:val="20"/>
                <w:szCs w:val="20"/>
                <w:color w:val="auto"/>
              </w:rPr>
            </w:pPr>
            <w:r>
              <w:rPr>
                <w:rFonts w:ascii="Arial" w:cs="Arial" w:eastAsia="Arial" w:hAnsi="Arial"/>
                <w:sz w:val="17"/>
                <w:szCs w:val="17"/>
                <w:color w:val="auto"/>
                <w:w w:val="91"/>
              </w:rPr>
              <w:t>$1,000,000 - $5,000,000</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Over $5,000,000</w:t>
            </w:r>
          </w:p>
        </w:tc>
        <w:tc>
          <w:tcPr>
            <w:tcW w:w="24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1"/>
              </w:rPr>
              <w:t>100%</w:t>
            </w: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Over $5,000,000</w:t>
            </w:r>
          </w:p>
        </w:tc>
        <w:tc>
          <w:tcPr>
            <w:tcW w:w="24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Catastrophe (4)</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Initial $5,000,000</w:t>
            </w:r>
          </w:p>
        </w:tc>
        <w:tc>
          <w:tcPr>
            <w:tcW w:w="244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1"/>
              </w:rPr>
              <w:t>$4,000,000</w:t>
            </w: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Initial $5,000,000</w:t>
            </w:r>
          </w:p>
        </w:tc>
        <w:tc>
          <w:tcPr>
            <w:tcW w:w="240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1"/>
              </w:rPr>
              <w:t>$3,000,000</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7"/>
                <w:szCs w:val="17"/>
                <w:color w:val="auto"/>
                <w:w w:val="92"/>
              </w:rPr>
              <w:t>$5,000,000 - $320,000,000</w:t>
            </w: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2420" w:type="dxa"/>
            <w:vAlign w:val="bottom"/>
            <w:gridSpan w:val="2"/>
          </w:tcPr>
          <w:p>
            <w:pPr>
              <w:jc w:val="center"/>
              <w:ind w:left="34"/>
              <w:spacing w:after="0"/>
              <w:rPr>
                <w:sz w:val="20"/>
                <w:szCs w:val="20"/>
                <w:color w:val="auto"/>
              </w:rPr>
            </w:pPr>
            <w:r>
              <w:rPr>
                <w:rFonts w:ascii="Arial" w:cs="Arial" w:eastAsia="Arial" w:hAnsi="Arial"/>
                <w:sz w:val="17"/>
                <w:szCs w:val="17"/>
                <w:color w:val="auto"/>
                <w:w w:val="91"/>
              </w:rPr>
              <w:t>$5,000,000 - $252,000,000</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Over $320,000,000</w:t>
            </w:r>
          </w:p>
        </w:tc>
        <w:tc>
          <w:tcPr>
            <w:tcW w:w="24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1"/>
              </w:rPr>
              <w:t>100%</w:t>
            </w: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Over $252,000,000</w:t>
            </w:r>
          </w:p>
        </w:tc>
        <w:tc>
          <w:tcPr>
            <w:tcW w:w="24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320" w:hanging="314"/>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Treaty for July 1, 2017 – June 30, 2018 is a two year treaty with expiration date of June 30, 2019.</w:t>
      </w:r>
    </w:p>
    <w:p>
      <w:pPr>
        <w:spacing w:after="0" w:line="21" w:lineRule="exact"/>
        <w:rPr>
          <w:rFonts w:ascii="Arial" w:cs="Arial" w:eastAsia="Arial" w:hAnsi="Arial"/>
          <w:sz w:val="17"/>
          <w:szCs w:val="17"/>
          <w:color w:val="auto"/>
        </w:rPr>
      </w:pPr>
    </w:p>
    <w:p>
      <w:pPr>
        <w:ind w:left="320" w:hanging="314"/>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6" w:lineRule="exact"/>
        <w:rPr>
          <w:rFonts w:ascii="Arial" w:cs="Arial" w:eastAsia="Arial" w:hAnsi="Arial"/>
          <w:sz w:val="17"/>
          <w:szCs w:val="17"/>
          <w:color w:val="auto"/>
        </w:rPr>
      </w:pPr>
    </w:p>
    <w:p>
      <w:pPr>
        <w:ind w:left="320" w:hanging="314"/>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6" w:lineRule="exact"/>
        <w:rPr>
          <w:rFonts w:ascii="Arial" w:cs="Arial" w:eastAsia="Arial" w:hAnsi="Arial"/>
          <w:sz w:val="17"/>
          <w:szCs w:val="17"/>
          <w:color w:val="auto"/>
        </w:rPr>
      </w:pPr>
    </w:p>
    <w:p>
      <w:pPr>
        <w:ind w:left="320" w:hanging="314"/>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68"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That May Affect Future Results and Financial Condition</w:t>
      </w:r>
    </w:p>
    <w:p>
      <w:pPr>
        <w:spacing w:after="0" w:line="168"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6"/>
          <w:szCs w:val="16"/>
          <w:color w:val="auto"/>
        </w:rPr>
        <w:t>Based upon the factors set forth under “Factors That May Affect Future Results and Financial Condition” in Item 7 of our Annual Report on Form 10-K for the year ended December 31, 2017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our periodic reports, including this Quarterly Report.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Quantitative and Qualitative Disclosures About Market Risk</w:t>
      </w:r>
      <w:r>
        <w:rPr>
          <w:rFonts w:ascii="Arial" w:cs="Arial" w:eastAsia="Arial" w:hAnsi="Arial"/>
          <w:sz w:val="17"/>
          <w:szCs w:val="17"/>
          <w:color w:val="auto"/>
        </w:rPr>
        <w:t>.</w:t>
      </w:r>
    </w:p>
    <w:p>
      <w:pPr>
        <w:spacing w:after="0" w:line="234"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Our market risk factors have not changed materially since they were described in our Quarterly Report on Form 10-Q for the period ended March 31, 2018 (filed May 9, 2018) in “Quantitative and Qualitative Disclosures About Market Risk” in Item 3 of Part I.</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75" w:right="17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u w:val="single" w:color="auto"/>
          <w:color w:val="auto"/>
        </w:rPr>
        <w:t>Controls and Procedures</w:t>
      </w:r>
      <w:r>
        <w:rPr>
          <w:rFonts w:ascii="Arial" w:cs="Arial" w:eastAsia="Arial" w:hAnsi="Arial"/>
          <w:sz w:val="17"/>
          <w:szCs w:val="17"/>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maintain disclosure controls and procedures (as defined in Securities Exchange Act of 1934 Rule 13a-15(e)) that are designed to assure that information required to be disclosed in the reports the Company files or submits under the Securities Exchange Act of 1934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117" w:lineRule="exact"/>
        <w:rPr>
          <w:sz w:val="20"/>
          <w:szCs w:val="20"/>
          <w:color w:val="auto"/>
        </w:rPr>
      </w:pPr>
    </w:p>
    <w:p>
      <w:pPr>
        <w:jc w:val="both"/>
        <w:ind w:firstLine="636"/>
        <w:spacing w:after="0" w:line="298" w:lineRule="auto"/>
        <w:rPr>
          <w:sz w:val="20"/>
          <w:szCs w:val="20"/>
          <w:color w:val="auto"/>
        </w:rPr>
      </w:pPr>
      <w:r>
        <w:rPr>
          <w:rFonts w:ascii="Arial" w:cs="Arial" w:eastAsia="Arial" w:hAnsi="Arial"/>
          <w:sz w:val="16"/>
          <w:szCs w:val="16"/>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September 30, 2018.</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62"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69" w:right="17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7"/>
          <w:szCs w:val="17"/>
          <w:b w:val="1"/>
          <w:bCs w:val="1"/>
          <w:color w:val="auto"/>
        </w:rPr>
        <w:t xml:space="preserve">PART II. </w:t>
      </w:r>
      <w:r>
        <w:rPr>
          <w:rFonts w:ascii="Arial" w:cs="Arial" w:eastAsia="Arial" w:hAnsi="Arial"/>
          <w:sz w:val="17"/>
          <w:szCs w:val="17"/>
          <w:b w:val="1"/>
          <w:bCs w:val="1"/>
          <w:u w:val="single" w:color="auto"/>
          <w:color w:val="auto"/>
        </w:rPr>
        <w:t>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u w:val="single" w:color="auto"/>
          <w:color w:val="auto"/>
        </w:rPr>
        <w:t>Legal Proceedings</w:t>
      </w:r>
      <w:r>
        <w:rPr>
          <w:rFonts w:ascii="Arial" w:cs="Arial" w:eastAsia="Arial" w:hAnsi="Arial"/>
          <w:sz w:val="17"/>
          <w:szCs w:val="17"/>
          <w:color w:val="auto"/>
        </w:rPr>
        <w:t>.</w:t>
      </w:r>
    </w:p>
    <w:p>
      <w:pPr>
        <w:spacing w:after="0" w:line="234" w:lineRule="exact"/>
        <w:rPr>
          <w:sz w:val="20"/>
          <w:szCs w:val="20"/>
          <w:color w:val="auto"/>
        </w:rPr>
      </w:pPr>
    </w:p>
    <w:p>
      <w:pPr>
        <w:jc w:val="center"/>
        <w:ind w:right="9860"/>
        <w:spacing w:after="0"/>
        <w:rPr>
          <w:sz w:val="20"/>
          <w:szCs w:val="20"/>
          <w:color w:val="auto"/>
        </w:rPr>
      </w:pPr>
      <w:r>
        <w:rPr>
          <w:rFonts w:ascii="Arial" w:cs="Arial" w:eastAsia="Arial" w:hAnsi="Arial"/>
          <w:sz w:val="17"/>
          <w:szCs w:val="17"/>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u w:val="single" w:color="auto"/>
          <w:color w:val="auto"/>
        </w:rPr>
        <w:t>Risk Factors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-5080</wp:posOffset>
            </wp:positionV>
            <wp:extent cx="273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14"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17"/>
          <w:szCs w:val="17"/>
          <w:color w:val="auto"/>
        </w:rPr>
        <w:t>Our exposure to risk has not changed materially since described in our Annual Report on Form 10-K for the year ended December 31, 2017 (filed March 15, 2018) in “Management’s Discussion and Analysis of Financial Condition and Results of Operations – Factors That May Affect Future Results and Financial Condition” in Item 7.</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u w:val="single" w:color="auto"/>
          <w:color w:val="auto"/>
        </w:rPr>
        <w:t>Unregistered Sales of Equity Securities and Use of Proceeds</w:t>
      </w:r>
      <w:r>
        <w:rPr>
          <w:rFonts w:ascii="Arial" w:cs="Arial" w:eastAsia="Arial" w:hAnsi="Arial"/>
          <w:sz w:val="17"/>
          <w:szCs w:val="17"/>
          <w:color w:val="auto"/>
        </w:rPr>
        <w:t>.</w:t>
      </w:r>
    </w:p>
    <w:p>
      <w:pPr>
        <w:spacing w:after="0" w:line="168" w:lineRule="exact"/>
        <w:rPr>
          <w:sz w:val="20"/>
          <w:szCs w:val="20"/>
          <w:color w:val="auto"/>
        </w:rPr>
      </w:pPr>
    </w:p>
    <w:p>
      <w:pPr>
        <w:ind w:left="920" w:hanging="278"/>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None.</w:t>
      </w:r>
    </w:p>
    <w:p>
      <w:pPr>
        <w:spacing w:after="0" w:line="228" w:lineRule="exact"/>
        <w:rPr>
          <w:rFonts w:ascii="Arial" w:cs="Arial" w:eastAsia="Arial" w:hAnsi="Arial"/>
          <w:sz w:val="17"/>
          <w:szCs w:val="17"/>
          <w:color w:val="auto"/>
        </w:rPr>
      </w:pPr>
    </w:p>
    <w:p>
      <w:pPr>
        <w:ind w:left="920" w:hanging="278"/>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28" w:lineRule="exact"/>
        <w:rPr>
          <w:rFonts w:ascii="Arial" w:cs="Arial" w:eastAsia="Arial" w:hAnsi="Arial"/>
          <w:sz w:val="17"/>
          <w:szCs w:val="17"/>
          <w:color w:val="auto"/>
        </w:rPr>
      </w:pPr>
    </w:p>
    <w:p>
      <w:pPr>
        <w:ind w:left="960" w:hanging="318"/>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There were no purchases of common stock made by us or any “affiliated purchaser” during the quarter ended September 30, 2018.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Defaults Upon Senior Securities</w:t>
      </w:r>
      <w:r>
        <w:rPr>
          <w:rFonts w:ascii="Arial" w:cs="Arial" w:eastAsia="Arial" w:hAnsi="Arial"/>
          <w:sz w:val="17"/>
          <w:szCs w:val="17"/>
          <w:color w:val="auto"/>
        </w:rPr>
        <w:t>.</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22" w:lineRule="exact"/>
        <w:rPr>
          <w:sz w:val="20"/>
          <w:szCs w:val="20"/>
          <w:color w:val="auto"/>
        </w:rPr>
      </w:pPr>
    </w:p>
    <w:p>
      <w:pPr>
        <w:jc w:val="center"/>
        <w:ind w:right="9200"/>
        <w:spacing w:after="0"/>
        <w:rPr>
          <w:sz w:val="20"/>
          <w:szCs w:val="20"/>
          <w:color w:val="auto"/>
        </w:rPr>
      </w:pPr>
      <w:r>
        <w:rPr>
          <w:rFonts w:ascii="Arial" w:cs="Arial" w:eastAsia="Arial" w:hAnsi="Arial"/>
          <w:sz w:val="15"/>
          <w:szCs w:val="15"/>
          <w:b w:val="1"/>
          <w:bCs w:val="1"/>
          <w:color w:val="auto"/>
        </w:rPr>
        <w:t xml:space="preserve">Item 4. </w:t>
      </w:r>
      <w:r>
        <w:rPr>
          <w:rFonts w:ascii="Arial" w:cs="Arial" w:eastAsia="Arial" w:hAnsi="Arial"/>
          <w:sz w:val="15"/>
          <w:szCs w:val="15"/>
          <w:b w:val="1"/>
          <w:bCs w:val="1"/>
          <w:u w:val="single" w:color="auto"/>
          <w:color w:val="auto"/>
        </w:rPr>
        <w:t>Mine Safety Disclosures</w:t>
      </w:r>
      <w:r>
        <w:rPr>
          <w:rFonts w:ascii="Arial" w:cs="Arial" w:eastAsia="Arial" w:hAnsi="Arial"/>
          <w:sz w:val="15"/>
          <w:szCs w:val="15"/>
          <w:color w:val="auto"/>
        </w:rPr>
        <w:t>.</w:t>
      </w:r>
    </w:p>
    <w:p>
      <w:pPr>
        <w:spacing w:after="0" w:line="2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u w:val="single" w:color="auto"/>
          <w:color w:val="auto"/>
        </w:rPr>
        <w:t>Other Information</w:t>
      </w:r>
      <w:r>
        <w:rPr>
          <w:rFonts w:ascii="Arial" w:cs="Arial" w:eastAsia="Arial" w:hAnsi="Arial"/>
          <w:sz w:val="17"/>
          <w:szCs w:val="17"/>
          <w:color w:val="auto"/>
        </w:rPr>
        <w:t>.</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69" w:right="17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u w:val="single" w:color="auto"/>
          <w:color w:val="auto"/>
        </w:rPr>
        <w:t>Exhibits</w:t>
      </w:r>
      <w:r>
        <w:rPr>
          <w:rFonts w:ascii="Arial" w:cs="Arial" w:eastAsia="Arial" w:hAnsi="Arial"/>
          <w:sz w:val="17"/>
          <w:szCs w:val="17"/>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 w:type="dxa"/>
            <w:vAlign w:val="bottom"/>
            <w:gridSpan w:val="5"/>
            <w:shd w:val="clear" w:color="auto" w:fill="CCEEFF"/>
          </w:tcPr>
          <w:p>
            <w:pPr>
              <w:spacing w:after="0"/>
              <w:rPr>
                <w:rFonts w:ascii="Arial" w:cs="Arial" w:eastAsia="Arial" w:hAnsi="Arial"/>
                <w:sz w:val="17"/>
                <w:szCs w:val="17"/>
                <w:color w:val="0000EE"/>
              </w:rPr>
            </w:pPr>
            <w:hyperlink r:id="rId110">
              <w:r>
                <w:rPr>
                  <w:rFonts w:ascii="Arial" w:cs="Arial" w:eastAsia="Arial" w:hAnsi="Arial"/>
                  <w:sz w:val="17"/>
                  <w:szCs w:val="17"/>
                  <w:color w:val="0000EE"/>
                </w:rPr>
                <w:t>3(a)</w:t>
              </w:r>
            </w:hyperlink>
          </w:p>
        </w:tc>
        <w:tc>
          <w:tcPr>
            <w:tcW w:w="1072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3"/>
              </w:rPr>
              <w:t>Restated Certificate of Incorporation, as amended (incorporated by reference to Exhibit 3(a) to the Company’s Quarterly Report on Form 10-Q for</w:t>
            </w:r>
          </w:p>
        </w:tc>
      </w:tr>
      <w:tr>
        <w:trPr>
          <w:trHeight w:val="232"/>
        </w:trPr>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07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the period ended March 31, 2014 filed on May 15, 2014).</w:t>
            </w:r>
          </w:p>
        </w:tc>
      </w:tr>
      <w:tr>
        <w:trPr>
          <w:trHeight w:val="212"/>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20" w:type="dxa"/>
            <w:vAlign w:val="bottom"/>
          </w:tcPr>
          <w:p>
            <w:pPr>
              <w:spacing w:after="0"/>
              <w:rPr>
                <w:sz w:val="18"/>
                <w:szCs w:val="18"/>
                <w:color w:val="auto"/>
              </w:rPr>
            </w:pPr>
          </w:p>
        </w:tc>
      </w:tr>
      <w:tr>
        <w:trPr>
          <w:trHeight w:val="192"/>
        </w:trPr>
        <w:tc>
          <w:tcPr>
            <w:tcW w:w="840" w:type="dxa"/>
            <w:vAlign w:val="bottom"/>
            <w:gridSpan w:val="5"/>
            <w:shd w:val="clear" w:color="auto" w:fill="CCEEFF"/>
          </w:tcPr>
          <w:p>
            <w:pPr>
              <w:spacing w:after="0" w:line="172" w:lineRule="exact"/>
              <w:rPr>
                <w:rFonts w:ascii="Arial" w:cs="Arial" w:eastAsia="Arial" w:hAnsi="Arial"/>
                <w:sz w:val="17"/>
                <w:szCs w:val="17"/>
                <w:color w:val="0000EE"/>
              </w:rPr>
            </w:pPr>
            <w:hyperlink r:id="rId111">
              <w:r>
                <w:rPr>
                  <w:rFonts w:ascii="Arial" w:cs="Arial" w:eastAsia="Arial" w:hAnsi="Arial"/>
                  <w:sz w:val="17"/>
                  <w:szCs w:val="17"/>
                  <w:color w:val="0000EE"/>
                </w:rPr>
                <w:t>3(b)</w:t>
              </w:r>
            </w:hyperlink>
          </w:p>
        </w:tc>
        <w:tc>
          <w:tcPr>
            <w:tcW w:w="10720" w:type="dxa"/>
            <w:vAlign w:val="bottom"/>
            <w:shd w:val="clear" w:color="auto" w:fill="CCEEFF"/>
          </w:tcPr>
          <w:p>
            <w:pPr>
              <w:ind w:left="460"/>
              <w:spacing w:after="0" w:line="172" w:lineRule="exact"/>
              <w:rPr>
                <w:sz w:val="20"/>
                <w:szCs w:val="20"/>
                <w:color w:val="auto"/>
              </w:rPr>
            </w:pPr>
            <w:r>
              <w:rPr>
                <w:rFonts w:ascii="Arial" w:cs="Arial" w:eastAsia="Arial" w:hAnsi="Arial"/>
                <w:sz w:val="17"/>
                <w:szCs w:val="17"/>
                <w:color w:val="auto"/>
                <w:w w:val="99"/>
              </w:rPr>
              <w:t>By-laws, as amended (incorporated by reference to Exhibit 3.1 to the Company’s current Report on Form 8-K filed on November 9, 2009).</w:t>
            </w:r>
          </w:p>
        </w:tc>
      </w:tr>
      <w:tr>
        <w:trPr>
          <w:trHeight w:val="212"/>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720" w:type="dxa"/>
            <w:vAlign w:val="bottom"/>
            <w:tcBorders>
              <w:top w:val="single" w:sz="8" w:color="CCEEFF"/>
            </w:tcBorders>
          </w:tcPr>
          <w:p>
            <w:pPr>
              <w:spacing w:after="0"/>
              <w:rPr>
                <w:sz w:val="18"/>
                <w:szCs w:val="18"/>
                <w:color w:val="auto"/>
              </w:rPr>
            </w:pPr>
          </w:p>
        </w:tc>
      </w:tr>
      <w:tr>
        <w:trPr>
          <w:trHeight w:val="172"/>
        </w:trPr>
        <w:tc>
          <w:tcPr>
            <w:tcW w:w="840" w:type="dxa"/>
            <w:vAlign w:val="bottom"/>
            <w:gridSpan w:val="5"/>
            <w:shd w:val="clear" w:color="auto" w:fill="CCEEFF"/>
          </w:tcPr>
          <w:p>
            <w:pPr>
              <w:spacing w:after="0" w:line="172" w:lineRule="exact"/>
              <w:rPr>
                <w:rFonts w:ascii="Arial" w:cs="Arial" w:eastAsia="Arial" w:hAnsi="Arial"/>
                <w:sz w:val="17"/>
                <w:szCs w:val="17"/>
                <w:color w:val="0000EE"/>
              </w:rPr>
            </w:pPr>
            <w:hyperlink r:id="rId112">
              <w:r>
                <w:rPr>
                  <w:rFonts w:ascii="Arial" w:cs="Arial" w:eastAsia="Arial" w:hAnsi="Arial"/>
                  <w:sz w:val="17"/>
                  <w:szCs w:val="17"/>
                  <w:color w:val="0000EE"/>
                </w:rPr>
                <w:t>10(a)</w:t>
              </w:r>
            </w:hyperlink>
          </w:p>
        </w:tc>
        <w:tc>
          <w:tcPr>
            <w:tcW w:w="10720" w:type="dxa"/>
            <w:vAlign w:val="bottom"/>
            <w:shd w:val="clear" w:color="auto" w:fill="CCEEFF"/>
          </w:tcPr>
          <w:p>
            <w:pPr>
              <w:ind w:left="460"/>
              <w:spacing w:after="0" w:line="172" w:lineRule="exact"/>
              <w:rPr>
                <w:sz w:val="20"/>
                <w:szCs w:val="20"/>
                <w:color w:val="auto"/>
              </w:rPr>
            </w:pPr>
            <w:r>
              <w:rPr>
                <w:rFonts w:ascii="Arial" w:cs="Arial" w:eastAsia="Arial" w:hAnsi="Arial"/>
                <w:sz w:val="17"/>
                <w:szCs w:val="17"/>
                <w:color w:val="auto"/>
                <w:w w:val="92"/>
              </w:rPr>
              <w:t>Amended and Restated Employment Agreement, dated as of October 16, 2018, by and between Kingstone Companies, Inc. and Barry B. Goldstein</w:t>
            </w:r>
          </w:p>
        </w:tc>
      </w:tr>
      <w:tr>
        <w:trPr>
          <w:trHeight w:val="232"/>
        </w:trPr>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07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(incorporated by reference to Exhibit 10.1 to the Company’s Current Report on Form 8-K filed on October 22, 2018).</w:t>
            </w:r>
          </w:p>
        </w:tc>
      </w:tr>
      <w:tr>
        <w:trPr>
          <w:trHeight w:val="212"/>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20" w:type="dxa"/>
            <w:vAlign w:val="bottom"/>
          </w:tcPr>
          <w:p>
            <w:pPr>
              <w:spacing w:after="0"/>
              <w:rPr>
                <w:sz w:val="18"/>
                <w:szCs w:val="18"/>
                <w:color w:val="auto"/>
              </w:rPr>
            </w:pPr>
          </w:p>
        </w:tc>
      </w:tr>
      <w:tr>
        <w:trPr>
          <w:trHeight w:val="172"/>
        </w:trPr>
        <w:tc>
          <w:tcPr>
            <w:tcW w:w="840" w:type="dxa"/>
            <w:vAlign w:val="bottom"/>
            <w:gridSpan w:val="5"/>
            <w:shd w:val="clear" w:color="auto" w:fill="CCEEFF"/>
          </w:tcPr>
          <w:p>
            <w:pPr>
              <w:spacing w:after="0" w:line="172" w:lineRule="exact"/>
              <w:rPr>
                <w:rFonts w:ascii="Arial" w:cs="Arial" w:eastAsia="Arial" w:hAnsi="Arial"/>
                <w:sz w:val="17"/>
                <w:szCs w:val="17"/>
                <w:color w:val="0000EE"/>
              </w:rPr>
            </w:pPr>
            <w:hyperlink r:id="rId113">
              <w:r>
                <w:rPr>
                  <w:rFonts w:ascii="Arial" w:cs="Arial" w:eastAsia="Arial" w:hAnsi="Arial"/>
                  <w:sz w:val="17"/>
                  <w:szCs w:val="17"/>
                  <w:color w:val="0000EE"/>
                </w:rPr>
                <w:t>10(b)</w:t>
              </w:r>
            </w:hyperlink>
          </w:p>
        </w:tc>
        <w:tc>
          <w:tcPr>
            <w:tcW w:w="10720" w:type="dxa"/>
            <w:vAlign w:val="bottom"/>
            <w:shd w:val="clear" w:color="auto" w:fill="CCEEFF"/>
          </w:tcPr>
          <w:p>
            <w:pPr>
              <w:ind w:left="460"/>
              <w:spacing w:after="0" w:line="172" w:lineRule="exact"/>
              <w:rPr>
                <w:sz w:val="20"/>
                <w:szCs w:val="20"/>
                <w:color w:val="auto"/>
              </w:rPr>
            </w:pPr>
            <w:r>
              <w:rPr>
                <w:rFonts w:ascii="Arial" w:cs="Arial" w:eastAsia="Arial" w:hAnsi="Arial"/>
                <w:sz w:val="17"/>
                <w:szCs w:val="17"/>
                <w:color w:val="auto"/>
                <w:w w:val="91"/>
              </w:rPr>
              <w:t>Employment Agreement, dated as of October 16, 2018, by and between Kingstone Companies, Inc. and Dale A. Thatcher (incorporated by reference</w:t>
            </w:r>
          </w:p>
        </w:tc>
      </w:tr>
      <w:tr>
        <w:trPr>
          <w:trHeight w:val="232"/>
        </w:trPr>
        <w:tc>
          <w:tcPr>
            <w:tcW w:w="2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07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 Exhibit 10.2 to the Company’s Current Report on Form 8-K filed on October 22, 2018).</w:t>
            </w:r>
          </w:p>
        </w:tc>
      </w:tr>
      <w:tr>
        <w:trPr>
          <w:trHeight w:val="212"/>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20" w:type="dxa"/>
            <w:vAlign w:val="bottom"/>
          </w:tcPr>
          <w:p>
            <w:pPr>
              <w:spacing w:after="0"/>
              <w:rPr>
                <w:sz w:val="18"/>
                <w:szCs w:val="18"/>
                <w:color w:val="auto"/>
              </w:rPr>
            </w:pPr>
          </w:p>
        </w:tc>
      </w:tr>
      <w:tr>
        <w:trPr>
          <w:trHeight w:val="192"/>
        </w:trPr>
        <w:tc>
          <w:tcPr>
            <w:tcW w:w="840" w:type="dxa"/>
            <w:vAlign w:val="bottom"/>
            <w:gridSpan w:val="5"/>
            <w:shd w:val="clear" w:color="auto" w:fill="CCEEFF"/>
          </w:tcPr>
          <w:p>
            <w:pPr>
              <w:spacing w:after="0" w:line="172" w:lineRule="exact"/>
              <w:rPr>
                <w:sz w:val="20"/>
                <w:szCs w:val="20"/>
                <w:color w:val="auto"/>
              </w:rPr>
            </w:pPr>
            <w:r>
              <w:rPr>
                <w:rFonts w:ascii="Arial" w:cs="Arial" w:eastAsia="Arial" w:hAnsi="Arial"/>
                <w:sz w:val="17"/>
                <w:szCs w:val="17"/>
                <w:color w:val="0000EE"/>
              </w:rPr>
              <w:t>31(a)</w:t>
            </w:r>
          </w:p>
        </w:tc>
        <w:tc>
          <w:tcPr>
            <w:tcW w:w="10720" w:type="dxa"/>
            <w:vAlign w:val="bottom"/>
            <w:shd w:val="clear" w:color="auto" w:fill="CCEEFF"/>
          </w:tcPr>
          <w:p>
            <w:pPr>
              <w:ind w:left="460"/>
              <w:spacing w:after="0" w:line="172" w:lineRule="exact"/>
              <w:rPr>
                <w:sz w:val="20"/>
                <w:szCs w:val="20"/>
                <w:color w:val="auto"/>
              </w:rPr>
            </w:pPr>
            <w:r>
              <w:rPr>
                <w:rFonts w:ascii="Arial" w:cs="Arial" w:eastAsia="Arial" w:hAnsi="Arial"/>
                <w:sz w:val="17"/>
                <w:szCs w:val="17"/>
                <w:color w:val="auto"/>
                <w:w w:val="97"/>
              </w:rPr>
              <w:t>Rule 13a-14(a)/15d-14(a) Certification of Principal Executive Officer as adopted pursuant to Section 302 of the Sarbanes-Oxley Act of 2002</w:t>
            </w:r>
          </w:p>
        </w:tc>
      </w:tr>
      <w:tr>
        <w:trPr>
          <w:trHeight w:val="212"/>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720" w:type="dxa"/>
            <w:vAlign w:val="bottom"/>
            <w:tcBorders>
              <w:top w:val="single" w:sz="8" w:color="CCEEFF"/>
            </w:tcBorders>
          </w:tcPr>
          <w:p>
            <w:pPr>
              <w:spacing w:after="0"/>
              <w:rPr>
                <w:sz w:val="18"/>
                <w:szCs w:val="18"/>
                <w:color w:val="auto"/>
              </w:rPr>
            </w:pPr>
          </w:p>
        </w:tc>
      </w:tr>
      <w:tr>
        <w:trPr>
          <w:trHeight w:val="192"/>
        </w:trPr>
        <w:tc>
          <w:tcPr>
            <w:tcW w:w="380" w:type="dxa"/>
            <w:vAlign w:val="bottom"/>
            <w:tcBorders>
              <w:bottom w:val="single" w:sz="8" w:color="0000EE"/>
            </w:tcBorders>
            <w:gridSpan w:val="4"/>
            <w:shd w:val="clear" w:color="auto" w:fill="CCEEFF"/>
          </w:tcPr>
          <w:p>
            <w:pPr>
              <w:spacing w:after="0" w:line="172" w:lineRule="exact"/>
              <w:rPr>
                <w:sz w:val="20"/>
                <w:szCs w:val="20"/>
                <w:color w:val="auto"/>
              </w:rPr>
            </w:pPr>
            <w:r>
              <w:rPr>
                <w:rFonts w:ascii="Arial" w:cs="Arial" w:eastAsia="Arial" w:hAnsi="Arial"/>
                <w:sz w:val="17"/>
                <w:szCs w:val="17"/>
                <w:color w:val="0000EE"/>
                <w:w w:val="90"/>
              </w:rPr>
              <w:t>31(b)</w:t>
            </w:r>
          </w:p>
        </w:tc>
        <w:tc>
          <w:tcPr>
            <w:tcW w:w="460" w:type="dxa"/>
            <w:vAlign w:val="bottom"/>
            <w:tcBorders>
              <w:bottom w:val="single" w:sz="8" w:color="CCEEFF"/>
            </w:tcBorders>
            <w:shd w:val="clear" w:color="auto" w:fill="CCEEFF"/>
          </w:tcPr>
          <w:p>
            <w:pPr>
              <w:spacing w:after="0"/>
              <w:rPr>
                <w:sz w:val="16"/>
                <w:szCs w:val="16"/>
                <w:color w:val="auto"/>
              </w:rPr>
            </w:pPr>
          </w:p>
        </w:tc>
        <w:tc>
          <w:tcPr>
            <w:tcW w:w="10720" w:type="dxa"/>
            <w:vAlign w:val="bottom"/>
            <w:tcBorders>
              <w:bottom w:val="single" w:sz="8" w:color="CCEEFF"/>
            </w:tcBorders>
            <w:shd w:val="clear" w:color="auto" w:fill="CCEEFF"/>
          </w:tcPr>
          <w:p>
            <w:pPr>
              <w:ind w:left="460"/>
              <w:spacing w:after="0" w:line="172" w:lineRule="exact"/>
              <w:rPr>
                <w:sz w:val="20"/>
                <w:szCs w:val="20"/>
                <w:color w:val="auto"/>
              </w:rPr>
            </w:pPr>
            <w:r>
              <w:rPr>
                <w:rFonts w:ascii="Arial" w:cs="Arial" w:eastAsia="Arial" w:hAnsi="Arial"/>
                <w:sz w:val="17"/>
                <w:szCs w:val="17"/>
                <w:color w:val="auto"/>
                <w:w w:val="98"/>
              </w:rPr>
              <w:t>Rule 13a-14(a)/15d-14(a) Certification of Principal Financial Officer as adopted pursuant to Section 302 of the Sarbanes-Oxley Act of 2002</w:t>
            </w:r>
          </w:p>
        </w:tc>
      </w:tr>
    </w:tbl>
    <w:p>
      <w:pPr>
        <w:spacing w:after="0" w:line="203" w:lineRule="exact"/>
        <w:rPr>
          <w:sz w:val="20"/>
          <w:szCs w:val="20"/>
          <w:color w:val="auto"/>
        </w:rPr>
      </w:pPr>
    </w:p>
    <w:p>
      <w:pPr>
        <w:ind w:left="1300" w:right="80" w:hanging="1294"/>
        <w:spacing w:after="0" w:line="287" w:lineRule="auto"/>
        <w:tabs>
          <w:tab w:leader="none" w:pos="1300" w:val="left"/>
        </w:tabs>
        <w:numPr>
          <w:ilvl w:val="0"/>
          <w:numId w:val="23"/>
        </w:numPr>
        <w:rPr>
          <w:rFonts w:ascii="Arial" w:cs="Arial" w:eastAsia="Arial" w:hAnsi="Arial"/>
          <w:sz w:val="17"/>
          <w:szCs w:val="17"/>
          <w:u w:val="single" w:color="auto"/>
          <w:color w:val="0000EE"/>
        </w:rPr>
      </w:pPr>
      <w:r>
        <w:rPr>
          <w:rFonts w:ascii="Arial" w:cs="Arial" w:eastAsia="Arial" w:hAnsi="Arial"/>
          <w:sz w:val="17"/>
          <w:szCs w:val="17"/>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-290830</wp:posOffset>
            </wp:positionV>
            <wp:extent cx="7340600" cy="269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340600" cy="26924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101.INS</w:t>
            </w:r>
          </w:p>
        </w:tc>
        <w:tc>
          <w:tcPr>
            <w:tcW w:w="10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XBRL Instance Document</w:t>
            </w:r>
          </w:p>
        </w:tc>
      </w:tr>
      <w:tr>
        <w:trPr>
          <w:trHeight w:val="212"/>
        </w:trPr>
        <w:tc>
          <w:tcPr>
            <w:tcW w:w="980" w:type="dxa"/>
            <w:vAlign w:val="bottom"/>
          </w:tcPr>
          <w:p>
            <w:pPr>
              <w:spacing w:after="0"/>
              <w:rPr>
                <w:sz w:val="18"/>
                <w:szCs w:val="18"/>
                <w:color w:val="auto"/>
              </w:rPr>
            </w:pPr>
          </w:p>
        </w:tc>
        <w:tc>
          <w:tcPr>
            <w:tcW w:w="10580" w:type="dxa"/>
            <w:vAlign w:val="bottom"/>
          </w:tcPr>
          <w:p>
            <w:pPr>
              <w:spacing w:after="0"/>
              <w:rPr>
                <w:sz w:val="18"/>
                <w:szCs w:val="18"/>
                <w:color w:val="auto"/>
              </w:rPr>
            </w:pPr>
          </w:p>
        </w:tc>
      </w:tr>
      <w:tr>
        <w:trPr>
          <w:trHeight w:val="212"/>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101.SCH</w:t>
            </w:r>
          </w:p>
        </w:tc>
        <w:tc>
          <w:tcPr>
            <w:tcW w:w="10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101.SCH XBRL Taxonomy Extension Schema.</w:t>
            </w:r>
          </w:p>
        </w:tc>
      </w:tr>
      <w:tr>
        <w:trPr>
          <w:trHeight w:val="212"/>
        </w:trPr>
        <w:tc>
          <w:tcPr>
            <w:tcW w:w="980" w:type="dxa"/>
            <w:vAlign w:val="bottom"/>
          </w:tcPr>
          <w:p>
            <w:pPr>
              <w:spacing w:after="0"/>
              <w:rPr>
                <w:sz w:val="18"/>
                <w:szCs w:val="18"/>
                <w:color w:val="auto"/>
              </w:rPr>
            </w:pPr>
          </w:p>
        </w:tc>
        <w:tc>
          <w:tcPr>
            <w:tcW w:w="10580" w:type="dxa"/>
            <w:vAlign w:val="bottom"/>
          </w:tcPr>
          <w:p>
            <w:pPr>
              <w:spacing w:after="0"/>
              <w:rPr>
                <w:sz w:val="18"/>
                <w:szCs w:val="18"/>
                <w:color w:val="auto"/>
              </w:rPr>
            </w:pPr>
          </w:p>
        </w:tc>
      </w:tr>
      <w:tr>
        <w:trPr>
          <w:trHeight w:val="212"/>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101.CAL</w:t>
            </w:r>
          </w:p>
        </w:tc>
        <w:tc>
          <w:tcPr>
            <w:tcW w:w="10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101.CAL XBRL Taxonomy Extension Calculation Linkbase.</w:t>
            </w:r>
          </w:p>
        </w:tc>
      </w:tr>
      <w:tr>
        <w:trPr>
          <w:trHeight w:val="212"/>
        </w:trPr>
        <w:tc>
          <w:tcPr>
            <w:tcW w:w="980" w:type="dxa"/>
            <w:vAlign w:val="bottom"/>
          </w:tcPr>
          <w:p>
            <w:pPr>
              <w:spacing w:after="0"/>
              <w:rPr>
                <w:sz w:val="18"/>
                <w:szCs w:val="18"/>
                <w:color w:val="auto"/>
              </w:rPr>
            </w:pPr>
          </w:p>
        </w:tc>
        <w:tc>
          <w:tcPr>
            <w:tcW w:w="10580" w:type="dxa"/>
            <w:vAlign w:val="bottom"/>
          </w:tcPr>
          <w:p>
            <w:pPr>
              <w:spacing w:after="0"/>
              <w:rPr>
                <w:sz w:val="18"/>
                <w:szCs w:val="18"/>
                <w:color w:val="auto"/>
              </w:rPr>
            </w:pPr>
          </w:p>
        </w:tc>
      </w:tr>
      <w:tr>
        <w:trPr>
          <w:trHeight w:val="212"/>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10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101.DEF XBRL Taxonomy Extension Definition Linkbase.</w:t>
            </w:r>
          </w:p>
        </w:tc>
      </w:tr>
      <w:tr>
        <w:trPr>
          <w:trHeight w:val="212"/>
        </w:trPr>
        <w:tc>
          <w:tcPr>
            <w:tcW w:w="980" w:type="dxa"/>
            <w:vAlign w:val="bottom"/>
          </w:tcPr>
          <w:p>
            <w:pPr>
              <w:spacing w:after="0"/>
              <w:rPr>
                <w:sz w:val="18"/>
                <w:szCs w:val="18"/>
                <w:color w:val="auto"/>
              </w:rPr>
            </w:pPr>
          </w:p>
        </w:tc>
        <w:tc>
          <w:tcPr>
            <w:tcW w:w="10580" w:type="dxa"/>
            <w:vAlign w:val="bottom"/>
          </w:tcPr>
          <w:p>
            <w:pPr>
              <w:spacing w:after="0"/>
              <w:rPr>
                <w:sz w:val="18"/>
                <w:szCs w:val="18"/>
                <w:color w:val="auto"/>
              </w:rPr>
            </w:pPr>
          </w:p>
        </w:tc>
      </w:tr>
      <w:tr>
        <w:trPr>
          <w:trHeight w:val="212"/>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101.LAB</w:t>
            </w:r>
          </w:p>
        </w:tc>
        <w:tc>
          <w:tcPr>
            <w:tcW w:w="10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101.LAB XBRL Taxonomy Extension Label Linkbase.</w:t>
            </w:r>
          </w:p>
        </w:tc>
      </w:tr>
      <w:tr>
        <w:trPr>
          <w:trHeight w:val="212"/>
        </w:trPr>
        <w:tc>
          <w:tcPr>
            <w:tcW w:w="980" w:type="dxa"/>
            <w:vAlign w:val="bottom"/>
          </w:tcPr>
          <w:p>
            <w:pPr>
              <w:spacing w:after="0"/>
              <w:rPr>
                <w:sz w:val="18"/>
                <w:szCs w:val="18"/>
                <w:color w:val="auto"/>
              </w:rPr>
            </w:pPr>
          </w:p>
        </w:tc>
        <w:tc>
          <w:tcPr>
            <w:tcW w:w="10580" w:type="dxa"/>
            <w:vAlign w:val="bottom"/>
          </w:tcPr>
          <w:p>
            <w:pPr>
              <w:spacing w:after="0"/>
              <w:rPr>
                <w:sz w:val="18"/>
                <w:szCs w:val="18"/>
                <w:color w:val="auto"/>
              </w:rPr>
            </w:pPr>
          </w:p>
        </w:tc>
      </w:tr>
      <w:tr>
        <w:trPr>
          <w:trHeight w:val="212"/>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101.PRE</w:t>
            </w:r>
          </w:p>
        </w:tc>
        <w:tc>
          <w:tcPr>
            <w:tcW w:w="10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101.PRE 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3406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469" w:right="17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7"/>
          <w:szCs w:val="17"/>
          <w:b w:val="1"/>
          <w:bCs w:val="1"/>
          <w:u w:val="single" w:color="auto"/>
          <w:color w:val="auto"/>
        </w:rPr>
        <w:t>SIGNATURES</w:t>
      </w:r>
    </w:p>
    <w:p>
      <w:pPr>
        <w:spacing w:after="0" w:line="234" w:lineRule="exact"/>
        <w:rPr>
          <w:sz w:val="20"/>
          <w:szCs w:val="20"/>
          <w:color w:val="auto"/>
        </w:rPr>
      </w:pPr>
    </w:p>
    <w:p>
      <w:pPr>
        <w:ind w:firstLine="636"/>
        <w:spacing w:after="0" w:line="28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spacing w:after="0"/>
              <w:rPr>
                <w:sz w:val="19"/>
                <w:szCs w:val="19"/>
                <w:color w:val="auto"/>
              </w:rPr>
            </w:pPr>
          </w:p>
        </w:tc>
        <w:tc>
          <w:tcPr>
            <w:tcW w:w="6380" w:type="dxa"/>
            <w:vAlign w:val="bottom"/>
            <w:gridSpan w:val="2"/>
          </w:tcPr>
          <w:p>
            <w:pPr>
              <w:ind w:left="2000"/>
              <w:spacing w:after="0"/>
              <w:rPr>
                <w:sz w:val="20"/>
                <w:szCs w:val="20"/>
                <w:color w:val="auto"/>
              </w:rPr>
            </w:pPr>
            <w:r>
              <w:rPr>
                <w:rFonts w:ascii="Arial" w:cs="Arial" w:eastAsia="Arial" w:hAnsi="Arial"/>
                <w:sz w:val="17"/>
                <w:szCs w:val="17"/>
                <w:b w:val="1"/>
                <w:bCs w:val="1"/>
                <w:color w:val="auto"/>
              </w:rPr>
              <w:t>KINGSTONE COMPANIES, INC.</w:t>
            </w:r>
          </w:p>
        </w:tc>
        <w:tc>
          <w:tcPr>
            <w:tcW w:w="1380" w:type="dxa"/>
            <w:vAlign w:val="bottom"/>
          </w:tcPr>
          <w:p>
            <w:pPr>
              <w:spacing w:after="0"/>
              <w:rPr>
                <w:sz w:val="19"/>
                <w:szCs w:val="19"/>
                <w:color w:val="auto"/>
              </w:rPr>
            </w:pPr>
          </w:p>
        </w:tc>
      </w:tr>
      <w:tr>
        <w:trPr>
          <w:trHeight w:val="446"/>
        </w:trPr>
        <w:tc>
          <w:tcPr>
            <w:tcW w:w="3800" w:type="dxa"/>
            <w:vAlign w:val="bottom"/>
          </w:tcPr>
          <w:p>
            <w:pPr>
              <w:spacing w:after="0"/>
              <w:rPr>
                <w:sz w:val="20"/>
                <w:szCs w:val="20"/>
                <w:color w:val="auto"/>
              </w:rPr>
            </w:pPr>
            <w:r>
              <w:rPr>
                <w:rFonts w:ascii="Arial" w:cs="Arial" w:eastAsia="Arial" w:hAnsi="Arial"/>
                <w:sz w:val="17"/>
                <w:szCs w:val="17"/>
                <w:color w:val="auto"/>
              </w:rPr>
              <w:t>Dated: November 8, 2018</w:t>
            </w:r>
          </w:p>
        </w:tc>
        <w:tc>
          <w:tcPr>
            <w:tcW w:w="6380" w:type="dxa"/>
            <w:vAlign w:val="bottom"/>
            <w:gridSpan w:val="2"/>
          </w:tcPr>
          <w:p>
            <w:pPr>
              <w:ind w:left="2000"/>
              <w:spacing w:after="0"/>
              <w:rPr>
                <w:sz w:val="20"/>
                <w:szCs w:val="20"/>
                <w:color w:val="auto"/>
              </w:rPr>
            </w:pPr>
            <w:r>
              <w:rPr>
                <w:rFonts w:ascii="Arial" w:cs="Arial" w:eastAsia="Arial" w:hAnsi="Arial"/>
                <w:sz w:val="17"/>
                <w:szCs w:val="17"/>
                <w:color w:val="auto"/>
              </w:rPr>
              <w:t>By:  /s/ Barry B. Goldstein</w:t>
            </w:r>
          </w:p>
        </w:tc>
        <w:tc>
          <w:tcPr>
            <w:tcW w:w="1380" w:type="dxa"/>
            <w:vAlign w:val="bottom"/>
          </w:tcPr>
          <w:p>
            <w:pPr>
              <w:spacing w:after="0"/>
              <w:rPr>
                <w:sz w:val="24"/>
                <w:szCs w:val="24"/>
                <w:color w:val="auto"/>
              </w:rPr>
            </w:pPr>
          </w:p>
        </w:tc>
      </w:tr>
      <w:tr>
        <w:trPr>
          <w:trHeight w:val="203"/>
        </w:trPr>
        <w:tc>
          <w:tcPr>
            <w:tcW w:w="38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Barry B. Goldstein</w:t>
            </w:r>
          </w:p>
        </w:tc>
        <w:tc>
          <w:tcPr>
            <w:tcW w:w="1380" w:type="dxa"/>
            <w:vAlign w:val="bottom"/>
          </w:tcPr>
          <w:p>
            <w:pPr>
              <w:spacing w:after="0"/>
              <w:rPr>
                <w:sz w:val="17"/>
                <w:szCs w:val="17"/>
                <w:color w:val="auto"/>
              </w:rPr>
            </w:pPr>
          </w:p>
        </w:tc>
      </w:tr>
      <w:tr>
        <w:trPr>
          <w:trHeight w:val="217"/>
        </w:trPr>
        <w:tc>
          <w:tcPr>
            <w:tcW w:w="3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President</w:t>
            </w:r>
          </w:p>
        </w:tc>
        <w:tc>
          <w:tcPr>
            <w:tcW w:w="1380" w:type="dxa"/>
            <w:vAlign w:val="bottom"/>
          </w:tcPr>
          <w:p>
            <w:pPr>
              <w:spacing w:after="0"/>
              <w:rPr>
                <w:sz w:val="18"/>
                <w:szCs w:val="18"/>
                <w:color w:val="auto"/>
              </w:rPr>
            </w:pPr>
          </w:p>
        </w:tc>
      </w:tr>
      <w:tr>
        <w:trPr>
          <w:trHeight w:val="658"/>
        </w:trPr>
        <w:tc>
          <w:tcPr>
            <w:tcW w:w="3800" w:type="dxa"/>
            <w:vAlign w:val="bottom"/>
          </w:tcPr>
          <w:p>
            <w:pPr>
              <w:spacing w:after="0"/>
              <w:rPr>
                <w:sz w:val="20"/>
                <w:szCs w:val="20"/>
                <w:color w:val="auto"/>
              </w:rPr>
            </w:pPr>
            <w:r>
              <w:rPr>
                <w:rFonts w:ascii="Arial" w:cs="Arial" w:eastAsia="Arial" w:hAnsi="Arial"/>
                <w:sz w:val="17"/>
                <w:szCs w:val="17"/>
                <w:color w:val="auto"/>
              </w:rPr>
              <w:t>Dated: November 8, 2018</w:t>
            </w:r>
          </w:p>
        </w:tc>
        <w:tc>
          <w:tcPr>
            <w:tcW w:w="6380" w:type="dxa"/>
            <w:vAlign w:val="bottom"/>
            <w:gridSpan w:val="2"/>
          </w:tcPr>
          <w:p>
            <w:pPr>
              <w:ind w:left="2000"/>
              <w:spacing w:after="0"/>
              <w:rPr>
                <w:sz w:val="20"/>
                <w:szCs w:val="20"/>
                <w:color w:val="auto"/>
              </w:rPr>
            </w:pPr>
            <w:r>
              <w:rPr>
                <w:rFonts w:ascii="Arial" w:cs="Arial" w:eastAsia="Arial" w:hAnsi="Arial"/>
                <w:sz w:val="17"/>
                <w:szCs w:val="17"/>
                <w:color w:val="auto"/>
              </w:rPr>
              <w:t>By:  /s/ Victor Brodsky</w:t>
            </w:r>
          </w:p>
        </w:tc>
        <w:tc>
          <w:tcPr>
            <w:tcW w:w="1380" w:type="dxa"/>
            <w:vAlign w:val="bottom"/>
          </w:tcPr>
          <w:p>
            <w:pPr>
              <w:spacing w:after="0"/>
              <w:rPr>
                <w:sz w:val="24"/>
                <w:szCs w:val="24"/>
                <w:color w:val="auto"/>
              </w:rPr>
            </w:pPr>
          </w:p>
        </w:tc>
      </w:tr>
      <w:tr>
        <w:trPr>
          <w:trHeight w:val="203"/>
        </w:trPr>
        <w:tc>
          <w:tcPr>
            <w:tcW w:w="38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Victor Brodsky</w:t>
            </w:r>
          </w:p>
        </w:tc>
        <w:tc>
          <w:tcPr>
            <w:tcW w:w="1380" w:type="dxa"/>
            <w:vAlign w:val="bottom"/>
          </w:tcPr>
          <w:p>
            <w:pPr>
              <w:spacing w:after="0"/>
              <w:rPr>
                <w:sz w:val="17"/>
                <w:szCs w:val="17"/>
                <w:color w:val="auto"/>
              </w:rPr>
            </w:pPr>
          </w:p>
        </w:tc>
      </w:tr>
      <w:tr>
        <w:trPr>
          <w:trHeight w:val="217"/>
        </w:trPr>
        <w:tc>
          <w:tcPr>
            <w:tcW w:w="3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1380" w:type="dxa"/>
            <w:vAlign w:val="bottom"/>
          </w:tcPr>
          <w:p>
            <w:pPr>
              <w:spacing w:after="0"/>
              <w:rPr>
                <w:sz w:val="18"/>
                <w:szCs w:val="18"/>
                <w:color w:val="auto"/>
              </w:rPr>
            </w:pPr>
          </w:p>
        </w:tc>
      </w:tr>
      <w:tr>
        <w:trPr>
          <w:trHeight w:val="784"/>
        </w:trPr>
        <w:tc>
          <w:tcPr>
            <w:tcW w:w="38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560"/>
          </w:cols>
          <w:pgMar w:left="160" w:top="469" w:right="179" w:bottom="1440" w:gutter="0" w:footer="0" w:header="0"/>
        </w:sectPr>
      </w:pPr>
    </w:p>
    <w:bookmarkStart w:id="82" w:name="page83"/>
    <w:bookmarkEnd w:id="82"/>
    <w:p>
      <w:pPr>
        <w:jc w:val="right"/>
        <w:spacing w:after="0"/>
        <w:rPr>
          <w:sz w:val="20"/>
          <w:szCs w:val="20"/>
          <w:color w:val="auto"/>
        </w:rPr>
      </w:pPr>
      <w:r>
        <w:rPr>
          <w:rFonts w:ascii="Arial" w:cs="Arial" w:eastAsia="Arial" w:hAnsi="Arial"/>
          <w:sz w:val="17"/>
          <w:szCs w:val="17"/>
          <w:color w:val="auto"/>
        </w:rPr>
        <w:t>Exhibit 31(b)</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 Victor Brodsky, certify that:</w:t>
      </w:r>
    </w:p>
    <w:p>
      <w:pPr>
        <w:spacing w:after="0" w:line="255" w:lineRule="exact"/>
        <w:rPr>
          <w:sz w:val="20"/>
          <w:szCs w:val="20"/>
          <w:color w:val="auto"/>
        </w:rPr>
      </w:pPr>
    </w:p>
    <w:p>
      <w:pPr>
        <w:ind w:left="340" w:hanging="334"/>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Form 10-Q of Kingstone Companies, Inc.;</w:t>
      </w:r>
    </w:p>
    <w:p>
      <w:pPr>
        <w:spacing w:after="0" w:line="254" w:lineRule="exact"/>
        <w:rPr>
          <w:rFonts w:ascii="Arial" w:cs="Arial" w:eastAsia="Arial" w:hAnsi="Arial"/>
          <w:sz w:val="17"/>
          <w:szCs w:val="17"/>
          <w:color w:val="auto"/>
        </w:rPr>
      </w:pPr>
    </w:p>
    <w:p>
      <w:pPr>
        <w:ind w:right="420" w:firstLine="6"/>
        <w:spacing w:after="0" w:line="319" w:lineRule="auto"/>
        <w:tabs>
          <w:tab w:leader="none" w:pos="341"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6"/>
          <w:szCs w:val="16"/>
          <w:color w:val="auto"/>
        </w:rPr>
      </w:pPr>
    </w:p>
    <w:p>
      <w:pPr>
        <w:ind w:right="520" w:firstLine="6"/>
        <w:spacing w:after="0" w:line="287" w:lineRule="auto"/>
        <w:tabs>
          <w:tab w:leader="none" w:pos="341"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7"/>
          <w:szCs w:val="17"/>
          <w:color w:val="auto"/>
        </w:rPr>
      </w:pPr>
    </w:p>
    <w:p>
      <w:pPr>
        <w:ind w:right="200" w:firstLine="6"/>
        <w:spacing w:after="0" w:line="357" w:lineRule="auto"/>
        <w:tabs>
          <w:tab w:leader="none" w:pos="341"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5"/>
          <w:szCs w:val="15"/>
          <w:color w:val="auto"/>
        </w:rPr>
      </w:pPr>
    </w:p>
    <w:p>
      <w:pPr>
        <w:jc w:val="both"/>
        <w:ind w:left="1280" w:hanging="638"/>
        <w:spacing w:after="0" w:line="273" w:lineRule="auto"/>
        <w:tabs>
          <w:tab w:leader="none" w:pos="12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7"/>
          <w:szCs w:val="17"/>
          <w:color w:val="auto"/>
        </w:rPr>
      </w:pPr>
    </w:p>
    <w:p>
      <w:pPr>
        <w:jc w:val="both"/>
        <w:ind w:left="1280" w:hanging="638"/>
        <w:spacing w:after="0" w:line="273" w:lineRule="auto"/>
        <w:tabs>
          <w:tab w:leader="none" w:pos="12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7"/>
          <w:szCs w:val="17"/>
          <w:color w:val="auto"/>
        </w:rPr>
      </w:pPr>
    </w:p>
    <w:p>
      <w:pPr>
        <w:ind w:left="1280" w:hanging="638"/>
        <w:spacing w:after="0" w:line="287" w:lineRule="auto"/>
        <w:tabs>
          <w:tab w:leader="none" w:pos="12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7"/>
          <w:szCs w:val="17"/>
          <w:color w:val="auto"/>
        </w:rPr>
      </w:pPr>
    </w:p>
    <w:p>
      <w:pPr>
        <w:jc w:val="both"/>
        <w:ind w:left="1280" w:hanging="638"/>
        <w:spacing w:after="0" w:line="273" w:lineRule="auto"/>
        <w:tabs>
          <w:tab w:leader="none" w:pos="12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7"/>
          <w:szCs w:val="17"/>
          <w:color w:val="auto"/>
        </w:rPr>
      </w:pPr>
    </w:p>
    <w:p>
      <w:pPr>
        <w:ind w:right="100" w:firstLine="6"/>
        <w:spacing w:after="0" w:line="287" w:lineRule="auto"/>
        <w:tabs>
          <w:tab w:leader="none" w:pos="34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7"/>
          <w:szCs w:val="17"/>
          <w:color w:val="auto"/>
        </w:rPr>
      </w:pPr>
    </w:p>
    <w:p>
      <w:pPr>
        <w:ind w:left="1280" w:hanging="638"/>
        <w:spacing w:after="0" w:line="287" w:lineRule="auto"/>
        <w:tabs>
          <w:tab w:leader="none" w:pos="12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7"/>
          <w:szCs w:val="17"/>
          <w:color w:val="auto"/>
        </w:rPr>
      </w:pPr>
    </w:p>
    <w:p>
      <w:pPr>
        <w:ind w:left="1280" w:hanging="638"/>
        <w:spacing w:after="0" w:line="287" w:lineRule="auto"/>
        <w:tabs>
          <w:tab w:leader="none" w:pos="12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p>
      <w:pPr>
        <w:spacing w:after="0"/>
        <w:tabs>
          <w:tab w:leader="none" w:pos="5780" w:val="left"/>
        </w:tabs>
        <w:rPr>
          <w:sz w:val="20"/>
          <w:szCs w:val="20"/>
          <w:color w:val="auto"/>
        </w:rPr>
      </w:pPr>
      <w:r>
        <w:rPr>
          <w:rFonts w:ascii="Arial" w:cs="Arial" w:eastAsia="Arial" w:hAnsi="Arial"/>
          <w:sz w:val="17"/>
          <w:szCs w:val="17"/>
          <w:color w:val="auto"/>
        </w:rPr>
        <w:t>Date: November 8, 2018</w:t>
      </w:r>
      <w:r>
        <w:rPr>
          <w:sz w:val="20"/>
          <w:szCs w:val="20"/>
          <w:color w:val="auto"/>
        </w:rPr>
        <w:tab/>
      </w:r>
      <w:r>
        <w:rPr>
          <w:rFonts w:ascii="Arial" w:cs="Arial" w:eastAsia="Arial" w:hAnsi="Arial"/>
          <w:sz w:val="16"/>
          <w:szCs w:val="16"/>
          <w:color w:val="auto"/>
        </w:rPr>
        <w:t>By:  /s/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24130</wp:posOffset>
            </wp:positionV>
            <wp:extent cx="256476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2564765" cy="16510"/>
                    </a:xfrm>
                    <a:prstGeom prst="rect">
                      <a:avLst/>
                    </a:prstGeom>
                    <a:noFill/>
                  </pic:spPr>
                </pic:pic>
              </a:graphicData>
            </a:graphic>
          </wp:anchor>
        </w:drawing>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Victor Brodsky</w:t>
      </w:r>
    </w:p>
    <w:p>
      <w:pPr>
        <w:spacing w:after="0" w:line="22"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281305</wp:posOffset>
            </wp:positionV>
            <wp:extent cx="73406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77" w:right="179" w:bottom="1440" w:gutter="0" w:footer="0" w:header="0"/>
        </w:sectPr>
      </w:pPr>
    </w:p>
    <w:bookmarkStart w:id="83" w:name="page84"/>
    <w:bookmarkEnd w:id="83"/>
    <w:p>
      <w:pPr>
        <w:jc w:val="right"/>
        <w:spacing w:after="0"/>
        <w:rPr>
          <w:sz w:val="20"/>
          <w:szCs w:val="20"/>
          <w:color w:val="auto"/>
        </w:rPr>
      </w:pPr>
      <w:r>
        <w:rPr>
          <w:rFonts w:ascii="Arial" w:cs="Arial" w:eastAsia="Arial" w:hAnsi="Arial"/>
          <w:sz w:val="17"/>
          <w:szCs w:val="17"/>
          <w:color w:val="auto"/>
        </w:rPr>
        <w:t>Exhibit 32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23"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17"/>
          <w:szCs w:val="17"/>
          <w:color w:val="auto"/>
        </w:rPr>
        <w:t>The undersigned hereby certify, pursuant to, and as required by, 18 U.S.C. Section 1350, as adopted pursuant to Section 906 of the Sarbanes-Oxley Act of 2002, that the Quarterly Report of Kingstone Companies, Inc. (the “Company”) on Form 10-Q for the period ended September 30, 2018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780" w:val="left"/>
        </w:tabs>
        <w:rPr>
          <w:sz w:val="20"/>
          <w:szCs w:val="20"/>
          <w:color w:val="auto"/>
        </w:rPr>
      </w:pPr>
      <w:r>
        <w:rPr>
          <w:rFonts w:ascii="Arial" w:cs="Arial" w:eastAsia="Arial" w:hAnsi="Arial"/>
          <w:sz w:val="17"/>
          <w:szCs w:val="17"/>
          <w:color w:val="auto"/>
        </w:rPr>
        <w:t>Date: November 8, 2018</w:t>
      </w:r>
      <w:r>
        <w:rPr>
          <w:sz w:val="20"/>
          <w:szCs w:val="20"/>
          <w:color w:val="auto"/>
        </w:rPr>
        <w:tab/>
      </w:r>
      <w:r>
        <w:rPr>
          <w:rFonts w:ascii="Arial" w:cs="Arial" w:eastAsia="Arial" w:hAnsi="Arial"/>
          <w:sz w:val="16"/>
          <w:szCs w:val="16"/>
          <w:color w:val="auto"/>
        </w:rPr>
        <w:t>By:  /s/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24130</wp:posOffset>
            </wp:positionV>
            <wp:extent cx="256476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2564765" cy="16510"/>
                    </a:xfrm>
                    <a:prstGeom prst="rect">
                      <a:avLst/>
                    </a:prstGeom>
                    <a:noFill/>
                  </pic:spPr>
                </pic:pic>
              </a:graphicData>
            </a:graphic>
          </wp:anchor>
        </w:drawing>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Barry B. Goldstein</w:t>
      </w:r>
    </w:p>
    <w:p>
      <w:pPr>
        <w:spacing w:after="0" w:line="22"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35"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By:  /s/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24130</wp:posOffset>
            </wp:positionV>
            <wp:extent cx="256476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2564765" cy="16510"/>
                    </a:xfrm>
                    <a:prstGeom prst="rect">
                      <a:avLst/>
                    </a:prstGeom>
                    <a:noFill/>
                  </pic:spPr>
                </pic:pic>
              </a:graphicData>
            </a:graphic>
          </wp:anchor>
        </w:drawing>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Victor Brodsky</w:t>
      </w:r>
    </w:p>
    <w:p>
      <w:pPr>
        <w:spacing w:after="0" w:line="22"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508635</wp:posOffset>
            </wp:positionV>
            <wp:extent cx="73406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p>
      <w:pPr>
        <w:sectPr>
          <w:pgSz w:w="11900" w:h="16838" w:orient="portrait"/>
          <w:cols w:equalWidth="0" w:num="1">
            <w:col w:w="11560"/>
          </w:cols>
          <w:pgMar w:left="160" w:top="77" w:right="179" w:bottom="1440" w:gutter="0" w:footer="0" w:header="0"/>
        </w:sectPr>
      </w:pPr>
    </w:p>
    <w:bookmarkStart w:id="84" w:name="page85"/>
    <w:bookmarkEnd w:id="84"/>
    <w:p>
      <w:pPr>
        <w:jc w:val="right"/>
        <w:spacing w:after="0"/>
        <w:rPr>
          <w:sz w:val="20"/>
          <w:szCs w:val="20"/>
          <w:color w:val="auto"/>
        </w:rPr>
      </w:pPr>
      <w:r>
        <w:rPr>
          <w:rFonts w:ascii="Arial" w:cs="Arial" w:eastAsia="Arial" w:hAnsi="Arial"/>
          <w:sz w:val="17"/>
          <w:szCs w:val="17"/>
          <w:color w:val="auto"/>
        </w:rPr>
        <w:t>Exhibit 31(a)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 Barry B. Goldstein, certify that:</w:t>
      </w:r>
    </w:p>
    <w:p>
      <w:pPr>
        <w:spacing w:after="0" w:line="200" w:lineRule="exact"/>
        <w:rPr>
          <w:sz w:val="20"/>
          <w:szCs w:val="20"/>
          <w:color w:val="auto"/>
        </w:rPr>
      </w:pPr>
    </w:p>
    <w:p>
      <w:pPr>
        <w:spacing w:after="0" w:line="267" w:lineRule="exact"/>
        <w:rPr>
          <w:sz w:val="20"/>
          <w:szCs w:val="20"/>
          <w:color w:val="auto"/>
        </w:rPr>
      </w:pPr>
    </w:p>
    <w:p>
      <w:pPr>
        <w:ind w:left="340" w:hanging="334"/>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Form 10-Q of Kingstone Companies, Inc.;</w:t>
      </w:r>
    </w:p>
    <w:p>
      <w:pPr>
        <w:spacing w:after="0" w:line="254" w:lineRule="exact"/>
        <w:rPr>
          <w:rFonts w:ascii="Arial" w:cs="Arial" w:eastAsia="Arial" w:hAnsi="Arial"/>
          <w:sz w:val="17"/>
          <w:szCs w:val="17"/>
          <w:color w:val="auto"/>
        </w:rPr>
      </w:pPr>
    </w:p>
    <w:p>
      <w:pPr>
        <w:ind w:right="420" w:firstLine="6"/>
        <w:spacing w:after="0" w:line="319" w:lineRule="auto"/>
        <w:tabs>
          <w:tab w:leader="none" w:pos="341"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6"/>
          <w:szCs w:val="16"/>
          <w:color w:val="auto"/>
        </w:rPr>
      </w:pPr>
    </w:p>
    <w:p>
      <w:pPr>
        <w:ind w:right="520" w:firstLine="6"/>
        <w:spacing w:after="0" w:line="287" w:lineRule="auto"/>
        <w:tabs>
          <w:tab w:leader="none" w:pos="341"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7"/>
          <w:szCs w:val="17"/>
          <w:color w:val="auto"/>
        </w:rPr>
      </w:pPr>
    </w:p>
    <w:p>
      <w:pPr>
        <w:ind w:right="200" w:firstLine="6"/>
        <w:spacing w:after="0" w:line="357" w:lineRule="auto"/>
        <w:tabs>
          <w:tab w:leader="none" w:pos="341"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5"/>
          <w:szCs w:val="15"/>
          <w:color w:val="auto"/>
        </w:rPr>
      </w:pPr>
    </w:p>
    <w:p>
      <w:pPr>
        <w:jc w:val="both"/>
        <w:ind w:left="1280" w:hanging="638"/>
        <w:spacing w:after="0" w:line="273" w:lineRule="auto"/>
        <w:tabs>
          <w:tab w:leader="none" w:pos="12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7"/>
          <w:szCs w:val="17"/>
          <w:color w:val="auto"/>
        </w:rPr>
      </w:pPr>
    </w:p>
    <w:p>
      <w:pPr>
        <w:jc w:val="both"/>
        <w:ind w:left="1280" w:hanging="638"/>
        <w:spacing w:after="0" w:line="273" w:lineRule="auto"/>
        <w:tabs>
          <w:tab w:leader="none" w:pos="12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7"/>
          <w:szCs w:val="17"/>
          <w:color w:val="auto"/>
        </w:rPr>
      </w:pPr>
    </w:p>
    <w:p>
      <w:pPr>
        <w:ind w:left="1280" w:hanging="638"/>
        <w:spacing w:after="0" w:line="287" w:lineRule="auto"/>
        <w:tabs>
          <w:tab w:leader="none" w:pos="12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7"/>
          <w:szCs w:val="17"/>
          <w:color w:val="auto"/>
        </w:rPr>
      </w:pPr>
    </w:p>
    <w:p>
      <w:pPr>
        <w:jc w:val="both"/>
        <w:ind w:left="1280" w:hanging="638"/>
        <w:spacing w:after="0" w:line="273" w:lineRule="auto"/>
        <w:tabs>
          <w:tab w:leader="none" w:pos="12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7"/>
          <w:szCs w:val="17"/>
          <w:color w:val="auto"/>
        </w:rPr>
      </w:pPr>
    </w:p>
    <w:p>
      <w:pPr>
        <w:ind w:right="100" w:firstLine="6"/>
        <w:spacing w:after="0" w:line="287" w:lineRule="auto"/>
        <w:tabs>
          <w:tab w:leader="none" w:pos="341"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3" w:lineRule="exact"/>
        <w:rPr>
          <w:rFonts w:ascii="Arial" w:cs="Arial" w:eastAsia="Arial" w:hAnsi="Arial"/>
          <w:sz w:val="17"/>
          <w:szCs w:val="17"/>
          <w:color w:val="auto"/>
        </w:rPr>
      </w:pPr>
    </w:p>
    <w:p>
      <w:pPr>
        <w:ind w:left="1280" w:hanging="638"/>
        <w:spacing w:after="0" w:line="287" w:lineRule="auto"/>
        <w:tabs>
          <w:tab w:leader="none" w:pos="12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7"/>
          <w:szCs w:val="17"/>
          <w:color w:val="auto"/>
        </w:rPr>
      </w:pPr>
    </w:p>
    <w:p>
      <w:pPr>
        <w:ind w:left="1280" w:hanging="638"/>
        <w:spacing w:after="0" w:line="287" w:lineRule="auto"/>
        <w:tabs>
          <w:tab w:leader="none" w:pos="12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p>
      <w:pPr>
        <w:spacing w:after="0"/>
        <w:tabs>
          <w:tab w:leader="none" w:pos="5780" w:val="left"/>
        </w:tabs>
        <w:rPr>
          <w:sz w:val="20"/>
          <w:szCs w:val="20"/>
          <w:color w:val="auto"/>
        </w:rPr>
      </w:pPr>
      <w:r>
        <w:rPr>
          <w:rFonts w:ascii="Arial" w:cs="Arial" w:eastAsia="Arial" w:hAnsi="Arial"/>
          <w:sz w:val="17"/>
          <w:szCs w:val="17"/>
          <w:color w:val="auto"/>
        </w:rPr>
        <w:t>Date: November 8, 2018</w:t>
      </w:r>
      <w:r>
        <w:rPr>
          <w:sz w:val="20"/>
          <w:szCs w:val="20"/>
          <w:color w:val="auto"/>
        </w:rPr>
        <w:tab/>
      </w:r>
      <w:r>
        <w:rPr>
          <w:rFonts w:ascii="Arial" w:cs="Arial" w:eastAsia="Arial" w:hAnsi="Arial"/>
          <w:sz w:val="16"/>
          <w:szCs w:val="16"/>
          <w:color w:val="auto"/>
        </w:rPr>
        <w:t>By:  /s/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24130</wp:posOffset>
            </wp:positionV>
            <wp:extent cx="256476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2564765" cy="16510"/>
                    </a:xfrm>
                    <a:prstGeom prst="rect">
                      <a:avLst/>
                    </a:prstGeom>
                    <a:noFill/>
                  </pic:spPr>
                </pic:pic>
              </a:graphicData>
            </a:graphic>
          </wp:anchor>
        </w:drawing>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Barry B. Goldstein</w:t>
      </w:r>
    </w:p>
    <w:p>
      <w:pPr>
        <w:spacing w:after="0" w:line="22"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281305</wp:posOffset>
            </wp:positionV>
            <wp:extent cx="73406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340600" cy="8255"/>
                    </a:xfrm>
                    <a:prstGeom prst="rect">
                      <a:avLst/>
                    </a:prstGeom>
                    <a:noFill/>
                  </pic:spPr>
                </pic:pic>
              </a:graphicData>
            </a:graphic>
          </wp:anchor>
        </w:drawing>
      </w:r>
    </w:p>
    <w:sectPr>
      <w:pgSz w:w="11900" w:h="16838" w:orient="portrait"/>
      <w:cols w:equalWidth="0" w:num="1">
        <w:col w:w="11560"/>
      </w:cols>
      <w:pgMar w:left="160" w:top="77"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upperLetter"/>
      <w:start w:val="1"/>
    </w:lvl>
  </w:abstractNum>
  <w:abstractNum w:abstractNumId="10">
    <w:nsid w:val="431BD7B7"/>
    <w:multiLevelType w:val="hybridMultilevel"/>
    <w:lvl w:ilvl="0">
      <w:lvlJc w:val="left"/>
      <w:lvlText w:val="(%1)"/>
      <w:numFmt w:val="upperLetter"/>
      <w:start w:val="2"/>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decimal"/>
      <w:start w:val="32"/>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10" Type="http://schemas.openxmlformats.org/officeDocument/2006/relationships/hyperlink" Target="http://www.sec.gov/Archives/edgar/data/33992/000135448814002619/kins_ex3a.htm" TargetMode="External"/><Relationship Id="rId111" Type="http://schemas.openxmlformats.org/officeDocument/2006/relationships/hyperlink" Target="http://www.sec.gov/Archives/edgar/data/33992/000102177109000069/ex3_1.htm" TargetMode="External"/><Relationship Id="rId112" Type="http://schemas.openxmlformats.org/officeDocument/2006/relationships/hyperlink" Target="http://www.sec.gov/Archives/edgar/data/33992/000165495418011456/barrygoldsteinkinsamended.htm" TargetMode="External"/><Relationship Id="rId113" Type="http://schemas.openxmlformats.org/officeDocument/2006/relationships/hyperlink" Target="http://www.sec.gov/Archives/edgar/data/33992/000165495418011456/a2019da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2020-01-10T22:32:22Z</dcterms:created>
  <dcterms:modified xsi:type="dcterms:W3CDTF">2020-01-10T22:32:22Z</dcterms:modified>
</cp:coreProperties>
</file>