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9" w:lineRule="exact"/>
        <w:rPr>
          <w:sz w:val="24"/>
          <w:szCs w:val="24"/>
          <w:color w:val="auto"/>
        </w:rPr>
      </w:pPr>
    </w:p>
    <w:p>
      <w:pPr>
        <w:ind w:left="460" w:hanging="331"/>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60" w:hanging="316"/>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_________to 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0-1665</w:t>
      </w: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45085</wp:posOffset>
            </wp:positionV>
            <wp:extent cx="5040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880" w:type="dxa"/>
        <w:tblCellMar>
          <w:top w:w="0" w:type="dxa"/>
          <w:left w:w="0" w:type="dxa"/>
          <w:bottom w:w="0" w:type="dxa"/>
          <w:right w:w="0" w:type="dxa"/>
        </w:tblCellMar>
      </w:tblPr>
      <w:tr>
        <w:trPr>
          <w:trHeight w:val="245"/>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36-2476480</w:t>
            </w:r>
          </w:p>
        </w:tc>
      </w:tr>
      <w:tr>
        <w:trPr>
          <w:trHeight w:val="175"/>
        </w:trPr>
        <w:tc>
          <w:tcPr>
            <w:tcW w:w="4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tcPr>
          <w:p>
            <w:pPr>
              <w:spacing w:after="0"/>
              <w:rPr>
                <w:sz w:val="15"/>
                <w:szCs w:val="15"/>
                <w:color w:val="auto"/>
              </w:rPr>
            </w:pPr>
          </w:p>
        </w:tc>
        <w:tc>
          <w:tcPr>
            <w:tcW w:w="47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 Joys Lane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Kingston, NY 12401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(845) 802-7900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KINS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5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13, 2024, there were 12,349,132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7" w:right="319" w:bottom="10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gridSpan w:val="10"/>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KINGSTONE COMPANIES, INC.</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40" w:type="dxa"/>
            <w:vAlign w:val="bottom"/>
            <w:gridSpan w:val="9"/>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at September 30, 2024 (Unaudited) and December 31, 2023</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months and nine</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020" w:type="dxa"/>
            <w:vAlign w:val="bottom"/>
            <w:tcBorders>
              <w:top w:val="single" w:sz="8" w:color="0000FF"/>
              <w:bottom w:val="single" w:sz="8" w:color="0000FF"/>
            </w:tcBorders>
            <w:gridSpan w:val="1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months ended September 30, 2024 (Unaudited) and 2023 (Unaudited)</w:t>
            </w:r>
          </w:p>
        </w:tc>
        <w:tc>
          <w:tcPr>
            <w:tcW w:w="1420" w:type="dxa"/>
            <w:vAlign w:val="bottom"/>
            <w:tcBorders>
              <w:top w:val="single" w:sz="8" w:color="0000FF"/>
              <w:bottom w:val="single" w:sz="8" w:color="CCEEFF"/>
            </w:tcBorders>
            <w:shd w:val="clear" w:color="auto" w:fill="CCEEFF"/>
          </w:tcPr>
          <w:p>
            <w:pPr>
              <w:spacing w:after="0"/>
              <w:rPr>
                <w:sz w:val="16"/>
                <w:szCs w:val="16"/>
                <w:color w:val="auto"/>
              </w:rPr>
            </w:pPr>
          </w:p>
        </w:tc>
        <w:tc>
          <w:tcPr>
            <w:tcW w:w="190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700" w:type="dxa"/>
            <w:vAlign w:val="bottom"/>
            <w:tcBorders>
              <w:top w:val="single" w:sz="8" w:color="CCEEFF"/>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and nine months ended September</w:t>
            </w: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0" w:type="dxa"/>
            <w:vAlign w:val="bottom"/>
            <w:tcBorders>
              <w:top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6"/>
                <w:szCs w:val="16"/>
                <w:color w:val="0000FF"/>
              </w:rPr>
              <w:t>30, 2024 (Unaudited) and 2023 (Unaudited)</w:t>
            </w:r>
          </w:p>
        </w:tc>
        <w:tc>
          <w:tcPr>
            <w:tcW w:w="300" w:type="dxa"/>
            <w:vAlign w:val="bottom"/>
          </w:tcPr>
          <w:p>
            <w:pPr>
              <w:spacing w:after="0"/>
              <w:rPr>
                <w:sz w:val="13"/>
                <w:szCs w:val="13"/>
                <w:color w:val="auto"/>
              </w:rPr>
            </w:pPr>
          </w:p>
        </w:tc>
        <w:tc>
          <w:tcPr>
            <w:tcW w:w="920" w:type="dxa"/>
            <w:vAlign w:val="bottom"/>
            <w:tcBorders>
              <w:top w:val="single" w:sz="8" w:color="CCEE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(Unaudited) and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0000FF"/>
              <w:bottom w:val="single" w:sz="8" w:color="0000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2023 (Unaudited)</w:t>
            </w: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20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15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90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700" w:type="dxa"/>
            <w:vAlign w:val="bottom"/>
            <w:tcBorders>
              <w:top w:val="single" w:sz="8" w:color="CCEEFF"/>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 —</w:t>
            </w:r>
          </w:p>
        </w:tc>
        <w:tc>
          <w:tcPr>
            <w:tcW w:w="640" w:type="dxa"/>
            <w:vAlign w:val="bottom"/>
            <w:gridSpan w:val="3"/>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1A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2 —</w:t>
            </w:r>
          </w:p>
        </w:tc>
        <w:tc>
          <w:tcPr>
            <w:tcW w:w="640" w:type="dxa"/>
            <w:vAlign w:val="bottom"/>
            <w:tcBorders>
              <w:bottom w:val="single" w:sz="8" w:color="CCEEFF"/>
            </w:tcBorders>
            <w:gridSpan w:val="3"/>
            <w:shd w:val="clear" w:color="auto" w:fill="CCEEFF"/>
          </w:tcPr>
          <w:p>
            <w:pPr>
              <w:spacing w:after="0"/>
              <w:rPr>
                <w:sz w:val="18"/>
                <w:szCs w:val="18"/>
                <w:color w:val="auto"/>
              </w:rPr>
            </w:pPr>
          </w:p>
        </w:tc>
        <w:tc>
          <w:tcPr>
            <w:tcW w:w="434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tcBorders>
              <w:bottom w:val="single" w:sz="8" w:color="CCEEFF"/>
            </w:tcBorders>
            <w:gridSpan w:val="8"/>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4 —</w:t>
            </w:r>
          </w:p>
        </w:tc>
        <w:tc>
          <w:tcPr>
            <w:tcW w:w="640" w:type="dxa"/>
            <w:vAlign w:val="bottom"/>
            <w:gridSpan w:val="3"/>
            <w:shd w:val="clear" w:color="auto" w:fill="CCEEFF"/>
          </w:tcPr>
          <w:p>
            <w:pPr>
              <w:spacing w:after="0"/>
              <w:rPr>
                <w:sz w:val="18"/>
                <w:szCs w:val="18"/>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Item 5 —</w:t>
            </w:r>
          </w:p>
        </w:tc>
        <w:tc>
          <w:tcPr>
            <w:tcW w:w="640" w:type="dxa"/>
            <w:vAlign w:val="bottom"/>
            <w:tcBorders>
              <w:top w:val="single" w:sz="8" w:color="CCEEFF"/>
            </w:tcBorders>
            <w:gridSpan w:val="3"/>
          </w:tcPr>
          <w:p>
            <w:pPr>
              <w:spacing w:after="0"/>
              <w:rPr>
                <w:sz w:val="16"/>
                <w:szCs w:val="16"/>
                <w:color w:val="auto"/>
              </w:rPr>
            </w:pPr>
          </w:p>
        </w:tc>
        <w:tc>
          <w:tcPr>
            <w:tcW w:w="17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tcBorders>
              <w:top w:val="single" w:sz="8" w:color="CCEEFF"/>
            </w:tcBorders>
            <w:gridSpan w:val="11"/>
          </w:tcPr>
          <w:p>
            <w:pPr>
              <w:spacing w:after="0"/>
              <w:rPr>
                <w:sz w:val="16"/>
                <w:szCs w:val="16"/>
                <w:color w:val="auto"/>
              </w:rPr>
            </w:pPr>
          </w:p>
        </w:tc>
        <w:tc>
          <w:tcPr>
            <w:tcW w:w="9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w:t>
            </w:r>
          </w:p>
        </w:tc>
        <w:tc>
          <w:tcPr>
            <w:tcW w:w="640" w:type="dxa"/>
            <w:vAlign w:val="bottom"/>
            <w:tcBorders>
              <w:bottom w:val="single" w:sz="8" w:color="CCEEFF"/>
            </w:tcBorders>
            <w:gridSpan w:val="3"/>
            <w:shd w:val="clear" w:color="auto" w:fill="CCEEFF"/>
          </w:tcPr>
          <w:p>
            <w:pPr>
              <w:spacing w:after="0"/>
              <w:rPr>
                <w:sz w:val="18"/>
                <w:szCs w:val="18"/>
                <w:color w:val="auto"/>
              </w:rPr>
            </w:pPr>
          </w:p>
        </w:tc>
        <w:tc>
          <w:tcPr>
            <w:tcW w:w="6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8100" w:type="dxa"/>
            <w:vAlign w:val="bottom"/>
            <w:tcBorders>
              <w:bottom w:val="single" w:sz="8" w:color="CCEEFF"/>
            </w:tcBorders>
            <w:gridSpan w:val="20"/>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7940" w:type="dxa"/>
            <w:vAlign w:val="bottom"/>
            <w:gridSpan w:val="19"/>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gridSpan w:val="13"/>
          </w:tcPr>
          <w:p>
            <w:pPr>
              <w:jc w:val="center"/>
              <w:ind w:left="3612"/>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This Quarterly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2023, Part I, Item 2 of this Quarterly Report and Part II, Item 1A of this Quarterly Report.</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9"/>
        </w:trPr>
        <w:tc>
          <w:tcPr>
            <w:tcW w:w="8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Fixed-maturity securities, held-to-maturity, at amortized cost (fair value of $6,278,968 at September 30, 2024</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$6,106,148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7,048,662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7,052,541</w:t>
            </w:r>
          </w:p>
        </w:tc>
        <w:tc>
          <w:tcPr>
            <w:tcW w:w="0" w:type="dxa"/>
            <w:vAlign w:val="bottom"/>
          </w:tcPr>
          <w:p>
            <w:pPr>
              <w:spacing w:after="0"/>
              <w:rPr>
                <w:sz w:val="1"/>
                <w:szCs w:val="1"/>
                <w:color w:val="auto"/>
              </w:rPr>
            </w:pPr>
          </w:p>
        </w:tc>
      </w:tr>
      <w:tr>
        <w:trPr>
          <w:trHeight w:val="21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Fixed-maturity securities, available-for-sale, at fair value (amortized cost of $176,904,251 at September 30,</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 and $164,460,942 at December 31, 2023)</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165,458,345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148,920,797</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at fair value (cost of $13,527,554 at September 30, 2024 and $17,986,783 at December 31,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11,280,228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14,762,340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4,299,178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3,897,150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188,086,413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174,632,828</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33,760,798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8,976,998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receivable, net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17,601,417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13,604,808</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65,746,827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75,593,912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21,852,365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19,802,564</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9,299,163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9,395,697</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10,551,819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4,144,585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4,574,584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346,994,401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317,633,210</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116,842,451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121,817,862</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119,974,779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105,621,538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5,307,223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3,797,590</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12,837,140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10,286,093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9,460,865</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4,350,546</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net (current $856,605 and long-term $16,440,982 at September 30,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2024,current $19,580,109 and long-term $5,663,421 at December 31, 2023)</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17,297,587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25,243,530</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287,324,669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283,129,071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authorized 2,500,000 shares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$0.01 par value; authorized 20,000,000 shares; issued 13,818,950 shares at September 30,</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2024 and 12,248,313 shares at December 31, 2023 ; outstanding 12,312,296 shares at September 30, 2024</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10,776,907 shares at December 31, 2023</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in excess of par</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84,334,037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75,338,010</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(12,274,563)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(10,194,549)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(23,114,310)</w:t>
            </w:r>
          </w:p>
        </w:tc>
        <w:tc>
          <w:tcPr>
            <w:tcW w:w="0" w:type="dxa"/>
            <w:vAlign w:val="bottom"/>
          </w:tcPr>
          <w:p>
            <w:pPr>
              <w:spacing w:after="0"/>
              <w:rPr>
                <w:sz w:val="1"/>
                <w:szCs w:val="1"/>
                <w:color w:val="auto"/>
              </w:rPr>
            </w:pPr>
          </w:p>
        </w:tc>
      </w:tr>
      <w:tr>
        <w:trPr>
          <w:trHeight w:val="24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 Equity before treasury stock</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65,237,565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40,071,620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1,506,654 shares at September 30, 2024 and 1,471,406 at December 31, 2023</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(5,567,833)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(5,567,481)</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59,669,732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34,504,139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346,994,401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317,633,210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22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7"/>
                <w:szCs w:val="17"/>
                <w:color w:val="auto"/>
              </w:rPr>
            </w:pPr>
          </w:p>
        </w:tc>
        <w:tc>
          <w:tcPr>
            <w:tcW w:w="27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r>
      <w:tr>
        <w:trPr>
          <w:trHeight w:val="250"/>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33,407,194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27,938,318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92,530,708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85,701,467</w:t>
            </w: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13,870,748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16,393,944</w:t>
            </w: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1,649,673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4,917,129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4,437,208</w:t>
            </w: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597,643</w:t>
            </w: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146,663</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401,128</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454,160</w:t>
            </w:r>
          </w:p>
        </w:tc>
      </w:tr>
      <w:tr>
        <w:trPr>
          <w:trHeight w:val="243"/>
        </w:trPr>
        <w:tc>
          <w:tcPr>
            <w:tcW w:w="5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40,771,728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34,236,671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113,039,020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107,584,422</w:t>
            </w:r>
          </w:p>
        </w:tc>
      </w:tr>
      <w:tr>
        <w:trPr>
          <w:trHeight w:val="203"/>
        </w:trPr>
        <w:tc>
          <w:tcPr>
            <w:tcW w:w="5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13,027,597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21,932,453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45,125,492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66,552,565</w:t>
            </w: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 expense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9,004,254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25,088,546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25,221,374</w:t>
            </w: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6,894,590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6,318,625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18,675,720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19,873,882</w:t>
            </w: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2,820,620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1,868,011</w:t>
            </w: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619,056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1,835,503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2,327,691</w:t>
            </w:r>
          </w:p>
        </w:tc>
      </w:tr>
      <w:tr>
        <w:trPr>
          <w:trHeight w:val="25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900,583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988,699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2,884,181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3,004,564</w:t>
            </w:r>
          </w:p>
        </w:tc>
      </w:tr>
      <w:tr>
        <w:trPr>
          <w:trHeight w:val="250"/>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31,687,652</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38,633,229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96,430,062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118,848,087</w:t>
            </w:r>
          </w:p>
        </w:tc>
      </w:tr>
      <w:tr>
        <w:trPr>
          <w:trHeight w:val="203"/>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9,084,076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16,608,958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(11,263,665)</w:t>
            </w:r>
          </w:p>
        </w:tc>
      </w:tr>
      <w:tr>
        <w:trPr>
          <w:trHeight w:val="25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2,105,931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(858,987)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3,689,197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(2,149,367)</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6,978,145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(3,537,571)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12,919,761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(9,114,298)</w:t>
            </w:r>
          </w:p>
        </w:tc>
      </w:tr>
      <w:tr>
        <w:trPr>
          <w:trHeight w:val="203"/>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1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change in unrealized gains (losses) on available-for-sale-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4,533,334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4,082,771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(1,486,887)</w:t>
            </w:r>
          </w:p>
        </w:tc>
      </w:tr>
      <w:tr>
        <w:trPr>
          <w:trHeight w:val="223"/>
        </w:trPr>
        <w:tc>
          <w:tcPr>
            <w:tcW w:w="5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net realized losses included in net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17,201</w:t>
            </w:r>
          </w:p>
        </w:tc>
      </w:tr>
      <w:tr>
        <w:trPr>
          <w:trHeight w:val="198"/>
        </w:trPr>
        <w:tc>
          <w:tcPr>
            <w:tcW w:w="5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change in unrealized gains (losses), on available-for-sale-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8"/>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4,537,273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(2,817,604)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4,094,239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(1,469,686)</w:t>
            </w:r>
          </w:p>
        </w:tc>
      </w:tr>
      <w:tr>
        <w:trPr>
          <w:trHeight w:val="211"/>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 benefit related to items of other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(952,827)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591,697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(859,789)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308,635</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3,584,446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(2,225,907)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3,234,450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(1,161,051)</w:t>
            </w:r>
          </w:p>
        </w:tc>
      </w:tr>
      <w:tr>
        <w:trPr>
          <w:trHeight w:val="203"/>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10,562,591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(5,763,478)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16,154,211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(10,275,349)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5"/>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11,404,360</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10,756,156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11,142,043</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10,754,709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5"/>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12,581,128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12,249,576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10,754,709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Preferred Stock</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7"/>
            <w:vMerge w:val="restart"/>
          </w:tcPr>
          <w:p>
            <w:pPr>
              <w:ind w:left="300"/>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tcPr>
          <w:p>
            <w:pPr>
              <w:spacing w:after="0"/>
              <w:rPr>
                <w:sz w:val="16"/>
                <w:szCs w:val="16"/>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w w:val="98"/>
              </w:rPr>
              <w:t>Other</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40" w:type="dxa"/>
            <w:vAlign w:val="bottom"/>
          </w:tcPr>
          <w:p>
            <w:pPr>
              <w:spacing w:after="0"/>
              <w:rPr>
                <w:sz w:val="11"/>
                <w:szCs w:val="11"/>
                <w:color w:val="auto"/>
              </w:rPr>
            </w:pPr>
          </w:p>
        </w:tc>
        <w:tc>
          <w:tcPr>
            <w:tcW w:w="1200" w:type="dxa"/>
            <w:vAlign w:val="bottom"/>
            <w:gridSpan w:val="4"/>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11"/>
                <w:szCs w:val="11"/>
                <w:color w:val="auto"/>
              </w:rPr>
            </w:pPr>
          </w:p>
        </w:tc>
        <w:tc>
          <w:tcPr>
            <w:tcW w:w="106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Amount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of Par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Loss</w:t>
            </w:r>
          </w:p>
        </w:tc>
        <w:tc>
          <w:tcPr>
            <w:tcW w:w="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1, 2023</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12,227,562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$ 122,275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$ 74,946,685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(14,893,572)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(22,522,691)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$ 32,085,216</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207,123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207,123</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(3,537,571)</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(3,537,571)</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unrealized losses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 available-for-sale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(2,225,907)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(2,225,907)</w:t>
            </w:r>
          </w:p>
        </w:tc>
        <w:tc>
          <w:tcPr>
            <w:tcW w:w="0" w:type="dxa"/>
            <w:vAlign w:val="bottom"/>
          </w:tcPr>
          <w:p>
            <w:pPr>
              <w:spacing w:after="0"/>
              <w:rPr>
                <w:sz w:val="1"/>
                <w:szCs w:val="1"/>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Balance, September 30,</w:t>
            </w: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gridSpan w:val="2"/>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12,227,562</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$ 122,275</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$ 75,153,808</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(17,119,479)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(26,060,262)</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$ 26,528,861</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Preferred Stock</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7"/>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8"/>
              </w:rPr>
              <w:t>Other</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restart"/>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40" w:type="dxa"/>
            <w:vAlign w:val="bottom"/>
          </w:tcPr>
          <w:p>
            <w:pPr>
              <w:spacing w:after="0"/>
              <w:rPr>
                <w:sz w:val="11"/>
                <w:szCs w:val="11"/>
                <w:color w:val="auto"/>
              </w:rPr>
            </w:pPr>
          </w:p>
        </w:tc>
        <w:tc>
          <w:tcPr>
            <w:tcW w:w="120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11"/>
                <w:szCs w:val="11"/>
                <w:color w:val="auto"/>
              </w:rPr>
            </w:pPr>
          </w:p>
        </w:tc>
        <w:tc>
          <w:tcPr>
            <w:tcW w:w="1060" w:type="dxa"/>
            <w:vAlign w:val="bottom"/>
            <w:gridSpan w:val="2"/>
            <w:vMerge w:val="restart"/>
          </w:tcPr>
          <w:p>
            <w:pPr>
              <w:jc w:val="center"/>
              <w:ind w:right="12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Amount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20" w:type="dxa"/>
            <w:vAlign w:val="bottom"/>
          </w:tcPr>
          <w:p>
            <w:pPr>
              <w:spacing w:after="0"/>
              <w:rPr>
                <w:sz w:val="20"/>
                <w:szCs w:val="20"/>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1, 2024</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12,536,129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$ 125,361</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$ 76,042,147</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(12,624,559)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$(17,172,694)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$ 40,802,774</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359,170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359,170</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211,391</w:t>
            </w:r>
          </w:p>
        </w:tc>
        <w:tc>
          <w:tcPr>
            <w:tcW w:w="4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(106,687)</w:t>
            </w:r>
          </w:p>
        </w:tc>
        <w:tc>
          <w:tcPr>
            <w:tcW w:w="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(1,067)</w:t>
            </w:r>
          </w:p>
        </w:tc>
        <w:tc>
          <w:tcPr>
            <w:tcW w:w="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(951,644)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(952,711)</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37,959</w:t>
            </w: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35,248</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60,557</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offering costs of</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1,079,601</w:t>
            </w:r>
          </w:p>
        </w:tc>
        <w:tc>
          <w:tcPr>
            <w:tcW w:w="4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8,887,112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8,897,908</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$259,825</w:t>
            </w:r>
          </w:p>
        </w:tc>
        <w:tc>
          <w:tcPr>
            <w:tcW w:w="6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6,978,145</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6,978,145</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gains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available-for-sale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vMerge w:val="restart"/>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40" w:type="dxa"/>
            <w:vAlign w:val="bottom"/>
            <w:vMerge w:val="restart"/>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vMerge w:val="restart"/>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vMerge w:val="restart"/>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3,584,446</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vMerge w:val="continue"/>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September 30,</w:t>
            </w:r>
          </w:p>
        </w:tc>
        <w:tc>
          <w:tcPr>
            <w:tcW w:w="6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54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13,818,950</w:t>
            </w:r>
          </w:p>
        </w:tc>
        <w:tc>
          <w:tcPr>
            <w:tcW w:w="4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$ 138,190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$ 84,334,037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(9,040,113)</w:t>
            </w:r>
          </w:p>
        </w:tc>
        <w:tc>
          <w:tcPr>
            <w:tcW w:w="6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$(10,194,549)</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1,506,654</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$(5,567,833)</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$ 59,669,732</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2023</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12,171,512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$ 121,715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$ 74,519,590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(15,958,428)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$(16,945,964)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$ 36,169,432</w:t>
            </w:r>
          </w:p>
        </w:tc>
        <w:tc>
          <w:tcPr>
            <w:tcW w:w="0" w:type="dxa"/>
            <w:vAlign w:val="bottom"/>
          </w:tcPr>
          <w:p>
            <w:pPr>
              <w:spacing w:after="0"/>
              <w:rPr>
                <w:sz w:val="1"/>
                <w:szCs w:val="1"/>
                <w:color w:val="auto"/>
              </w:rPr>
            </w:pPr>
          </w:p>
        </w:tc>
      </w:tr>
      <w:tr>
        <w:trPr>
          <w:trHeight w:val="212"/>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636,178</w:t>
            </w:r>
          </w:p>
        </w:tc>
        <w:tc>
          <w:tcPr>
            <w:tcW w:w="0" w:type="dxa"/>
            <w:vAlign w:val="bottom"/>
          </w:tcPr>
          <w:p>
            <w:pPr>
              <w:spacing w:after="0"/>
              <w:rPr>
                <w:sz w:val="1"/>
                <w:szCs w:val="1"/>
                <w:color w:val="auto"/>
              </w:rPr>
            </w:pPr>
          </w:p>
        </w:tc>
      </w:tr>
      <w:tr>
        <w:trPr>
          <w:trHeight w:val="31"/>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56,977</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(9,114,298)</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(9,114,298)</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unrealized losses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 available-for-sale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(1,161,051)</w:t>
            </w: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(1,161,051)</w:t>
            </w:r>
          </w:p>
        </w:tc>
        <w:tc>
          <w:tcPr>
            <w:tcW w:w="0" w:type="dxa"/>
            <w:vAlign w:val="bottom"/>
          </w:tcPr>
          <w:p>
            <w:pPr>
              <w:spacing w:after="0"/>
              <w:rPr>
                <w:sz w:val="1"/>
                <w:szCs w:val="1"/>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Balance, September 30,</w:t>
            </w: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12,227,562</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$ 122,275</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$ 75,153,808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(17,119,479)</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$(26,060,262)</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$ 26,528,861</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2024</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12,248,313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$ 122,483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$ 75,338,010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$(23,114,310)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$ 34,504,139</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906,375</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446,044</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(961,091)</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35,248</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offering costs of</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1,135,710</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9,054,741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9,066,098</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$360,670</w:t>
            </w:r>
          </w:p>
        </w:tc>
        <w:tc>
          <w:tcPr>
            <w:tcW w:w="6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12,919,761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12,919,761</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gains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available-for-sale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3,234,450</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3,234,450</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September 30,</w:t>
            </w: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13,818,950</w:t>
            </w:r>
          </w:p>
        </w:tc>
        <w:tc>
          <w:tcPr>
            <w:tcW w:w="80" w:type="dxa"/>
            <w:vAlign w:val="bottom"/>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$ 138,190</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$ 84,334,037</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(9,040,113)</w:t>
            </w:r>
          </w:p>
        </w:tc>
        <w:tc>
          <w:tcPr>
            <w:tcW w:w="80" w:type="dxa"/>
            <w:vAlign w:val="bottom"/>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$(10,194,549)</w:t>
            </w:r>
          </w:p>
        </w:tc>
        <w:tc>
          <w:tcPr>
            <w:tcW w:w="80" w:type="dxa"/>
            <w:vAlign w:val="bottom"/>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1,506,654</w:t>
            </w:r>
          </w:p>
        </w:tc>
        <w:tc>
          <w:tcPr>
            <w:tcW w:w="80" w:type="dxa"/>
            <w:vAlign w:val="bottom"/>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$(5,567,833)</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$ 59,669,732</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50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12,919,761</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(9,114,298)</w:t>
            </w: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(used in) operating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17,201</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unrealized gains on equity investments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(977,117)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(173,178)</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(402,028)</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(441,666)</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1,835,503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2,327,691</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85,273</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Accretion of bond discount,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(560,649)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118,280</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discount and issuance costs on debt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819,930</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890,758</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906,375</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636,178</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3,689,197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(2,149,367)</w:t>
            </w: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(4,081,882)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495,036</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9,847,085</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(17,792,865)</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(2,049,801)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3,287,131</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429,999</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(144,475)</w:t>
            </w: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(4,975,411)</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3,335,434</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14,353,241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(4,331,227)</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1,509,633</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3,449,195</w:t>
            </w:r>
          </w:p>
        </w:tc>
      </w:tr>
      <w:tr>
        <w:trPr>
          <w:trHeight w:val="25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(2,970,585)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7,201,518</w:t>
            </w:r>
          </w:p>
        </w:tc>
      </w:tr>
      <w:tr>
        <w:trPr>
          <w:trHeight w:val="263"/>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825,228</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(1,226,518)</w:t>
            </w:r>
          </w:p>
        </w:tc>
      </w:tr>
      <w:tr>
        <w:trPr>
          <w:trHeight w:val="250"/>
        </w:trPr>
        <w:tc>
          <w:tcPr>
            <w:tcW w:w="8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3,399,435</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(2,198,271)</w:t>
            </w:r>
          </w:p>
        </w:tc>
      </w:tr>
      <w:tr>
        <w:trPr>
          <w:trHeight w:val="25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34,959,578</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(15,754,344)</w:t>
            </w:r>
          </w:p>
        </w:tc>
      </w:tr>
      <w:tr>
        <w:trPr>
          <w:trHeight w:val="257"/>
        </w:trPr>
        <w:tc>
          <w:tcPr>
            <w:tcW w:w="8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 fixed-maturity securities available-for-sale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(125,744,401)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(13,167,937)</w:t>
            </w: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 fixed-maturity securities held-to-maturity</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and maturity - fixed-maturity securities available-for-sale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113,854,152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33,453,349</w:t>
            </w: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 equity securities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4,410,859</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99,917</w:t>
            </w:r>
          </w:p>
        </w:tc>
      </w:tr>
      <w:tr>
        <w:trPr>
          <w:trHeight w:val="25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(1,738,969)</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(1,380,256)</w:t>
            </w:r>
          </w:p>
        </w:tc>
      </w:tr>
      <w:tr>
        <w:trPr>
          <w:trHeight w:val="25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provided by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(9,218,359)</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19,755,073</w:t>
            </w:r>
          </w:p>
        </w:tc>
      </w:tr>
      <w:tr>
        <w:trPr>
          <w:trHeight w:val="257"/>
        </w:trPr>
        <w:tc>
          <w:tcPr>
            <w:tcW w:w="8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payments on equipment financing</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(859,045)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(810,289)</w:t>
            </w: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 on 2022 Notes</w:t>
            </w: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(5,000,000) -</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payment on 2024 Notes</w:t>
            </w:r>
          </w:p>
        </w:tc>
        <w:tc>
          <w:tcPr>
            <w:tcW w:w="28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(3,000,000) -</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 costs on 2024 and 2022 Notes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(203,381)</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9,066,098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taxes paid on vested restricted stock awards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(961,091)</w:t>
            </w:r>
          </w:p>
        </w:tc>
        <w:tc>
          <w:tcPr>
            <w:tcW w:w="1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43"/>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(957,419)</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(825,988)</w:t>
            </w:r>
          </w:p>
        </w:tc>
      </w:tr>
      <w:tr>
        <w:trPr>
          <w:trHeight w:val="257"/>
        </w:trPr>
        <w:tc>
          <w:tcPr>
            <w:tcW w:w="8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24,783,800</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3,174,741</w:t>
            </w: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8,976,998</w:t>
            </w:r>
          </w:p>
        </w:tc>
        <w:tc>
          <w:tcPr>
            <w:tcW w:w="1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11,958,228</w:t>
            </w:r>
          </w:p>
        </w:tc>
      </w:tr>
      <w:tr>
        <w:trPr>
          <w:trHeight w:val="24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33,760,798</w:t>
            </w:r>
          </w:p>
        </w:tc>
        <w:tc>
          <w:tcPr>
            <w:tcW w:w="1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15,132,969</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9"/>
        </w:trPr>
        <w:tc>
          <w:tcPr>
            <w:tcW w:w="8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1,695,141</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1,628,357</w:t>
            </w:r>
          </w:p>
        </w:tc>
      </w:tr>
      <w:tr>
        <w:trPr>
          <w:trHeight w:val="263"/>
        </w:trPr>
        <w:tc>
          <w:tcPr>
            <w:tcW w:w="8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3,234,450</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(1,161,051)</w:t>
            </w:r>
          </w:p>
        </w:tc>
      </w:tr>
    </w:tbl>
    <w:p>
      <w:pPr>
        <w:sectPr>
          <w:pgSz w:w="11900" w:h="16838" w:orient="portrait"/>
          <w:cols w:equalWidth="0" w:num="1">
            <w:col w:w="11240"/>
          </w:cols>
          <w:pgMar w:left="320" w:top="119" w:right="33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Kingstone Companies, Inc. (referred to herein as "Kingstone" or the “Company” or, on a standalone basis for the parent company only, the “Holding Company”), through its wholly-owned subsidiary, Kingstone Insurance Company (“KICO”), underwrites property and casualty insurance exclusively.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three months ended September 30, 2024 and 2023, 96.3% and 88.5%, respectively, of KICO’s direct written premiums came from the New York policies. For the nine months ended September 30, 2024 and 2023, 95.6% and 88.1%,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2023 and notes thereto included in the Company’s Annual Report on Form 10-K filed with the Securities and Exchange Commission (the “SEC”) on April 1, 2024.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and nine months ended September 30, 2024 may not be indicative of the results that may be expected for the year ending December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Components of ceded premiums written within prior year net earned premiums in Note 6 were reclassified to conform with an elected change in the prior year presentation during the quarter ended September 30, 2023, by recording ceded written premiums for the 12 months of the contract term at inception, rather than monthly over the contract term, providing a full disclosure of the premiums ceded. The reclassification had no effect on the Company’s previously reported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Going Concern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 the Company’s Annual Report on Form 10-K for the year ended December 31, 2023 for further information.</w:t>
      </w:r>
    </w:p>
    <w:p>
      <w:pPr>
        <w:spacing w:after="0" w:line="14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assuming that the Company will continue as a going concern for a period of one year from the issuance date of the financial statements. The Company’s $19,950,000 12.0% Senior Notes (the “2022 Notes”) were due on December 30, 2024. The Company’s continuation as a going concern was dependent on its ability to obtain financing and/or other funds to satisfy such obligation. The 2022 Notes were refinanced on September 12, 2024, under a note exchange agreement with a refinanced balance of $14,950,000 as of September 12, 2024 and a maturity date of June 30, 2026. (see Note 7 -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and includes the reserves for losses and loss adjustment expense (“LAE”), which are subject to estimation errors due to the inherent uncertainty in projecting ultimate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claim amounts that will be reported and settled over a period of many years. In addition, estimates and assumptions associated with loss and LAE recoverable under reinsurance contracts and other receivables or payable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Kingstone and its wholly-owned subsidiaries: (1) KICO and its wholly-owned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ASU-2023-09 is effective for public companies with annual periods beginning after December 15, 2024, with early adoption permitted. The Company is currently evaluating the impact of ASU 2023-09 on its disclosures.</w:t>
      </w:r>
    </w:p>
    <w:p>
      <w:pPr>
        <w:spacing w:after="0" w:line="1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("ASU 2023-07), which introduces improvements to the information that a public entity discloses about its reportable segments and addresses investor requests for more information about reportable segment expenses. ASU 2023-07 does not change the current guidance related to the identification of operating segments, the determination of reportable segments, or the aggregation criteria. Rather, the new guidance introduces additional disclosure requirements and expands those requirements to entities with a single reportable segment, not just entities with multiple reportable segments. ASU 2023-07 is effective for fiscal years beginning after December 15, 2023, and interim periods within fiscal years beginning after December 15, 2024. The Company is currently evaluating the impact of ASU 2023-07 on its disclosures.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estimated fair value, and gross unrealized gains and losses on investments in fixed-maturity securities classified as available-for-sale for which an allowance for credit losses has not been recorded, as of September 30, 2024 and December 31, 2023 are summarized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448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w:t>
      </w:r>
    </w:p>
    <w:p>
      <w:pPr>
        <w:spacing w:after="0" w:line="54"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5623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9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187"/>
        </w:trPr>
        <w:tc>
          <w:tcPr>
            <w:tcW w:w="156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32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52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6"/>
                <w:szCs w:val="16"/>
                <w:color w:val="auto"/>
              </w:rPr>
            </w:pPr>
          </w:p>
        </w:tc>
        <w:tc>
          <w:tcPr>
            <w:tcW w:w="154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325755</wp:posOffset>
            </wp:positionV>
            <wp:extent cx="7132320" cy="557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161" w:lineRule="exact"/>
        <w:rPr>
          <w:sz w:val="20"/>
          <w:szCs w:val="20"/>
          <w:color w:val="auto"/>
        </w:rPr>
      </w:pPr>
    </w:p>
    <w:p>
      <w:pPr>
        <w:sectPr>
          <w:pgSz w:w="11900" w:h="16838" w:orient="portrait"/>
          <w:cols w:equalWidth="0" w:num="2">
            <w:col w:w="2140" w:space="240"/>
            <w:col w:w="88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agencies (1)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5,999,188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5,997,060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52"/>
        </w:trPr>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16,499,862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13,889,290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(2,610,572)</w:t>
            </w:r>
          </w:p>
        </w:tc>
      </w:tr>
      <w:tr>
        <w:trPr>
          <w:trHeight w:val="257"/>
        </w:trPr>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107,655,225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103,783,847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(3,871,378)</w:t>
            </w:r>
          </w:p>
        </w:tc>
      </w:tr>
      <w:tr>
        <w:trPr>
          <w:trHeight w:val="256"/>
        </w:trPr>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 securities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46,749,976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(5,097,373)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41,788,148</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(4,961,828)</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176,904,251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167,638</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(49,412)</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(11,564,132)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165,458,345</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(11,445,906)</w:t>
            </w:r>
          </w:p>
        </w:tc>
      </w:tr>
      <w:tr>
        <w:trPr>
          <w:trHeight w:val="27"/>
        </w:trPr>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337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Fixed-Maturity Securities:</w:t>
      </w:r>
    </w:p>
    <w:p>
      <w:pPr>
        <w:spacing w:after="0" w:line="65"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7346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87"/>
        </w:trPr>
        <w:tc>
          <w:tcPr>
            <w:tcW w:w="158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3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5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6"/>
                <w:szCs w:val="16"/>
                <w:color w:val="auto"/>
              </w:rPr>
            </w:pPr>
          </w:p>
        </w:tc>
        <w:tc>
          <w:tcPr>
            <w:tcW w:w="156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291465</wp:posOffset>
            </wp:positionV>
            <wp:extent cx="7132320" cy="557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107" w:lineRule="exact"/>
        <w:rPr>
          <w:sz w:val="20"/>
          <w:szCs w:val="20"/>
          <w:color w:val="auto"/>
        </w:rPr>
      </w:pPr>
    </w:p>
    <w:p>
      <w:pPr>
        <w:sectPr>
          <w:pgSz w:w="11900" w:h="16838" w:orient="portrait"/>
          <w:cols w:equalWidth="0" w:num="2">
            <w:col w:w="2060" w:space="140"/>
            <w:col w:w="90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20,954,764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20,939,190</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16,607,713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(3,209,161)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13,398,552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(3,209,161)</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75,993,042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70,107,746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(5,885,296)</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 securities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(6,541,731)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44,475,309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(6,430,114)</w:t>
            </w:r>
          </w:p>
        </w:tc>
        <w:tc>
          <w:tcPr>
            <w:tcW w:w="0" w:type="dxa"/>
            <w:vAlign w:val="bottom"/>
          </w:tcPr>
          <w:p>
            <w:pPr>
              <w:spacing w:after="0"/>
              <w:rPr>
                <w:sz w:val="1"/>
                <w:szCs w:val="1"/>
                <w:color w:val="auto"/>
              </w:rPr>
            </w:pPr>
          </w:p>
        </w:tc>
      </w:tr>
      <w:tr>
        <w:trPr>
          <w:trHeight w:val="191"/>
        </w:trPr>
        <w:tc>
          <w:tcPr>
            <w:tcW w:w="2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164,460,942</w:t>
            </w:r>
          </w:p>
        </w:tc>
        <w:tc>
          <w:tcPr>
            <w:tcW w:w="10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115,560</w:t>
            </w:r>
          </w:p>
        </w:tc>
        <w:tc>
          <w:tcPr>
            <w:tcW w:w="100" w:type="dxa"/>
            <w:vAlign w:val="bottom"/>
          </w:tcPr>
          <w:p>
            <w:pPr>
              <w:spacing w:after="0"/>
              <w:rPr>
                <w:sz w:val="16"/>
                <w:szCs w:val="16"/>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(15,636,188)</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148,920,797</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(15,540,145)</w:t>
            </w:r>
          </w:p>
        </w:tc>
        <w:tc>
          <w:tcPr>
            <w:tcW w:w="0" w:type="dxa"/>
            <w:vAlign w:val="bottom"/>
          </w:tcPr>
          <w:p>
            <w:pPr>
              <w:spacing w:after="0"/>
              <w:rPr>
                <w:sz w:val="1"/>
                <w:szCs w:val="1"/>
                <w:color w:val="auto"/>
              </w:rPr>
            </w:pPr>
          </w:p>
        </w:tc>
      </w:tr>
      <w:tr>
        <w:trPr>
          <w:trHeight w:val="22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2040" w:hanging="1083"/>
        <w:spacing w:after="0" w:line="254" w:lineRule="auto"/>
        <w:tabs>
          <w:tab w:leader="none" w:pos="20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sale-leaseback transaction in a designated custodian account (see Note 7 – Debt - “Equipment Financing”). As of September 30, 2024 and December 31, 2023, the amount of required collateral was approximately $5,731,000 and $6,999,000, respectively. As of September 30, 2024 and December 31, 2023, the estimated fair value of the U.S. Treasury securities used as eligible collateral was approximately $5,997,000 and $11,960,000, respectively.</w:t>
      </w:r>
    </w:p>
    <w:p>
      <w:pPr>
        <w:spacing w:after="0" w:line="3" w:lineRule="exact"/>
        <w:rPr>
          <w:rFonts w:ascii="Times New Roman" w:cs="Times New Roman" w:eastAsia="Times New Roman" w:hAnsi="Times New Roman"/>
          <w:sz w:val="18"/>
          <w:szCs w:val="18"/>
          <w:color w:val="auto"/>
        </w:rPr>
      </w:pPr>
    </w:p>
    <w:p>
      <w:pPr>
        <w:jc w:val="both"/>
        <w:ind w:left="2040" w:hanging="1083"/>
        <w:spacing w:after="0" w:line="252" w:lineRule="auto"/>
        <w:tabs>
          <w:tab w:leader="none" w:pos="20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September 30, 2024 and December 31, 2023, the estimated fair value of the eligible investments was approximately $10,944,000 and $11,412,000, respectively. KICO will retain all rights regarding all securities if pledged as collateral. As of September 30, 2024 and December 31, 2023 there was no outstanding balance on the FHLBNY credit line.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available-for-sale fixed-maturity securities by contractual maturity as of September 30, 2024 and December 31, 2023 is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1"/>
                <w:szCs w:val="21"/>
                <w:color w:val="auto"/>
              </w:rPr>
            </w:pPr>
          </w:p>
        </w:tc>
        <w:tc>
          <w:tcPr>
            <w:tcW w:w="28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3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2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2"/>
                <w:szCs w:val="22"/>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4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22,025,067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21,941,045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34,729,120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34,461,172</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60,622,550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59,664,158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30,416,618</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34,666,169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31,548,462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31,596,410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27,330,377</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12,237,321</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46,749,976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41,788,148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44,475,309</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176,904,251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165,458,345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164,460,942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148,920,797</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fixed-maturity securities as of September 30, 2024 and December 31,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cost and estimated fair value of, and gross unrealized gains and losses on, investments in equity securities as of September 30, 2024 and December 31, 2023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07"/>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2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8,110,428</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3,103,800</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(2,247,326)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11,280,228</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68"/>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1"/>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2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13,583,942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10,713,915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3,042,000</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937,025</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69,400</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17,986,783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14,762,340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cost and estimated fair value of, and gross gains on, the Company’s other investments as of September 30, 2024 and December 31, 2023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07"/>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4,299,178</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1,910,110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3,897,150</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or amortized cost and estimated fair value of, and unrealized gross gains and losses on, investments in held-to-maturity fixed-maturity securities as of September 30, 2024 and December 31, 2023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16"/>
                <w:szCs w:val="16"/>
                <w:color w:val="auto"/>
              </w:rPr>
            </w:pPr>
          </w:p>
        </w:tc>
        <w:tc>
          <w:tcPr>
            <w:tcW w:w="128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00" w:type="dxa"/>
            <w:vAlign w:val="bottom"/>
          </w:tcPr>
          <w:p>
            <w:pPr>
              <w:spacing w:after="0"/>
              <w:rPr>
                <w:sz w:val="16"/>
                <w:szCs w:val="16"/>
                <w:color w:val="auto"/>
              </w:rPr>
            </w:pPr>
          </w:p>
        </w:tc>
        <w:tc>
          <w:tcPr>
            <w:tcW w:w="1160" w:type="dxa"/>
            <w:vAlign w:val="bottom"/>
          </w:tcPr>
          <w:p>
            <w:pPr>
              <w:jc w:val="center"/>
              <w:ind w:right="110"/>
              <w:spacing w:after="0" w:line="16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7"/>
                <w:szCs w:val="17"/>
                <w:color w:val="auto"/>
              </w:rPr>
            </w:pPr>
          </w:p>
        </w:tc>
        <w:tc>
          <w:tcPr>
            <w:tcW w:w="116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5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506"/>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1,229,091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1,235,913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traded debt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(63,411)</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5,015,879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(713,374)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4,302,505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(713,374)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7,048,662</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(786,389)</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6,278,968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(769,694)</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64"/>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14"/>
                <w:szCs w:val="14"/>
                <w:color w:val="auto"/>
              </w:rPr>
            </w:pPr>
          </w:p>
        </w:tc>
        <w:tc>
          <w:tcPr>
            <w:tcW w:w="128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00" w:type="dxa"/>
            <w:vAlign w:val="bottom"/>
          </w:tcPr>
          <w:p>
            <w:pPr>
              <w:spacing w:after="0"/>
              <w:rPr>
                <w:sz w:val="14"/>
                <w:szCs w:val="14"/>
                <w:color w:val="auto"/>
              </w:rPr>
            </w:pPr>
          </w:p>
        </w:tc>
        <w:tc>
          <w:tcPr>
            <w:tcW w:w="1160" w:type="dxa"/>
            <w:vAlign w:val="bottom"/>
          </w:tcPr>
          <w:p>
            <w:pPr>
              <w:jc w:val="center"/>
              <w:ind w:right="110"/>
              <w:spacing w:after="0" w:line="16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More than 12</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5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50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1,218,828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(70,111)</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5,020,400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(867,140)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4,153,260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(867,140)</w:t>
            </w: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7,052,541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(955,414)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6,106,148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(946,393)</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funds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held-to-maturity securities by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1"/>
                <w:szCs w:val="21"/>
                <w:color w:val="auto"/>
              </w:rPr>
            </w:pPr>
          </w:p>
        </w:tc>
        <w:tc>
          <w:tcPr>
            <w:tcW w:w="28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1"/>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03"/>
        </w:trPr>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3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2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1,097,101</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1,270,770</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4,502,401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3,819,942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4,516,342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3,738,277</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7,048,662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6,278,968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7,052,541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6,106,148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held-to-maturity fixed-maturity securities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Investment Income</w:t>
            </w:r>
          </w:p>
        </w:tc>
        <w:tc>
          <w:tcPr>
            <w:tcW w:w="3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53"/>
        </w:trPr>
        <w:tc>
          <w:tcPr>
            <w:tcW w:w="6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0"/>
        </w:trPr>
        <w:tc>
          <w:tcPr>
            <w:tcW w:w="1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4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3,511,243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3,982,573</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540,788</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171,015</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1,702,782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5,092,058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4,694,376</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257,168</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1,649,673</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1,444,360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4,917,129</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4,437,208</w:t>
            </w:r>
          </w:p>
        </w:tc>
      </w:tr>
      <w:tr>
        <w:trPr>
          <w:trHeight w:val="27"/>
        </w:trPr>
        <w:tc>
          <w:tcPr>
            <w:tcW w:w="1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Redemptions of fixed-maturity securities held-to-maturity were $— and $750,000 for the nine months ended September 30, 2024 and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Proceeds from the sale or maturity of fixed-maturity securities available-for-sale were $113,854,152 and $33,453,349 for the nine months ended September 30,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equity securities were $4,410,859 and $99,917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gains on investments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50"/>
        </w:trPr>
        <w:tc>
          <w:tcPr>
            <w:tcW w:w="5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Realized Gains (Losses)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533"/>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5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(18,408)</w:t>
            </w:r>
          </w:p>
        </w:tc>
      </w:tr>
      <w:tr>
        <w:trPr>
          <w:trHeight w:val="250"/>
        </w:trPr>
        <w:tc>
          <w:tcPr>
            <w:tcW w:w="50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(17,201)</w:t>
            </w:r>
          </w:p>
        </w:tc>
      </w:tr>
      <w:tr>
        <w:trPr>
          <w:trHeight w:val="257"/>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(423,367)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369,877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365,938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(17,201)</w:t>
            </w:r>
          </w:p>
        </w:tc>
      </w:tr>
      <w:tr>
        <w:trPr>
          <w:trHeight w:val="256"/>
        </w:trPr>
        <w:tc>
          <w:tcPr>
            <w:tcW w:w="5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 Gains (Losses)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669,059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1,291,933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173,178</w:t>
            </w:r>
          </w:p>
        </w:tc>
      </w:tr>
      <w:tr>
        <w:trPr>
          <w:trHeight w:val="25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354,243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977,117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173,178</w:t>
            </w:r>
          </w:p>
        </w:tc>
      </w:tr>
      <w:tr>
        <w:trPr>
          <w:trHeight w:val="256"/>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441,666</w:t>
            </w:r>
          </w:p>
        </w:tc>
      </w:tr>
      <w:tr>
        <w:trPr>
          <w:trHeight w:val="257"/>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(336,222)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402,028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441,666</w:t>
            </w:r>
          </w:p>
        </w:tc>
      </w:tr>
      <w:tr>
        <w:trPr>
          <w:trHeight w:val="257"/>
        </w:trPr>
        <w:tc>
          <w:tcPr>
            <w:tcW w:w="5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460,584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1,379,145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614,844</w:t>
            </w:r>
          </w:p>
        </w:tc>
      </w:tr>
      <w:tr>
        <w:trPr>
          <w:trHeight w:val="256"/>
        </w:trPr>
        <w:tc>
          <w:tcPr>
            <w:tcW w:w="5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826,522</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(824,370)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1,319,307</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597,643</w:t>
            </w: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available-for-sale securities as of September 30, 2024 and December 31, 2023 which presented a risk of loss due to credit deterioration of the security.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there were 142 and 140 fixed-maturity securities, respectively, that accounted for the gross unrealized losses. The Company determined that none of the unrealized losses were deemed to be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losses for its portfolio of investments for the nine months ended September 30, 2024 and 2023.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September 30, 2024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Held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7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obligations of U.S.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5,997,060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5,997,060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States, Territories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Possessions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13,889,291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(2,610,572)</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13,889,291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(2,610,572)</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bonds industrial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17,557,547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(49,276)</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63,278,931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(3,854,059)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80,836,478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(3,903,335)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asset backed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37,008,025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(5,097,373)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37,016,430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(5,097,509)</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17,565,952</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(49,412)</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120,173,307</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(11,564,132)</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137,739,259</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(11,613,544)</w:t>
            </w:r>
          </w:p>
        </w:tc>
        <w:tc>
          <w:tcPr>
            <w:tcW w:w="0" w:type="dxa"/>
            <w:vAlign w:val="bottom"/>
          </w:tcPr>
          <w:p>
            <w:pPr>
              <w:spacing w:after="0"/>
              <w:rPr>
                <w:sz w:val="1"/>
                <w:szCs w:val="1"/>
                <w:color w:val="auto"/>
              </w:rPr>
            </w:pPr>
          </w:p>
        </w:tc>
      </w:tr>
      <w:tr>
        <w:trPr>
          <w:trHeight w:val="20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December 31, 2023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15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Held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6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obligations of U.S.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 corporations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5,974,440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5,974,440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(17,373)</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States, Territories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Possessions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13,398,552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(3,209,161)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13,398,552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(3,209,161)</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bonds industrial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70,107,746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(5,885,296)</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70,107,746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(5,885,296)</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asset backed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38,675,604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(6,541,731)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38,764,592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(6,543,875)</w:t>
            </w: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6,063,428</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(19,517)</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122,181,902</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(15,636,188)</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128,245,330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(15,655,705)</w:t>
            </w:r>
          </w:p>
        </w:tc>
        <w:tc>
          <w:tcPr>
            <w:tcW w:w="0" w:type="dxa"/>
            <w:vAlign w:val="bottom"/>
          </w:tcPr>
          <w:p>
            <w:pPr>
              <w:spacing w:after="0"/>
              <w:rPr>
                <w:sz w:val="1"/>
                <w:szCs w:val="1"/>
                <w:color w:val="auto"/>
              </w:rPr>
            </w:pPr>
          </w:p>
        </w:tc>
      </w:tr>
      <w:tr>
        <w:trPr>
          <w:trHeight w:val="20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investments that are measured at fair value on a recurring basis at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indicating the level of the fair value hierarchy of the valuation inputs the Company utilized to determine such fair value: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50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5,997,060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5,997,060</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13,889,290</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13,889,290</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103,783,847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103,783,847</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41,788,148</w:t>
            </w:r>
          </w:p>
        </w:tc>
        <w:tc>
          <w:tcPr>
            <w:tcW w:w="8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41,788,148</w:t>
            </w:r>
          </w:p>
        </w:tc>
        <w:tc>
          <w:tcPr>
            <w:tcW w:w="0" w:type="dxa"/>
            <w:vAlign w:val="bottom"/>
          </w:tcPr>
          <w:p>
            <w:pPr>
              <w:spacing w:after="0"/>
              <w:rPr>
                <w:sz w:val="1"/>
                <w:szCs w:val="1"/>
                <w:color w:val="auto"/>
              </w:rPr>
            </w:pPr>
          </w:p>
        </w:tc>
      </w:tr>
      <w:tr>
        <w:trPr>
          <w:trHeight w:val="28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maturities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109,780,907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55,677,438</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165,458,345</w:t>
            </w:r>
          </w:p>
        </w:tc>
        <w:tc>
          <w:tcPr>
            <w:tcW w:w="0" w:type="dxa"/>
            <w:vAlign w:val="bottom"/>
          </w:tcPr>
          <w:p>
            <w:pPr>
              <w:spacing w:after="0"/>
              <w:rPr>
                <w:sz w:val="1"/>
                <w:szCs w:val="1"/>
                <w:color w:val="auto"/>
              </w:rPr>
            </w:pPr>
          </w:p>
        </w:tc>
      </w:tr>
      <w:tr>
        <w:trPr>
          <w:trHeight w:val="30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11,280,228</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11,280,228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121,061,135</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55,677,438</w:t>
            </w:r>
          </w:p>
        </w:tc>
        <w:tc>
          <w:tcPr>
            <w:tcW w:w="80" w:type="dxa"/>
            <w:vAlign w:val="bottom"/>
          </w:tcPr>
          <w:p>
            <w:pPr>
              <w:spacing w:after="0"/>
              <w:rPr>
                <w:sz w:val="21"/>
                <w:szCs w:val="21"/>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176,738,573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5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50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20,939,190</w:t>
            </w:r>
          </w:p>
        </w:tc>
        <w:tc>
          <w:tcPr>
            <w:tcW w:w="8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20,939,190</w:t>
            </w: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13,398,552</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13,398,552</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70,107,746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70,107,746</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44,475,309</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44,475,309</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91,046,936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57,873,861</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148,920,797</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14,762,340</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14,762,340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105,809,276</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57,873,861</w:t>
            </w:r>
          </w:p>
        </w:tc>
        <w:tc>
          <w:tcPr>
            <w:tcW w:w="80" w:type="dxa"/>
            <w:vAlign w:val="bottom"/>
          </w:tcPr>
          <w:p>
            <w:pPr>
              <w:spacing w:after="0"/>
              <w:rPr>
                <w:sz w:val="21"/>
                <w:szCs w:val="21"/>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163,683,137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2"/>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investment in a hedge fund measured at Net Asset Value (“NAV”) per share as of September 30, 2024 and December 31, 2023. The Company measures this investment at fair value on a recurring basis. Fair value using NAV per share is as follows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5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3,897,150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on investments.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estimated fair value and the level of the fair value hierarchy of the Company’s 2024 Notes and 2022 Notes as of September 30, 2024 and December 31, 2023 not measured at fair value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50"/>
        </w:trPr>
        <w:tc>
          <w:tcPr>
            <w:tcW w:w="4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11,200,181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11,200,181</w:t>
            </w:r>
          </w:p>
        </w:tc>
      </w:tr>
      <w:tr>
        <w:trPr>
          <w:trHeight w:val="50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0"/>
        </w:trPr>
        <w:tc>
          <w:tcPr>
            <w:tcW w:w="4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504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 Senior Notes due 2024</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17,812,500</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17,812,500</w:t>
            </w:r>
          </w:p>
        </w:tc>
      </w:tr>
      <w:tr>
        <w:trPr>
          <w:trHeight w:val="48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 and Real Estate</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and real estate, including their fair value level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50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held-to- maturity, 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7,048,662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6,278,968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7,052,541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6,106,148</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109,780,907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109,780,907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91,046,936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91,046,936</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55,677,438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55,677,438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57,873,861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57,873,861</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33,760,798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33,760,798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8,976,998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8,976,998</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 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17,601,417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17,601,417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13,604,808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13,604,808</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receivables, net, Level 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65,746,827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65,746,827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75,593,912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75,593,912</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net of accumulated depreciation, Level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balances payable, Level 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9,866,555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12,837,140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12,837,140</w:t>
            </w:r>
          </w:p>
        </w:tc>
      </w:tr>
      <w:tr>
        <w:trPr>
          <w:trHeight w:val="918"/>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Property and Casualty Insurance Activity</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Premiums Earned</w:t>
            </w: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 written, ceded and earned are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3"/>
        </w:trPr>
        <w:tc>
          <w:tcPr>
            <w:tcW w:w="1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30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50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169,446,603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(69,381,336)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100,065,267</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(14,353,242)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6,818,683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(7,534,559)</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155,093,361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(62,562,653)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92,530,708</w:t>
            </w: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147,236,636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(75,963,569)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71,273,067</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4,331,226</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10,097,174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14,428,400</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151,567,862</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(65,866,395)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85,701,467</w:t>
            </w: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130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66,626,664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(46,081,473)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20,545,191</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(12,540,101)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25,402,104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12,862,003</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54,086,563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(20,679,369)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33,407,194</w:t>
            </w: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51,992,246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(48,316,946)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3,675,300</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(1,246,657)</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25,509,675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24,263,018</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50,745,589</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(22,807,271)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27,938,318</w:t>
            </w:r>
          </w:p>
        </w:tc>
      </w:tr>
      <w:tr>
        <w:trPr>
          <w:trHeight w:val="27"/>
        </w:trPr>
        <w:tc>
          <w:tcPr>
            <w:tcW w:w="13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receipts in advance of the policy effective date are recorded as advance premiums. The balance of advance premiums as of September 30, 2024 and December 31, 2023 was $5,307,223 and $3,797,590,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Loss and Loss Adjustment Expense Reserves</w:t>
            </w: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unpaid loss and LAE reserves: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3"/>
        </w:trPr>
        <w:tc>
          <w:tcPr>
            <w:tcW w:w="3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32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32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121,817,862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118,339,513</w:t>
            </w: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4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(33,288,650)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(27,659,500)</w:t>
            </w:r>
          </w:p>
        </w:tc>
      </w:tr>
      <w:tr>
        <w:trPr>
          <w:trHeight w:val="25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4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88,529,212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90,680,013</w:t>
            </w:r>
          </w:p>
        </w:tc>
      </w:tr>
      <w:tr>
        <w:trPr>
          <w:trHeight w:val="256"/>
        </w:trPr>
        <w:tc>
          <w:tcPr>
            <w:tcW w:w="32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4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46,762,530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66,568,985</w:t>
            </w: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years</w:t>
            </w:r>
          </w:p>
        </w:tc>
        <w:tc>
          <w:tcPr>
            <w:tcW w:w="49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(1,637,038)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(16,420)</w:t>
            </w:r>
          </w:p>
        </w:tc>
      </w:tr>
      <w:tr>
        <w:trPr>
          <w:trHeight w:val="24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4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45,125,492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66,552,565</w:t>
            </w:r>
          </w:p>
        </w:tc>
      </w:tr>
      <w:tr>
        <w:trPr>
          <w:trHeight w:val="257"/>
        </w:trPr>
        <w:tc>
          <w:tcPr>
            <w:tcW w:w="3280" w:type="dxa"/>
            <w:vAlign w:val="bottom"/>
            <w:shd w:val="clear" w:color="auto" w:fill="CCEEFF"/>
          </w:tcPr>
          <w:p>
            <w:pPr>
              <w:spacing w:after="0"/>
              <w:rPr>
                <w:sz w:val="22"/>
                <w:szCs w:val="22"/>
                <w:color w:val="auto"/>
              </w:rPr>
            </w:pPr>
          </w:p>
        </w:tc>
        <w:tc>
          <w:tcPr>
            <w:tcW w:w="4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w:t>
            </w:r>
          </w:p>
        </w:tc>
        <w:tc>
          <w:tcPr>
            <w:tcW w:w="4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24,507,023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37,932,760</w:t>
            </w: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years</w:t>
            </w:r>
          </w:p>
        </w:tc>
        <w:tc>
          <w:tcPr>
            <w:tcW w:w="4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21,353,578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29,928,162</w:t>
            </w:r>
          </w:p>
        </w:tc>
      </w:tr>
      <w:tr>
        <w:trPr>
          <w:trHeight w:val="25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49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45,860,601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67,860,922</w:t>
            </w:r>
          </w:p>
        </w:tc>
      </w:tr>
      <w:tr>
        <w:trPr>
          <w:trHeight w:val="257"/>
        </w:trPr>
        <w:tc>
          <w:tcPr>
            <w:tcW w:w="32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4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87,794,103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89,371,656</w:t>
            </w: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reinsurance recoverables</w:t>
            </w:r>
          </w:p>
        </w:tc>
        <w:tc>
          <w:tcPr>
            <w:tcW w:w="4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29,048,348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32,303,291</w:t>
            </w:r>
          </w:p>
        </w:tc>
      </w:tr>
      <w:tr>
        <w:trPr>
          <w:trHeight w:val="2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116,842,451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121,674,947</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Incurred losses and LAE are presented net of reinsurance recoveries under reinsurance contracts of $13,744,230 and $34,019,370 for the nine months ended September 30, 2024 and 2023,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year incurred loss and LAE development is based upon estimates by line of business and accident year. Prior year loss and LAE development incurred during the nine months ended September 30, 2024 and 2023 was $1,637,038 favorable and $16,420 favorable, respectively. Management, on a quarterly basis, performs a review of open liability claims to assess carried case and incurred but not reported (“IBNR”) reserve levels, giving consideration to both Company and industry trends.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LAE Reserves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Paid Loss Development </w:t>
      </w:r>
      <w:r>
        <w:rPr>
          <w:rFonts w:ascii="Times New Roman" w:cs="Times New Roman" w:eastAsia="Times New Roman" w:hAnsi="Times New Roman"/>
          <w:sz w:val="18"/>
          <w:szCs w:val="18"/>
          <w:color w:val="auto"/>
        </w:rPr>
        <w:t>– historical patterns of paid loss development are used to project future paid loss emergence in order to estimate required reserves.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Incurred Loss Development </w:t>
      </w:r>
      <w:r>
        <w:rPr>
          <w:rFonts w:ascii="Times New Roman" w:cs="Times New Roman" w:eastAsia="Times New Roman" w:hAnsi="Times New Roman"/>
          <w:sz w:val="18"/>
          <w:szCs w:val="18"/>
          <w:color w:val="auto"/>
        </w:rPr>
        <w:t>– historical patterns of incurred loss development, reflecting both paid losses and changes in case reserves, are used to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incurred loss emergence in order to estimate required reserves.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Paid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 accident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Incurred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Claim-Based Methods </w:t>
      </w:r>
      <w:r>
        <w:rPr>
          <w:rFonts w:ascii="Times New Roman" w:cs="Times New Roman" w:eastAsia="Times New Roman" w:hAnsi="Times New Roman"/>
          <w:sz w:val="18"/>
          <w:szCs w:val="18"/>
          <w:color w:val="auto"/>
        </w:rPr>
        <w:t>– historical patterns of incremental incurred losses and paid LAE during various stages of development are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Frequency / Severity Based Methods </w:t>
      </w:r>
      <w:r>
        <w:rPr>
          <w:rFonts w:ascii="Times New Roman" w:cs="Times New Roman" w:eastAsia="Times New Roman" w:hAnsi="Times New Roman"/>
          <w:sz w:val="18"/>
          <w:szCs w:val="18"/>
          <w:color w:val="auto"/>
        </w:rPr>
        <w:t>– historical measurements of claim frequency and average paid claim size (severity) are reviewed for more mature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2021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information about incurred and paid claims development as of September 30, 2024, net of reinsurance, as well as the cumulative reported claims by accident year and total IBNR reserves as of September 30, 2024 included in the net incurred loss and allocated expense amounts. The historical information regarding incurred and paid claims development for the years ended December 31, 2015 to December 31, 2023 is presented as supplementary unaudited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reported claims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60" w:type="dxa"/>
            <w:vAlign w:val="bottom"/>
            <w:gridSpan w:val="17"/>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Incurred Loss and Allocated Loss Adjustment Expenses, Net of Reinsurance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gridSpan w:val="17"/>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Nine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3"/>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Claims by</w:t>
            </w:r>
          </w:p>
        </w:tc>
        <w:tc>
          <w:tcPr>
            <w:tcW w:w="0" w:type="dxa"/>
            <w:vAlign w:val="bottom"/>
          </w:tcPr>
          <w:p>
            <w:pPr>
              <w:spacing w:after="0"/>
              <w:rPr>
                <w:sz w:val="1"/>
                <w:szCs w:val="1"/>
                <w:color w:val="auto"/>
              </w:rPr>
            </w:pPr>
          </w:p>
        </w:tc>
      </w:tr>
      <w:tr>
        <w:trPr>
          <w:trHeight w:val="72"/>
        </w:trPr>
        <w:tc>
          <w:tcPr>
            <w:tcW w:w="840" w:type="dxa"/>
            <w:vAlign w:val="bottom"/>
            <w:gridSpan w:val="2"/>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Accident</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restart"/>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Accident</w:t>
            </w:r>
          </w:p>
        </w:tc>
        <w:tc>
          <w:tcPr>
            <w:tcW w:w="0" w:type="dxa"/>
            <w:vAlign w:val="bottom"/>
          </w:tcPr>
          <w:p>
            <w:pPr>
              <w:spacing w:after="0"/>
              <w:rPr>
                <w:sz w:val="1"/>
                <w:szCs w:val="1"/>
                <w:color w:val="auto"/>
              </w:rPr>
            </w:pPr>
          </w:p>
        </w:tc>
      </w:tr>
      <w:tr>
        <w:trPr>
          <w:trHeight w:val="43"/>
        </w:trPr>
        <w:tc>
          <w:tcPr>
            <w:tcW w:w="840" w:type="dxa"/>
            <w:vAlign w:val="bottom"/>
            <w:gridSpan w:val="2"/>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2018</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IBNR</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6"/>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(Unaudited 2015 - 2023)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23,428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2,882</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32,169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36,160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36,502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37,201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3,401</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4,237</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75,092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71,544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71,964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4,507</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96,673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96,134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96,365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5,827</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4,706</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78,978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12,761</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4,068</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578,500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gridSpan w:val="12"/>
          </w:tcPr>
          <w:p>
            <w:pPr>
              <w:ind w:left="100"/>
              <w:spacing w:after="0"/>
              <w:rPr>
                <w:sz w:val="20"/>
                <w:szCs w:val="20"/>
                <w:color w:val="auto"/>
              </w:rPr>
            </w:pPr>
            <w:r>
              <w:rPr>
                <w:rFonts w:ascii="Times New Roman" w:cs="Times New Roman" w:eastAsia="Times New Roman" w:hAnsi="Times New Roman"/>
                <w:sz w:val="16"/>
                <w:szCs w:val="16"/>
                <w:b w:val="1"/>
                <w:bCs w:val="1"/>
                <w:color w:val="auto"/>
              </w:rPr>
              <w:t>Cumulative Paid Loss and Allocated Loss Adjustment Expenses, Net of Reinsurance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Nine</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131"/>
        </w:trPr>
        <w:tc>
          <w:tcPr>
            <w:tcW w:w="960" w:type="dxa"/>
            <w:vAlign w:val="bottom"/>
            <w:gridSpan w:val="2"/>
            <w:vMerge w:val="restart"/>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Accident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9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0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60" w:type="dxa"/>
            <w:vAlign w:val="bottom"/>
          </w:tcPr>
          <w:p>
            <w:pPr>
              <w:spacing w:after="0"/>
              <w:rPr>
                <w:sz w:val="21"/>
                <w:szCs w:val="21"/>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Pr>
          <w:p>
            <w:pPr>
              <w:spacing w:after="0"/>
              <w:rPr>
                <w:sz w:val="21"/>
                <w:szCs w:val="2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0" w:type="dxa"/>
            <w:vAlign w:val="bottom"/>
          </w:tcPr>
          <w:p>
            <w:pPr>
              <w:spacing w:after="0"/>
              <w:rPr>
                <w:sz w:val="21"/>
                <w:szCs w:val="21"/>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60" w:type="dxa"/>
            <w:vAlign w:val="bottom"/>
          </w:tcPr>
          <w:p>
            <w:pPr>
              <w:spacing w:after="0"/>
              <w:rPr>
                <w:sz w:val="21"/>
                <w:szCs w:val="21"/>
                <w:color w:val="auto"/>
              </w:rPr>
            </w:pPr>
          </w:p>
        </w:tc>
        <w:tc>
          <w:tcPr>
            <w:tcW w:w="7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21"/>
                <w:szCs w:val="21"/>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21"/>
                <w:szCs w:val="21"/>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21"/>
                <w:szCs w:val="21"/>
                <w:color w:val="auto"/>
              </w:rPr>
            </w:pP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 2015 - 2023)</w:t>
            </w: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31"/>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16,181</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21,067</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22,104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22,318</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22,539</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15,364</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19,001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21,106</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23,974</w:t>
            </w: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25,234</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25,750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26,806</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16,704</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24,820</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28,693</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31,393</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32,529</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33,522</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34,990</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32,383</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44,516</w:t>
            </w: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50,553</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52,025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54,424</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56,867</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40,933</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54,897</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58,055</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60,374</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65,602</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39,045</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50,719</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59,081</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56,282</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77,756</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84,987</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45,856</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67,834</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56,139</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21,671</w:t>
            </w:r>
          </w:p>
        </w:tc>
        <w:tc>
          <w:tcPr>
            <w:tcW w:w="0" w:type="dxa"/>
            <w:vAlign w:val="bottom"/>
          </w:tcPr>
          <w:p>
            <w:pPr>
              <w:spacing w:after="0"/>
              <w:rPr>
                <w:sz w:val="1"/>
                <w:szCs w:val="1"/>
                <w:color w:val="auto"/>
              </w:rPr>
            </w:pPr>
          </w:p>
        </w:tc>
      </w:tr>
      <w:tr>
        <w:trPr>
          <w:trHeight w:val="3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496,516</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40" w:type="dxa"/>
            <w:vAlign w:val="bottom"/>
            <w:tcBorders>
              <w:bottom w:val="single" w:sz="8" w:color="CCEEFF"/>
            </w:tcBorders>
            <w:gridSpan w:val="1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Net liability for unpaid loss and allocated loss adjustment expenses for the accident years presented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80" w:type="dxa"/>
            <w:vAlign w:val="bottom"/>
            <w:gridSpan w:val="9"/>
          </w:tcPr>
          <w:p>
            <w:pPr>
              <w:jc w:val="right"/>
              <w:ind w:right="120"/>
              <w:spacing w:after="0"/>
              <w:rPr>
                <w:sz w:val="20"/>
                <w:szCs w:val="20"/>
                <w:color w:val="auto"/>
              </w:rPr>
            </w:pPr>
            <w:r>
              <w:rPr>
                <w:rFonts w:ascii="Times New Roman" w:cs="Times New Roman" w:eastAsia="Times New Roman" w:hAnsi="Times New Roman"/>
                <w:sz w:val="16"/>
                <w:szCs w:val="16"/>
                <w:color w:val="auto"/>
              </w:rPr>
              <w:t>All outstanding liabilities before 2015, net of reinsurance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0" w:type="dxa"/>
            <w:vAlign w:val="bottom"/>
          </w:tcPr>
          <w:p>
            <w:pPr>
              <w:spacing w:after="0"/>
              <w:rPr>
                <w:sz w:val="1"/>
                <w:szCs w:val="1"/>
                <w:color w:val="auto"/>
              </w:rPr>
            </w:pPr>
          </w:p>
        </w:tc>
      </w:tr>
      <w:tr>
        <w:trPr>
          <w:trHeight w:val="3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gridSpan w:val="11"/>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1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Liabilities for loss and allocated loss adjustment expenses, net of reinsurance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82,960</w:t>
            </w: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sum to totals due to rounding)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loss development tables to the loss and LAE reserves in the condensed consolidated balance sheet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the Disclosure of Incurred and Paid Loss Development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Liability for Loss and LAE Reserves</w:t>
      </w:r>
    </w:p>
    <w:p>
      <w:pPr>
        <w:spacing w:after="0" w:line="25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03"/>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for allocated loss and loss adjustment expenses, net of reinsurance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82,960</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reinsurance recoverable on unpaid losses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29,048</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4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liability for loss and LAE reserves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116,842</w:t>
            </w: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30% quota share reinsurance treaty for its personal lines business, covering the period from January 1, 2023 through January 1, 2024 (“2023/2024 Treaty”). Upon the expiration of the 2023/2024 Treaty on January 1, 2024, the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entered into a new 27% quota share reinsurance treaty for its personal lines business, covering the period from January 1, 2024 through January 1, 2025 (“2024/2025 Treaty”).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excess of loss and catastrophe reinsurance treaties expired on June 30, 2024 and the Company entered into new excess of loss and catastrophe reinsurance treaties effective July 1, 2024. Effective January 1, 2022, the Company entered into an underlying excess of loss reinsurance treaty (“Underlying XOL Treaty”) covering the period from January 1, 2022 through January 1, 2023. The treaty provided 50% reinsurance coverage for losses of $400,000 in excess of $600,000. Losses from named storms are excluded from the treaty. Effective January 1, 2023, the Underlying XOL Treaty was renewed covering the period from January 1, 2023 through January 1, 2024. Effective January 1, 2024, the Underlying XOL Treaty was renewed covering the period from January 1, 2024 through January 1, 2025. Material terms for reinsurance treaties in effect for the treaty years shown below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Treaty Period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2024/2025 Treaty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2023/2024 Treaty</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2021/2023 Treaty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January 2,</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July 1,</w:t>
            </w:r>
          </w:p>
        </w:tc>
        <w:tc>
          <w:tcPr>
            <w:tcW w:w="1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July 1,</w:t>
            </w:r>
          </w:p>
        </w:tc>
        <w:tc>
          <w:tcPr>
            <w:tcW w:w="14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4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July 1,</w:t>
            </w:r>
          </w:p>
        </w:tc>
        <w:tc>
          <w:tcPr>
            <w:tcW w:w="120" w:type="dxa"/>
            <w:vAlign w:val="bottom"/>
          </w:tcPr>
          <w:p>
            <w:pPr>
              <w:spacing w:after="0"/>
              <w:rPr>
                <w:sz w:val="13"/>
                <w:szCs w:val="13"/>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20" w:type="dxa"/>
            <w:vAlign w:val="bottom"/>
          </w:tcPr>
          <w:p>
            <w:pPr>
              <w:spacing w:after="0"/>
              <w:rPr>
                <w:sz w:val="12"/>
                <w:szCs w:val="12"/>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January 1</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20" w:type="dxa"/>
            <w:vAlign w:val="bottom"/>
          </w:tcPr>
          <w:p>
            <w:pPr>
              <w:spacing w:after="0"/>
              <w:rPr>
                <w:sz w:val="12"/>
                <w:szCs w:val="12"/>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Line of Business</w:t>
            </w:r>
          </w:p>
        </w:tc>
        <w:tc>
          <w:tcPr>
            <w:tcW w:w="10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Personal Lines: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Homeowners, dwelling fire and canine legal</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20" w:type="dxa"/>
            <w:vAlign w:val="bottom"/>
            <w:gridSpan w:val="4"/>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liability Quota share treaty: Percent ceded</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(7)</w:t>
            </w:r>
          </w:p>
        </w:tc>
        <w:tc>
          <w:tcPr>
            <w:tcW w:w="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4"/>
          </w:tcPr>
          <w:p>
            <w:pPr>
              <w:ind w:left="240"/>
              <w:spacing w:after="0"/>
              <w:rPr>
                <w:sz w:val="20"/>
                <w:szCs w:val="20"/>
                <w:color w:val="auto"/>
              </w:rPr>
            </w:pPr>
            <w:r>
              <w:rPr>
                <w:rFonts w:ascii="Times New Roman" w:cs="Times New Roman" w:eastAsia="Times New Roman" w:hAnsi="Times New Roman"/>
                <w:sz w:val="13"/>
                <w:szCs w:val="13"/>
                <w:color w:val="auto"/>
              </w:rPr>
              <w:t>Risk retained on initial $1,000,000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730,000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730,000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700,000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700,000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2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losses (5) (6) (7)</w:t>
            </w:r>
          </w:p>
        </w:tc>
        <w:tc>
          <w:tcPr>
            <w:tcW w:w="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4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Losses per occurrence subject to quota</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share reinsurance coverage</w:t>
            </w: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20" w:type="dxa"/>
            <w:vAlign w:val="bottom"/>
            <w:gridSpan w:val="4"/>
          </w:tcPr>
          <w:p>
            <w:pPr>
              <w:ind w:left="560"/>
              <w:spacing w:after="0"/>
              <w:rPr>
                <w:sz w:val="20"/>
                <w:szCs w:val="20"/>
                <w:color w:val="auto"/>
              </w:rPr>
            </w:pPr>
            <w:r>
              <w:rPr>
                <w:rFonts w:ascii="Times New Roman" w:cs="Times New Roman" w:eastAsia="Times New Roman" w:hAnsi="Times New Roman"/>
                <w:sz w:val="13"/>
                <w:szCs w:val="13"/>
                <w:color w:val="auto"/>
              </w:rPr>
              <w:t>Expiration date</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January 1, 2025</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January 1, 2025</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January 1, 2024</w:t>
            </w:r>
          </w:p>
        </w:tc>
        <w:tc>
          <w:tcPr>
            <w:tcW w:w="14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January 1, 2024</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January 1, 2023</w:t>
            </w:r>
          </w:p>
        </w:tc>
        <w:tc>
          <w:tcPr>
            <w:tcW w:w="120" w:type="dxa"/>
            <w:vAlign w:val="bottom"/>
          </w:tcPr>
          <w:p>
            <w:pPr>
              <w:spacing w:after="0"/>
              <w:rPr>
                <w:sz w:val="15"/>
                <w:szCs w:val="15"/>
                <w:color w:val="auto"/>
              </w:rPr>
            </w:pP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January 1, 2023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4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Excess of loss coverage and facultative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8,400,000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facility coverage (1) (5) (6)</w:t>
            </w:r>
          </w:p>
        </w:tc>
        <w:tc>
          <w:tcPr>
            <w:tcW w:w="1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in excess of</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in excess of</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in excess of</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4"/>
              </w:rPr>
              <w:t>in excess of</w:t>
            </w:r>
          </w:p>
        </w:tc>
        <w:tc>
          <w:tcPr>
            <w:tcW w:w="14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in excess of</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in excess of</w:t>
            </w:r>
          </w:p>
        </w:tc>
        <w:tc>
          <w:tcPr>
            <w:tcW w:w="120" w:type="dxa"/>
            <w:vAlign w:val="bottom"/>
          </w:tcPr>
          <w:p>
            <w:pPr>
              <w:spacing w:after="0"/>
              <w:rPr>
                <w:sz w:val="15"/>
                <w:szCs w:val="15"/>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7"/>
              </w:rPr>
              <w:t>in excess of</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600,000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4"/>
          </w:tcPr>
          <w:p>
            <w:pPr>
              <w:ind w:left="240"/>
              <w:spacing w:after="0"/>
              <w:rPr>
                <w:sz w:val="20"/>
                <w:szCs w:val="20"/>
                <w:color w:val="auto"/>
              </w:rPr>
            </w:pPr>
            <w:r>
              <w:rPr>
                <w:rFonts w:ascii="Times New Roman" w:cs="Times New Roman" w:eastAsia="Times New Roman" w:hAnsi="Times New Roman"/>
                <w:sz w:val="13"/>
                <w:szCs w:val="13"/>
                <w:color w:val="auto"/>
              </w:rPr>
              <w:t>Total reinsurance coverage per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8,470,000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8,470,000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8,500,000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8,500,000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8,500,000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8,500,000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2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occurrence (5) (6)</w:t>
            </w:r>
          </w:p>
        </w:tc>
        <w:tc>
          <w:tcPr>
            <w:tcW w:w="1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4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Losses per occurrence subject to</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9,000,000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reinsurance coverage (6)</w:t>
            </w:r>
          </w:p>
        </w:tc>
        <w:tc>
          <w:tcPr>
            <w:tcW w:w="1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20" w:type="dxa"/>
            <w:vAlign w:val="bottom"/>
            <w:gridSpan w:val="4"/>
          </w:tcPr>
          <w:p>
            <w:pPr>
              <w:ind w:left="240"/>
              <w:spacing w:after="0"/>
              <w:rPr>
                <w:sz w:val="20"/>
                <w:szCs w:val="20"/>
                <w:color w:val="auto"/>
              </w:rPr>
            </w:pPr>
            <w:r>
              <w:rPr>
                <w:rFonts w:ascii="Times New Roman" w:cs="Times New Roman" w:eastAsia="Times New Roman" w:hAnsi="Times New Roman"/>
                <w:sz w:val="13"/>
                <w:szCs w:val="13"/>
                <w:color w:val="auto"/>
              </w:rPr>
              <w:t>Expiration date (6)</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June 30, 2025</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June 30, 2025</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June 30, 2024</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June 30, 2024</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June 30, 2023</w:t>
            </w: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June 30, 2023</w:t>
            </w:r>
          </w:p>
        </w:tc>
        <w:tc>
          <w:tcPr>
            <w:tcW w:w="120" w:type="dxa"/>
            <w:vAlign w:val="bottom"/>
          </w:tcPr>
          <w:p>
            <w:pPr>
              <w:spacing w:after="0"/>
              <w:rPr>
                <w:sz w:val="15"/>
                <w:szCs w:val="15"/>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June 30, 2022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Catastrophe Reinsurance: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4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Initial loss subject to personal lines</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quota share treaty (6)</w:t>
            </w: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4"/>
          </w:tcPr>
          <w:p>
            <w:pPr>
              <w:ind w:left="240"/>
              <w:spacing w:after="0"/>
              <w:rPr>
                <w:sz w:val="20"/>
                <w:szCs w:val="20"/>
                <w:color w:val="auto"/>
              </w:rPr>
            </w:pPr>
            <w:r>
              <w:rPr>
                <w:rFonts w:ascii="Times New Roman" w:cs="Times New Roman" w:eastAsia="Times New Roman" w:hAnsi="Times New Roman"/>
                <w:sz w:val="13"/>
                <w:szCs w:val="13"/>
                <w:color w:val="auto"/>
              </w:rPr>
              <w:t>Risk retained per catastrophe occurrence</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4,750,000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9,500,000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8,750,000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8,750,000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7,400,000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7,400,000</w:t>
            </w:r>
          </w:p>
        </w:tc>
        <w:tc>
          <w:tcPr>
            <w:tcW w:w="0" w:type="dxa"/>
            <w:vAlign w:val="bottom"/>
          </w:tcPr>
          <w:p>
            <w:pPr>
              <w:spacing w:after="0"/>
              <w:rPr>
                <w:sz w:val="1"/>
                <w:szCs w:val="1"/>
                <w:color w:val="auto"/>
              </w:rPr>
            </w:pPr>
          </w:p>
        </w:tc>
      </w:tr>
      <w:tr>
        <w:trPr>
          <w:trHeight w:val="172"/>
        </w:trPr>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(6) (7) (8) (9)</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4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Catastrophe loss coverage in excess of</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275,000,000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315,000,000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315,000,000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335,000,000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335,000,000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490,000,000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quota share coverage (2) (6)</w:t>
            </w:r>
          </w:p>
        </w:tc>
        <w:tc>
          <w:tcPr>
            <w:tcW w:w="1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Reinstatement premium protection (3)</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88"/>
              </w:rPr>
              <w:t>Yes</w:t>
            </w:r>
          </w:p>
        </w:tc>
        <w:tc>
          <w:tcPr>
            <w:tcW w:w="1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88"/>
              </w:rPr>
              <w:t>Yes</w:t>
            </w:r>
          </w:p>
        </w:tc>
        <w:tc>
          <w:tcPr>
            <w:tcW w:w="1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88"/>
              </w:rPr>
              <w:t>Yes</w:t>
            </w:r>
          </w:p>
        </w:tc>
        <w:tc>
          <w:tcPr>
            <w:tcW w:w="16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88"/>
              </w:rPr>
              <w:t>Yes</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88"/>
              </w:rPr>
              <w:t>Yes</w:t>
            </w:r>
          </w:p>
        </w:tc>
        <w:tc>
          <w:tcPr>
            <w:tcW w:w="1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88"/>
              </w:rPr>
              <w:t>Yes</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Yes</w:t>
            </w:r>
          </w:p>
        </w:tc>
        <w:tc>
          <w:tcPr>
            <w:tcW w:w="0" w:type="dxa"/>
            <w:vAlign w:val="bottom"/>
          </w:tcPr>
          <w:p>
            <w:pPr>
              <w:spacing w:after="0"/>
              <w:rPr>
                <w:sz w:val="1"/>
                <w:szCs w:val="1"/>
                <w:color w:val="auto"/>
              </w:rPr>
            </w:pPr>
          </w:p>
        </w:tc>
      </w:tr>
      <w:tr>
        <w:trPr>
          <w:trHeight w:val="180"/>
        </w:trPr>
        <w:tc>
          <w:tcPr>
            <w:tcW w:w="8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(4)</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040" w:right="220" w:hanging="1222"/>
        <w:spacing w:after="0" w:line="257" w:lineRule="auto"/>
        <w:tabs>
          <w:tab w:leader="none" w:pos="20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spacing w:after="0" w:line="1" w:lineRule="exact"/>
        <w:rPr>
          <w:rFonts w:ascii="Times New Roman" w:cs="Times New Roman" w:eastAsia="Times New Roman" w:hAnsi="Times New Roman"/>
          <w:sz w:val="18"/>
          <w:szCs w:val="18"/>
          <w:color w:val="auto"/>
        </w:rPr>
      </w:pPr>
    </w:p>
    <w:p>
      <w:pPr>
        <w:ind w:left="2040" w:right="20" w:hanging="1222"/>
        <w:spacing w:after="0" w:line="250" w:lineRule="auto"/>
        <w:tabs>
          <w:tab w:leader="none" w:pos="20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Duration of 168 consecutive hours for a catastrophe occurrence from windstorm, hail, tornado, hurricane and cyclone.</w:t>
      </w:r>
    </w:p>
    <w:p>
      <w:pPr>
        <w:ind w:left="2040" w:right="120" w:hanging="1222"/>
        <w:spacing w:after="0" w:line="255" w:lineRule="auto"/>
        <w:tabs>
          <w:tab w:leader="none" w:pos="20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2022 through June 30, 2023, reinstatement premium protection for $12,500,000 of catastrophe coverage in excess of $10,000,000. For the period July 1, 2023 through June 30, 2024, reinstatement premium protection for $50,000,000 of catastrophe coverage in excess of $10,000,000.</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40" w:right="660" w:hanging="1222"/>
        <w:spacing w:after="0" w:line="261"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2024 through June 30, 2025 (expiration date of the catastrophe reinsurance treaty), reinstatement premium protection for $10,500,000 of catastrophe coverage in excess of $10,000,000.</w:t>
      </w:r>
    </w:p>
    <w:p>
      <w:pPr>
        <w:ind w:left="2040" w:right="4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2022 through January 1, 2025, Underlying XOL Treaty provides 50% reinsurance coverage for losses of $400,000 in excess of $600,000. Excludes losses from named storms. Reduces retention to $500,000 from $700,000 under the 2021/2023 Treaty and 2023/2024 Treaty. Reduces retention to $530,000 from $730,000 under the 2024/2025 Treaty. After the expiration of the Underlying XOL Treaty and 2024/2025 Treaty on January 1, 2025, retention will be $1,000,000.</w:t>
      </w:r>
    </w:p>
    <w:p>
      <w:pPr>
        <w:spacing w:after="0" w:line="1" w:lineRule="exact"/>
        <w:rPr>
          <w:rFonts w:ascii="Times New Roman" w:cs="Times New Roman" w:eastAsia="Times New Roman" w:hAnsi="Times New Roman"/>
          <w:sz w:val="18"/>
          <w:szCs w:val="18"/>
          <w:color w:val="auto"/>
        </w:rPr>
      </w:pPr>
    </w:p>
    <w:p>
      <w:pPr>
        <w:ind w:left="2040" w:right="2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lines quota share (homeowners, dwelling fire and canine liability) and underlying excess of loss reinsurance will expire on January 1, 2025, with none of these coverages to be in effect during the period from January 2, 2025 through June 30, 2025. Reinsurance coverage in effect from January 2, 2025 through June 30, 2025 is only for excess of loss and catastrophe reinsurance treaties.</w:t>
      </w:r>
    </w:p>
    <w:p>
      <w:pPr>
        <w:spacing w:after="0" w:line="1" w:lineRule="exact"/>
        <w:rPr>
          <w:rFonts w:ascii="Times New Roman" w:cs="Times New Roman" w:eastAsia="Times New Roman" w:hAnsi="Times New Roman"/>
          <w:sz w:val="18"/>
          <w:szCs w:val="18"/>
          <w:color w:val="auto"/>
        </w:rPr>
      </w:pPr>
    </w:p>
    <w:p>
      <w:pPr>
        <w:ind w:left="2040" w:right="6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 w:lineRule="exact"/>
        <w:rPr>
          <w:rFonts w:ascii="Times New Roman" w:cs="Times New Roman" w:eastAsia="Times New Roman" w:hAnsi="Times New Roman"/>
          <w:sz w:val="18"/>
          <w:szCs w:val="18"/>
          <w:color w:val="auto"/>
        </w:rPr>
      </w:pPr>
    </w:p>
    <w:p>
      <w:pPr>
        <w:ind w:left="2020" w:hanging="1202"/>
        <w:spacing w:after="0" w:line="236" w:lineRule="auto"/>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ind w:left="2040" w:right="400" w:hanging="1222"/>
        <w:spacing w:after="0" w:line="243"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October 1, 2024 through April 30, 2025, additional catastrophe reinsurance treaty will provide coverage for winter storm losses of $4,500,000 in excess of $5,500,000. Retention for winter storms under this treaty is $4,800,000.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Treaty Year</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0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July 1, 2024</w:t>
            </w: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July 1, 2022</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3"/>
              </w:rPr>
              <w:t>to</w:t>
            </w:r>
          </w:p>
        </w:tc>
        <w:tc>
          <w:tcPr>
            <w:tcW w:w="200" w:type="dxa"/>
            <w:vAlign w:val="bottom"/>
          </w:tcPr>
          <w:p>
            <w:pPr>
              <w:spacing w:after="0"/>
              <w:rPr>
                <w:sz w:val="17"/>
                <w:szCs w:val="17"/>
                <w:color w:val="auto"/>
              </w:rPr>
            </w:pPr>
          </w:p>
        </w:tc>
        <w:tc>
          <w:tcPr>
            <w:tcW w:w="148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7"/>
                <w:szCs w:val="17"/>
                <w:color w:val="auto"/>
              </w:rPr>
            </w:pPr>
          </w:p>
        </w:tc>
        <w:tc>
          <w:tcPr>
            <w:tcW w:w="140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to</w:t>
            </w:r>
          </w:p>
        </w:tc>
      </w:tr>
      <w:tr>
        <w:trPr>
          <w:trHeight w:val="259"/>
        </w:trPr>
        <w:tc>
          <w:tcPr>
            <w:tcW w:w="20" w:type="dxa"/>
            <w:vAlign w:val="bottom"/>
            <w:tcBorders>
              <w:bottom w:val="single" w:sz="8" w:color="auto"/>
            </w:tcBorders>
          </w:tcPr>
          <w:p>
            <w:pPr>
              <w:spacing w:after="0"/>
              <w:rPr>
                <w:sz w:val="22"/>
                <w:szCs w:val="22"/>
                <w:color w:val="auto"/>
              </w:rPr>
            </w:pPr>
          </w:p>
        </w:tc>
        <w:tc>
          <w:tcPr>
            <w:tcW w:w="6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459"/>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Risk retained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June 30, 2025</w:t>
            </w:r>
          </w:p>
        </w:tc>
        <w:tc>
          <w:tcPr>
            <w:tcW w:w="20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200" w:type="dxa"/>
            <w:vAlign w:val="bottom"/>
          </w:tcPr>
          <w:p>
            <w:pPr>
              <w:spacing w:after="0"/>
              <w:rPr>
                <w:sz w:val="21"/>
                <w:szCs w:val="21"/>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63"/>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bl>
    <w:p>
      <w:pPr>
        <w:ind w:left="180"/>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34" w:lineRule="exact"/>
        <w:rPr>
          <w:sz w:val="20"/>
          <w:szCs w:val="20"/>
          <w:color w:val="auto"/>
        </w:rPr>
      </w:pPr>
    </w:p>
    <w:p>
      <w:pPr>
        <w:ind w:left="1980" w:right="100" w:hanging="974"/>
        <w:spacing w:after="0" w:line="282" w:lineRule="auto"/>
        <w:tabs>
          <w:tab w:leader="none" w:pos="1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ceding commission revenue under the 2024/2025 Treaty for the nine months ended September 30, 2024, and under the 2023/2024 Treaty for the nine months ended September 30, 2023, based on a fixed provisional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commission rate at which provisional ceding commissions are earned. The Company earned ceding commission revenue under its quota share reinsurance agreements that expired prior to the 2021/2023 Treaty based on: (i) a fixed provisional commission rate at which provisional ceding commissions were earned, and (ii) under certain of the quota share reinsurance agreements,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 consists of the following: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0"/>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50"/>
        </w:trPr>
        <w:tc>
          <w:tcPr>
            <w:tcW w:w="5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4,742,557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4,992,312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13,859,795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15,733,145</w:t>
            </w:r>
          </w:p>
        </w:tc>
      </w:tr>
      <w:tr>
        <w:trPr>
          <w:trHeight w:val="250"/>
        </w:trPr>
        <w:tc>
          <w:tcPr>
            <w:tcW w:w="5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660,799</w:t>
            </w:r>
          </w:p>
        </w:tc>
      </w:tr>
      <w:tr>
        <w:trPr>
          <w:trHeight w:val="275"/>
        </w:trPr>
        <w:tc>
          <w:tcPr>
            <w:tcW w:w="5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4,741,676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5,536,327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13,870,748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16,393,944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September 30, 2024 and December 31, 2023, net contingent ceding commissions payable to reinsurers under all treaties was approximately $724,000 and $3,302,000, respectively, which is recorded in reinsurance balances payable on the accompanying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condensed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2017, KICO became a member of, and invested in, the FHLBNY. KICO is required to maintain an investment in the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September 30, 2024 and December 31, 2023,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On July 6, 2023, A.M. Best withdrew KICO’s ratings as KICO requested to no longer participate in A.M. Best’s interactive rating process. As a result of the withdrawal of A.M. Best ratings, KICO is currently only able to borrow on an overnight basis. If KICO has sufficient available collateral (as discussed below), based on KICO’s net admitted assets, the maximum allowable advance as of September 30, 2024 and December 31, 2023 was approximately $12,907,000 and $12,813,000, respectively. Available collateral as of September 30, 2024 and December 31, 2023 was approximately $10,944,000 and $11,412,000, respectively. Advances are limited to 85% of the amount of available collateral. There were no borrowings under this facility during the nine months ended September 30, 2024 and 2023.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Debt</w:t>
            </w:r>
          </w:p>
        </w:tc>
        <w:tc>
          <w:tcPr>
            <w:tcW w:w="7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53"/>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as of September 30, 2024 and December 31, 2023 consists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0"/>
        </w:trPr>
        <w:tc>
          <w:tcPr>
            <w:tcW w:w="3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6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36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8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13.75% Senior Notes due 2026,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11,339,350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12.0% Senior Notes due 2024, net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18,426,247</w:t>
            </w:r>
          </w:p>
        </w:tc>
      </w:tr>
      <w:tr>
        <w:trPr>
          <w:trHeight w:val="263"/>
        </w:trPr>
        <w:tc>
          <w:tcPr>
            <w:tcW w:w="8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Equipment financing</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5,958,237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6,817,283</w:t>
            </w:r>
          </w:p>
        </w:tc>
      </w:tr>
      <w:tr>
        <w:trPr>
          <w:trHeight w:val="244"/>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17,297,587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25,243,530</w:t>
            </w:r>
          </w:p>
        </w:tc>
      </w:tr>
      <w:tr>
        <w:trPr>
          <w:trHeight w:val="27"/>
        </w:trPr>
        <w:tc>
          <w:tcPr>
            <w:tcW w:w="3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Agreements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9, 2022, the Company entered into a Note and Warrant Exchange Agreement (the “2022 Exchange Agreement”) with several holders (the “2022 Exchanging Noteholders”) of the Company’s outstanding 5.50% Senior Notes due 2022 (the “2017 Notes”). On the date of the 2022 Exchange Agreement, the 2022 Exchanging Noteholders held 2017 Notes in the aggregate principal amount of $21,545,000 of the $30,000,000 aggregate principal amount of the 2017 Notes then outstanding. Pursuant to the 2022 Exchange Agreement, on December 15, 2022, the 2022 Exchanging Noteholders exchanged their respective 2017 Notes for the following: (i) new 12.0% Senior Notes due December 30, 2024 of the Company in the aggregate principal amount of $19,950,000 (the “2022 Notes”); (ii) cash in the aggregate amount of $1,595,000, together with accrued interest on the 2017 Notes; and (iii) three-year warrants for the purchase of an aggregate of 969,525 shares of Common Stock of the Company, exercisable until December 30, 2025 at an exercise price of $1.00 per share (the “Warrants”). The remaining $8,455,000 principal amount of the 2017 Notes, together with accrued interest thereon, was paid on the maturity date of the 2017 Notes of December 30, 2022.</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30, 2024, the Company entered into a Note Exchange Agreement (the “2024 Exchange Agreement”) with the holders (the “2024 Exchanging Noteholders”) of the Company’s outstanding 2022 Notes in the aggregate principal amount of $19,950,000. Pursuant to the 2024 Exchange Agreement, on September 12, 2024, the 2024 Exchanging Noteholders exchanged their respective 2022 Notes for the following: (i) new 13.75% Senior Notes due June 30, 2026 of the Company in the aggregate principal amount of $14,950,000 (the “2024 Notes”); and (ii) cash in the aggregate amount of $5,000,000, together with accrued interest on the 2022 Notes. See “2024 Notes” below for a discussion of a change in the expiration date of the Warrants.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analyzed the 2024 Exchange Agreement under ASC 470–50 Debt—Modifications and Extinguishments. The Company determined that extinguishment accounting was applicable, as the present value of the cash flows of the 2024 Notes differed by more than 10% from the 2022 Notes, making it a substantial change in terms. As a result, the 2022 Notes have been derecognized and the 2024 Notes recorded at fair value. No gain or loss was recognized on the 2024 Exchange. Unamortized debt issue costs of $296,533 related to extinguished debt were expensed at the time the 2022 Notes were extinguished and recorded as loss on extinguishment of debt in the condensed consolidated statements of operations and comprehensive income (loss) within other operating expenses. Fees paid to third parties of $203,381 have been capitalized and are being amortized as debt issuance costs associated with the 2024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on September 12, 2024, the Company issued the 2024 Notes in the aggregate principal amount of $14,950,000 pursuant to the 2024 Exchange Agreement. Interest is payable semi-annually in arrears on June 30 and December 30 of each year at the rate of 13.75% per annum. Pursuant to the 2024 Exchange Agreement, the expiration date of the Warrants to purchase 969,525 shares of Common Stock of the Company was extended to June 30, 2026 from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30, 2025 (see Note 8 – Stockholders’ Equity) and transaction costs were $203,381, for an effective yield of 14.35% per annum. The balance of the 2024 Notes as of September 30, 2024 and December 31, 2023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 Notes,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11,339,350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2024 Exchange Agreement provides for mandatory prepayments of principal. The 2024 Exchange Agreement provides for a first mandatory pro rata partial prepayment of principal on the 2024 Notes in the aggregate amount of $3,000,000 on June 30, 2025, less the principal amount of any optional prepayments of the 2024 Note made prior to June 30, 2025, pursuant to the 2024 Exchange Agreement. The Company made optional prepayments of $3,000,000 on September 30, 2024 and $2,000,000 on November 13, 2024 (see Subsequent Events - Note 13), and accordingly, has satisfied its obligation to make the mandatory prepayment of principal of $3,000,000 due on June 30, 2025. The 2024 Exchange Agreement provides for a second mandatory pro rata partial prepayment of principal on the 2024 Notes in the aggregate amount of $3,000,000 on December 30, 2025, less the principal amount of (i) any optional prepayments of the 2024 Notes made from June 30, 2025 to December 29, 2025 pursuant to the 2024 Note Exchange Agreement and (ii) any optional prepayments of the 2024 Notes in excess of $3,000,000 made prior to June 30, 2025 pursuant to 2024 Note Exchange Agreement. Based on the November 13, 2024 optional prepayment of principal of $2,000,000, the Company’s mandatory prepayment of principal obligation on December 30, 2025 has been reduced to $1,000,000. Each prepayment of principal shall also include accrued and unpaid interest thereon.</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2024 Notes are unsecured obligations of the Company and are not the obligations of or guaranteed by any of the Company’s subsidiaries. The 2024 Notes rank senior in right of payment to any of the Company’s existing and future indebtedness that is by its terms expressly subordinated or junior in right of payment to the 2024 Notes. The Notes rank equally in right of payment to all of the Company’s existing and future senior indebtedness, but are effectively subordinated to any secured indebtedness to the extent of the value of the collateral securing such secured indebtedness. In addition, the 2024 Notes are structurally subordinated to the indebtedness and other obligations of the Company’s subsidiaries.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2024 Notes are redeemable, at the Company’s option, in whole or in part, at any time or in part from time to time, on and after September 12, 2024, upon not less than fifteen (15) and not more than sixty (60) days’ notice, equal to 100.0% of the principal amount of the 2024 Notes, plus, in each case, accrued and unpaid interest, if any, to the date of redemption subject to the right of holders of record on the relevant record date to receive interest due on the relevant interest payment date).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the end of each calendar quarter, commencing with the calendar quarter ending September 30, 2024, the Company is subject to a leverage maintenance test (“Leverage Maintenance Test”), which requires that the Total Consolidated Indebtedness (as defined below) of the Company not be greater than 30% of Total Consolidated Capitalization (as defined below). As of September 30, 2024 and December 31, 2023, the ratio as defined under the Leverage Maintenance Test was 14.8% and 29.9%, respectively. “Total Consolidated Indebtedness” is the aggregate principal amount (or accreted value in the case of any Indebtedness issued with more than de minimis original issue discount) of all outstanding long-term debt of the Company except for the sale-leaseback transaction described below under “Equipment Financing”, any refinancing or any future sale-leaseback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on December 15, 2022, the Company issued the 2022 Notes in the aggregate principal amount of $19,950,000 pursuant to the 2022 Exchange Agreement. Interest was payable semi-annually in arrears on June 30 and December 30 of each year, which commenced on June 30, 2023 at the rate of 12.0% per annum. Warrants were issued with a fair value of $993,200 (see Note 8 – Stockholders’ Equity) and transaction costs were $1,758,112, for an effective yield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13.92% per annum. As discussed above, the 2022 Notes were satisfied pursuant to the 2024 Exchange Agreement. The balance of the 2022 Notes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8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12.0% Senior Notes due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19,950,000</w:t>
            </w:r>
          </w:p>
        </w:tc>
      </w:tr>
      <w:tr>
        <w:trPr>
          <w:trHeight w:val="250"/>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(653,123)</w:t>
            </w:r>
          </w:p>
        </w:tc>
      </w:tr>
      <w:tr>
        <w:trPr>
          <w:trHeight w:val="263"/>
        </w:trPr>
        <w:tc>
          <w:tcPr>
            <w:tcW w:w="8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(870,630)</w:t>
            </w:r>
          </w:p>
        </w:tc>
      </w:tr>
      <w:tr>
        <w:trPr>
          <w:trHeight w:val="243"/>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 Notes,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18,426,247</w:t>
            </w:r>
          </w:p>
        </w:tc>
      </w:tr>
      <w:tr>
        <w:trPr>
          <w:trHeight w:val="27"/>
        </w:trPr>
        <w:tc>
          <w:tcPr>
            <w:tcW w:w="8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2022 Exchange Agreement provided for a mandatory redemption of the 2022 Notes on December 30, 2023, in an amount such that the aggregate principal amount of the 2022 Notes to be redeemed plus accrued and unpaid interest thereon was to be equal to the amount by which the maximum Ordinary Dividend Paying Capacity of KICO (as defined below) measured as of December 15, 2023 exceeded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 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during the calendar year ended December 31, 2023 on the 2022 Notes, intercompany loans and any other indebtedness of the holding company on a stand-alone basis and (ii) other cash operating expenses, including taxes, paid by the holding company during the calendar year ended December 31, 2023. The amount of other operating expenses paid in cash in the preceding clause (ii) shall not exceed $2.5 million. Holding Company Expenses was determined based on the actual Holding Company Expenses for the nine months ended September 30, 2023, and an estimate of Holding Company Expenses for the three months ended December 30, 2023. The Ordinary Dividend Paying Capacity of KICO as defined above as of December 31, 2023 was zero and, accordingly, the Company was not required to make a mandatory redemption of the 2022 Notes on December 30, 2023.</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Notes were unsecured obligations of the Company and were not the obligations of or guaranteed by any of the Company’s subsidiaries. The 2022 Notes ranked senior in right of payment to any of the Company’s existing and future indebtedness that is by its terms expressly subordinated or junior in right of payment to the 2022 Notes. The 2022 Notes ranked equally in right of payment to all of the Company’s existing and future senior indebtedness, but were effectively subordinated to any secured indebtedness to the extent of the value of the collateral securing such secured indebtedness. In addition, the 2022 Notes were structurally subordinated to the indebtedness and other obligations of the Company’s subsidiaries.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2022 Notes were redeemable, at the Company’s option, in whole or in part, at any time or in part from time to time, on and after December 30, 2022, upon not less than fifteen (15) and not more than sixty (60) days’ notice, at the following redemption prices (“Redemption Prices” )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spacing w:after="0" w:line="214" w:lineRule="exact"/>
        <w:rPr>
          <w:sz w:val="20"/>
          <w:szCs w:val="20"/>
          <w:color w:val="auto"/>
        </w:rPr>
      </w:pPr>
    </w:p>
    <w:tbl>
      <w:tblPr>
        <w:tblLayout w:type="fixed"/>
        <w:tblInd w:w="840" w:type="dxa"/>
        <w:tblCellMar>
          <w:top w:w="0" w:type="dxa"/>
          <w:left w:w="0" w:type="dxa"/>
          <w:bottom w:w="0" w:type="dxa"/>
          <w:right w:w="0" w:type="dxa"/>
        </w:tblCellMar>
      </w:tblPr>
      <w:tr>
        <w:trPr>
          <w:trHeight w:val="252"/>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50"/>
        </w:trPr>
        <w:tc>
          <w:tcPr>
            <w:tcW w:w="78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r>
      <w:tr>
        <w:trPr>
          <w:trHeight w:val="256"/>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30, 2022 to December 29,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102.00 %</w:t>
            </w:r>
          </w:p>
        </w:tc>
      </w:tr>
      <w:tr>
        <w:trPr>
          <w:trHeight w:val="25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30, 2023 to September 29,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101.00 %</w:t>
            </w:r>
          </w:p>
        </w:tc>
      </w:tr>
      <w:tr>
        <w:trPr>
          <w:trHeight w:val="26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 to December 29,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each calendar quarter, commencing with the calendar quarter ending December 31, 2022, the Company was subject to a leverage maintenance test (“Leverage Maintenance Test”), which required that the Total Consolidated Indebtedness of the Company not be greater than 30% of Total Consolidated Capitalization. As of December 31, 2023, the ratio as defined under the Leverage Maintenance Test was 29.9%.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Financing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0" w:lineRule="exact"/>
        <w:rPr>
          <w:sz w:val="20"/>
          <w:szCs w:val="20"/>
          <w:color w:val="auto"/>
        </w:rPr>
      </w:pPr>
    </w:p>
    <w:p>
      <w:pPr>
        <w:ind w:left="2040" w:hanging="1222"/>
        <w:spacing w:after="0" w:line="282" w:lineRule="auto"/>
        <w:tabs>
          <w:tab w:leader="none" w:pos="20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lease, KICO may purchase the fixed assets for a purchase price of $2,024,206, which is 25% of the original fixed asset cost of $8,096,824; or</w:t>
      </w:r>
    </w:p>
    <w:p>
      <w:pPr>
        <w:spacing w:after="0" w:line="161" w:lineRule="exact"/>
        <w:rPr>
          <w:rFonts w:ascii="Times New Roman" w:cs="Times New Roman" w:eastAsia="Times New Roman" w:hAnsi="Times New Roman"/>
          <w:sz w:val="18"/>
          <w:szCs w:val="18"/>
          <w:color w:val="auto"/>
        </w:rPr>
      </w:pPr>
    </w:p>
    <w:p>
      <w:pPr>
        <w:ind w:left="2020" w:hanging="1202"/>
        <w:spacing w:after="0"/>
        <w:tabs>
          <w:tab w:leader="none" w:pos="2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provision of the Financing requires KICO to pledge collateral for the lease obligation. As of September 30, 2024 and December 31, 2023, the amount of required collateral was approximately $5,731,000 and $6,999,000, respectively. As of September 30, 2024, the fair value of KICO’s pledged collateral was approximately $5,997,000 in United States Treasury securities. As of December 31, 2023, the fair value of KICO’s pledged collateral was approximately $11,960,000 in United States Treasury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contractual payment obligations under the Financing as of September 30, 2024 are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3"/>
        </w:trPr>
        <w:tc>
          <w:tcPr>
            <w:tcW w:w="840" w:type="dxa"/>
            <w:vAlign w:val="bottom"/>
          </w:tcPr>
          <w:p>
            <w:pPr>
              <w:spacing w:after="0"/>
              <w:rPr>
                <w:sz w:val="24"/>
                <w:szCs w:val="24"/>
                <w:color w:val="auto"/>
              </w:rPr>
            </w:pPr>
          </w:p>
        </w:tc>
        <w:tc>
          <w:tcPr>
            <w:tcW w:w="79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840" w:type="dxa"/>
            <w:vAlign w:val="bottom"/>
          </w:tcPr>
          <w:p>
            <w:pPr>
              <w:spacing w:after="0"/>
              <w:rPr>
                <w:sz w:val="22"/>
                <w:szCs w:val="22"/>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294,816</w:t>
            </w:r>
          </w:p>
        </w:tc>
      </w:tr>
      <w:tr>
        <w:trPr>
          <w:trHeight w:val="250"/>
        </w:trPr>
        <w:tc>
          <w:tcPr>
            <w:tcW w:w="8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1,223,293</w:t>
            </w:r>
          </w:p>
        </w:tc>
      </w:tr>
      <w:tr>
        <w:trPr>
          <w:trHeight w:val="263"/>
        </w:trPr>
        <w:tc>
          <w:tcPr>
            <w:tcW w:w="840" w:type="dxa"/>
            <w:vAlign w:val="bottom"/>
          </w:tcPr>
          <w:p>
            <w:pPr>
              <w:spacing w:after="0"/>
              <w:rPr>
                <w:sz w:val="22"/>
                <w:szCs w:val="22"/>
                <w:color w:val="auto"/>
              </w:rPr>
            </w:pPr>
          </w:p>
        </w:tc>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1,296,901</w:t>
            </w:r>
          </w:p>
        </w:tc>
      </w:tr>
      <w:tr>
        <w:trPr>
          <w:trHeight w:val="250"/>
        </w:trPr>
        <w:tc>
          <w:tcPr>
            <w:tcW w:w="8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1,119,021</w:t>
            </w:r>
          </w:p>
        </w:tc>
      </w:tr>
      <w:tr>
        <w:trPr>
          <w:trHeight w:val="257"/>
        </w:trPr>
        <w:tc>
          <w:tcPr>
            <w:tcW w:w="840" w:type="dxa"/>
            <w:vAlign w:val="bottom"/>
          </w:tcPr>
          <w:p>
            <w:pPr>
              <w:spacing w:after="0"/>
              <w:rPr>
                <w:sz w:val="22"/>
                <w:szCs w:val="22"/>
                <w:color w:val="auto"/>
              </w:rPr>
            </w:pPr>
          </w:p>
        </w:tc>
        <w:tc>
          <w:tcPr>
            <w:tcW w:w="79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3,934,031</w:t>
            </w:r>
          </w:p>
        </w:tc>
      </w:tr>
      <w:tr>
        <w:trPr>
          <w:trHeight w:val="250"/>
        </w:trPr>
        <w:tc>
          <w:tcPr>
            <w:tcW w:w="840" w:type="dxa"/>
            <w:vAlign w:val="bottom"/>
          </w:tcPr>
          <w:p>
            <w:pPr>
              <w:spacing w:after="0"/>
              <w:rPr>
                <w:sz w:val="21"/>
                <w:szCs w:val="21"/>
                <w:color w:val="auto"/>
              </w:rPr>
            </w:pPr>
          </w:p>
        </w:tc>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2027 purchase price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2,024,206</w:t>
            </w:r>
          </w:p>
        </w:tc>
      </w:tr>
      <w:tr>
        <w:trPr>
          <w:trHeight w:val="275"/>
        </w:trPr>
        <w:tc>
          <w:tcPr>
            <w:tcW w:w="840" w:type="dxa"/>
            <w:vAlign w:val="bottom"/>
          </w:tcPr>
          <w:p>
            <w:pPr>
              <w:spacing w:after="0"/>
              <w:rPr>
                <w:sz w:val="23"/>
                <w:szCs w:val="23"/>
                <w:color w:val="auto"/>
              </w:rPr>
            </w:pPr>
          </w:p>
        </w:tc>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5,958,237</w:t>
            </w:r>
          </w:p>
        </w:tc>
      </w:tr>
      <w:tr>
        <w:trPr>
          <w:trHeight w:val="20"/>
        </w:trPr>
        <w:tc>
          <w:tcPr>
            <w:tcW w:w="84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 Declared and Paid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11, 2022, the Company’s Board of Directors determined to suspend regular quarterly dividends. Future dividend policy will be subject to the discretion of the Company’s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Equity Participation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 On August 9, 2023, the Company’s stockholders approved an amendment to the 2014 Plan to increase the maximum number of shares of Common Stock of the Company that are authorized to be issued pursuant to the 2014 Plan to 1,900,000. The 2014 Plan terminated on August 12, 2024 and no further awards may be granted under the 2014 Plan after such date.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 Participation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August 7, 2024, the Company adopted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were no grants issued under the 2024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months ended September 30, 2024 and 2023 include stock-based compensation expense for stock options totaling approximately $53,000 and $-0-, respectively. The results of operations for the nine months ended September 30, 2024 and 2023 include stock-based compensation expense for stock options totaling approximately $159,000 and $-0-, respectively, which is included in other operating expenses on the accompanying condensed consolidated statements of operations and comprehensive income (loss). Stock-based compensation expense related to stock options for the nine months ended September 30, 2024 is net of estimated forfeitures of approximately 12%. Such amounts have been included in the condensed consolidated statements of operations and comprehensive income (loss) within other operating expenses.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weighted average estimated fair value of stock options granted during the nine months ended September 30, 2024 was $1.24 per share. No options were granted during the nine months ended September 30, 2023. The fair value of stock options at the grant date was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grants during the following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1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36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r>
      <w:tr>
        <w:trPr>
          <w:trHeight w:val="250"/>
        </w:trPr>
        <w:tc>
          <w:tcPr>
            <w:tcW w:w="3620" w:type="dxa"/>
            <w:vAlign w:val="bottom"/>
          </w:tcPr>
          <w:p>
            <w:pPr>
              <w:spacing w:after="0"/>
              <w:rPr>
                <w:sz w:val="21"/>
                <w:szCs w:val="21"/>
                <w:color w:val="auto"/>
              </w:rPr>
            </w:pPr>
          </w:p>
        </w:tc>
        <w:tc>
          <w:tcPr>
            <w:tcW w:w="60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36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n/a</w:t>
            </w:r>
          </w:p>
        </w:tc>
      </w:tr>
      <w:tr>
        <w:trPr>
          <w:trHeight w:val="25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74.72 %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n/a</w:t>
            </w:r>
          </w:p>
        </w:tc>
      </w:tr>
      <w:tr>
        <w:trPr>
          <w:trHeight w:val="26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n/a</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4440" w:type="dxa"/>
            <w:vAlign w:val="bottom"/>
          </w:tcPr>
          <w:p>
            <w:pPr>
              <w:spacing w:after="0"/>
              <w:rPr>
                <w:sz w:val="21"/>
                <w:szCs w:val="21"/>
                <w:color w:val="auto"/>
              </w:rPr>
            </w:pPr>
          </w:p>
        </w:tc>
        <w:tc>
          <w:tcPr>
            <w:tcW w:w="2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3.50 years</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n/a</w:t>
            </w:r>
          </w:p>
        </w:tc>
      </w:tr>
      <w:tr>
        <w:trPr>
          <w:trHeight w:val="918"/>
        </w:trPr>
        <w:tc>
          <w:tcPr>
            <w:tcW w:w="3620" w:type="dxa"/>
            <w:vAlign w:val="bottom"/>
          </w:tcPr>
          <w:p>
            <w:pPr>
              <w:spacing w:after="0"/>
              <w:rPr>
                <w:sz w:val="24"/>
                <w:szCs w:val="24"/>
                <w:color w:val="auto"/>
              </w:rPr>
            </w:pPr>
          </w:p>
        </w:tc>
        <w:tc>
          <w:tcPr>
            <w:tcW w:w="444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35</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Company’s 2014 Plan for the nine months ended September 30, 2024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7"/>
                <w:szCs w:val="17"/>
                <w:color w:val="auto"/>
              </w:rPr>
            </w:pPr>
          </w:p>
        </w:tc>
        <w:tc>
          <w:tcPr>
            <w:tcW w:w="13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52"/>
        </w:trPr>
        <w:tc>
          <w:tcPr>
            <w:tcW w:w="50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0"/>
        </w:trPr>
        <w:tc>
          <w:tcPr>
            <w:tcW w:w="4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2,199,375</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112,238</w:t>
            </w:r>
          </w:p>
        </w:tc>
      </w:tr>
      <w:tr>
        <w:trPr>
          <w:trHeight w:val="243"/>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329,701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1,948,716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outstanding and options exercisable at September 30, 2024 is calculated as the difference between the exercise price of the underlying options and the market price of the Company’s Common Stock for the options that had exercise prices that were lower than the $9.15 closing price of the Company’s Common Stock on September 30, 2024. The total intrinsic value of options when forfeited are determined as of the date of forfeiture. The total intrinsic value of options when expired are determined as of the date of expiration.</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received 35,248 shares from the exercise of options under a Share Exchange for the purchase of 37,269 shares of Common Stock during the three and nine months ended September 30, 2024. Such shares received under the Share Exchange have been included in the condensed consolidated balance sheets within treasury stock. The remaining 12,731 options exercised during the three and nine months ended September 30, 2024 were Net Exercises, resulting in the issuance of 690 shares of Common Stock. No options were exercised during the three and nine months ended September 30, 2023.</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estimated fair value of unamortized compensation cost related to 272,500 unvested stock option awards was approximately $132,000. Unamortized compensation cost as of September 30, 2024 is expected to be recognized over a remaining weighted-average vesting period of 2.27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Common Stock activity under the 2014 Plan for nine months ended September 30, 2024 is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Fair Value per</w:t>
            </w:r>
          </w:p>
        </w:tc>
        <w:tc>
          <w:tcPr>
            <w:tcW w:w="1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Aggregate Fair</w:t>
            </w:r>
          </w:p>
        </w:tc>
      </w:tr>
      <w:tr>
        <w:trPr>
          <w:trHeight w:val="259"/>
        </w:trPr>
        <w:tc>
          <w:tcPr>
            <w:tcW w:w="660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0" w:type="dxa"/>
            <w:vAlign w:val="bottom"/>
          </w:tcPr>
          <w:p>
            <w:pPr>
              <w:spacing w:after="0"/>
              <w:rPr>
                <w:sz w:val="22"/>
                <w:szCs w:val="22"/>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57"/>
        </w:trPr>
        <w:tc>
          <w:tcPr>
            <w:tcW w:w="6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2,103,219</w:t>
            </w:r>
          </w:p>
        </w:tc>
      </w:tr>
      <w:tr>
        <w:trPr>
          <w:trHeight w:val="257"/>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416,211</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(1,855,543)</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57"/>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5"/>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654,721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was calculated using the closing price of the Company’s Common Stock on the grant date. For the three months ended September 30, 2024 and 2023, stock-based compensation for these grants was approximately $306,000 and $207,000, respectively, which is included in other operating expenses on the accompanying condensed consolidated statements of operations and comprehensive income (loss). For the nine months ended September 30, 2024 and 2023, stock-based compensation for these grants was approximately $747,000 and $636,000,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connection with the 2022 Exchange Agreement (see Note 7 – Debt – “Exchange Agreements”), as additional consideration, on December 15, 2022, the Company issued warrants (the "Warrants") to the 2022 Exchanging Noteholders to purchase 969,525 shares of Common Stock. Pursuant to the 2024 Exchange Agreement, the expiration date of the Warrants was extended to June 30, 2026 from December 30, 2025. The fair value of the Warrants, using the Black-Scholes valuation formula, was $993,200, which has been capitalized as a deferred financing cost of the 2022 Notes and the 2024 Notes. The fair value of the Warrants is being amortized over the life of the Warrants, which is 36.5 months through September 12, 2024 and effective as of such date, the unamortized balance is being amortized over the extended life of the Warrants, which is now 21.5 months.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accordance with ASC 815-40-35 - Derivatives and Hedging – Subsequent Measurement, the effect of a modification or an exchange shall be measured as the difference between the fair value of the modified or exchanged instrument and the fair value of that instrument immediately before it is modified or exchanged. The Company calculated the respective fair values and determined the difference was immaterial.</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through June 30, 2026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 ("Net Exercise").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Holders exercised 67,500 Warrants under Net Exercises, resulting in the issuance of 60,557 shares of Common Stock. No Warrants were exercised during the three and nine months ended September 30, 2023. As of September 30, 2024, Warrants for the purchase of an aggregate of 902,025 shares of Common Stock were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warrants were granted during the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Shelf Registration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Shelf Registration Statement may only be made by means of a prospectus, including a prospectus supplement, forming a part of the effective Shelf Registration Statement, relating to the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 Sales Agreement with Janney Montgomery Scott LLC (the “Sales Agent”) under which the Company currently has the ability to issue and sell shares of its Common Stock, from time to time, through the Sales Agent, pursuant to the Shelf Registration Statement, up to an aggregate offering price of approximately $16,400,000 in what is commonly referred to as an “at-the-market” (“ATM”) program. During the three months ended September 30, 2024, the Company sold 1,079,601 shares of its Common Stock at a weighted average price of $8.48 per share and raised $8,897,908 in net proceeds under the ATM program. During the nine months ended September 30, 2024, the Company sold 1,135,710 shares of its Common Stock at a weighted average price of $8.30 per share and raised $9,066,098 in net proceeds under the ATM program. As of September 30, 2024, the Company had remaining capacity to sell up to an additional $6,973,231 of Common Stock under the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20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50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 (1)</w:t>
            </w:r>
          </w:p>
        </w:tc>
        <w:tc>
          <w:tcPr>
            <w:tcW w:w="4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2,793,622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5,283,016</w:t>
            </w:r>
          </w:p>
        </w:tc>
        <w:tc>
          <w:tcPr>
            <w:tcW w:w="0" w:type="dxa"/>
            <w:vAlign w:val="bottom"/>
          </w:tcPr>
          <w:p>
            <w:pPr>
              <w:spacing w:after="0"/>
              <w:rPr>
                <w:sz w:val="1"/>
                <w:szCs w:val="1"/>
                <w:color w:val="auto"/>
              </w:rPr>
            </w:pPr>
          </w:p>
        </w:tc>
      </w:tr>
      <w:tr>
        <w:trPr>
          <w:trHeight w:val="25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Claims reserve discount</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1,204,334</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w:t>
            </w:r>
          </w:p>
        </w:tc>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3,122,458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2,742,603</w:t>
            </w:r>
          </w:p>
        </w:tc>
        <w:tc>
          <w:tcPr>
            <w:tcW w:w="0" w:type="dxa"/>
            <w:vAlign w:val="bottom"/>
          </w:tcPr>
          <w:p>
            <w:pPr>
              <w:spacing w:after="0"/>
              <w:rPr>
                <w:sz w:val="1"/>
                <w:szCs w:val="1"/>
                <w:color w:val="auto"/>
              </w:rPr>
            </w:pPr>
          </w:p>
        </w:tc>
      </w:tr>
      <w:tr>
        <w:trPr>
          <w:trHeight w:val="25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1,986,782</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2,090,726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3,357,463</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276,461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1,153,903</w:t>
            </w: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11,651,319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15,728,101</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KICO (2)</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4,588,997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4,158,538</w:t>
            </w:r>
          </w:p>
        </w:tc>
        <w:tc>
          <w:tcPr>
            <w:tcW w:w="0" w:type="dxa"/>
            <w:vAlign w:val="bottom"/>
          </w:tcPr>
          <w:p>
            <w:pPr>
              <w:spacing w:after="0"/>
              <w:rPr>
                <w:sz w:val="1"/>
                <w:szCs w:val="1"/>
                <w:color w:val="auto"/>
              </w:rPr>
            </w:pPr>
          </w:p>
        </w:tc>
      </w:tr>
      <w:tr>
        <w:trPr>
          <w:trHeight w:val="25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153,201</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5,648,486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5,176,282</w:t>
            </w:r>
          </w:p>
        </w:tc>
        <w:tc>
          <w:tcPr>
            <w:tcW w:w="0" w:type="dxa"/>
            <w:vAlign w:val="bottom"/>
          </w:tcPr>
          <w:p>
            <w:pPr>
              <w:spacing w:after="0"/>
              <w:rPr>
                <w:sz w:val="1"/>
                <w:szCs w:val="1"/>
                <w:color w:val="auto"/>
              </w:rPr>
            </w:pPr>
          </w:p>
        </w:tc>
      </w:tr>
      <w:tr>
        <w:trPr>
          <w:trHeight w:val="256"/>
        </w:trPr>
        <w:tc>
          <w:tcPr>
            <w:tcW w:w="4200" w:type="dxa"/>
            <w:vAlign w:val="bottom"/>
            <w:shd w:val="clear" w:color="auto" w:fill="CCEEFF"/>
          </w:tcPr>
          <w:p>
            <w:pPr>
              <w:spacing w:after="0"/>
              <w:rPr>
                <w:sz w:val="22"/>
                <w:szCs w:val="22"/>
                <w:color w:val="auto"/>
              </w:rPr>
            </w:pPr>
          </w:p>
        </w:tc>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4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10,551,819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88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42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20" w:hanging="959"/>
        <w:spacing w:after="0"/>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assets from net operating loss carryovers (“NOL”)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52"/>
        </w:trPr>
        <w:tc>
          <w:tcPr>
            <w:tcW w:w="556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Type of NOL</w:t>
            </w:r>
          </w:p>
        </w:tc>
        <w:tc>
          <w:tcPr>
            <w:tcW w:w="14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50"/>
        </w:trPr>
        <w:tc>
          <w:tcPr>
            <w:tcW w:w="5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r>
      <w:tr>
        <w:trPr>
          <w:trHeight w:val="250"/>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only, NOL from 2022-2023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2,793,622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5,283,016</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56"/>
        </w:trPr>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57"/>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(A)</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2,560,372</w:t>
            </w: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2027 - December 2044</w:t>
            </w:r>
          </w:p>
        </w:tc>
      </w:tr>
      <w:tr>
        <w:trPr>
          <w:trHeight w:val="250"/>
        </w:trPr>
        <w:tc>
          <w:tcPr>
            <w:tcW w:w="55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(2,989,431)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(2,560,372)</w:t>
            </w:r>
          </w:p>
        </w:tc>
        <w:tc>
          <w:tcPr>
            <w:tcW w:w="10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r>
      <w:tr>
        <w:trPr>
          <w:trHeight w:val="250"/>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net of valuation allowance</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r>
      <w:tr>
        <w:trPr>
          <w:trHeight w:val="257"/>
        </w:trPr>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5"/>
        </w:trPr>
        <w:tc>
          <w:tcPr>
            <w:tcW w:w="55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deferred tax asset from net operating loss carryovers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2,793,622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5,283,016</w:t>
            </w:r>
          </w:p>
        </w:tc>
        <w:tc>
          <w:tcPr>
            <w:tcW w:w="10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spacing w:after="0"/>
              <w:rPr>
                <w:sz w:val="23"/>
                <w:szCs w:val="23"/>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left="1380" w:hanging="319"/>
        <w:spacing w:after="0" w:line="256" w:lineRule="auto"/>
        <w:tabs>
          <w:tab w:leader="none" w:pos="13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Kingstone generates operating losses for state purposes and has prior year NOLs available. The state NOL as of September 30, 2024 and December 31, 2023 was approximately $45,991,249 and $39,390,000, respectively. KICO, the Company’s insurance underwriting subsidiary, is not subject to state income taxes. KICO’s state tax obligations are paid through a gross premiums tax, which is included in the condensed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2044.</w:t>
      </w:r>
    </w:p>
    <w:p>
      <w:pPr>
        <w:spacing w:after="0" w:line="187" w:lineRule="exact"/>
        <w:rPr>
          <w:sz w:val="20"/>
          <w:szCs w:val="20"/>
          <w:color w:val="auto"/>
        </w:rPr>
      </w:pPr>
    </w:p>
    <w:p>
      <w:pPr>
        <w:ind w:left="2020" w:hanging="959"/>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liability – Investment in KICO</w:t>
      </w:r>
    </w:p>
    <w:p>
      <w:pPr>
        <w:spacing w:after="0" w:line="225" w:lineRule="exact"/>
        <w:rPr>
          <w:sz w:val="20"/>
          <w:szCs w:val="20"/>
          <w:color w:val="auto"/>
        </w:rPr>
      </w:pPr>
    </w:p>
    <w:p>
      <w:pPr>
        <w:jc w:val="both"/>
        <w:ind w:left="1040"/>
        <w:spacing w:after="0" w:line="253" w:lineRule="auto"/>
        <w:rPr>
          <w:sz w:val="20"/>
          <w:szCs w:val="20"/>
          <w:color w:val="auto"/>
        </w:rPr>
      </w:pPr>
      <w:r>
        <w:rPr>
          <w:rFonts w:ascii="Times New Roman" w:cs="Times New Roman" w:eastAsia="Times New Roman" w:hAnsi="Times New Roman"/>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2024 and 2023. If any had been recognized these would have been reported in income tax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taxing authorities may examine the Company’s tax returns for the three years from the date of filing. The Company’s tax returns for the years ended December 31, 2021 through December 31, 2023 remain subject to examination.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(Loss) Per Common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earnings (loss) per common share is computed by dividing net income (loss) by the weighted-average number of shares of Common Stock outstanding. Diluted earnings (loss) per common share reflects, in periods in which it has a dilutive effect, the impact of common shares issuable upon exercise of stock options and warrants as well as non-vested restricted stock awards. The computation of diluted earnings (loss) per common share excludes those options and warrants with an exercise price in excess of the average market price of the Company’s Common Stock during the periods presented. For the three months and nine months ended September 30, 2024, there were -0- and 61,270 options with an exercise price in excess of the average market price of the Company’s Common Stock during the periods. For the three months and nine months ended September 30, 2024, there were no warrants with an exercise price in excess of the average market price of the Company’s Common Stock during the periods.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(loss) per common share excludes outstanding options, warrants and non-vested restricted stock awards in periods where the exercise of such options and warrants or vesting of such restricted stock awards would be anti-dilutive. For the three months and nine months ended September 30, 2023, no options, warrants or restricted stock awards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warrants and non-vested restricted stock awards.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reconciliation of the weighted average number of shares of Common Stock used in the calculation of basic and diluted earnings (loss) per common share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11,404,360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10,756,156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11,142,043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10,754,709</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common share equivalents:</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752,619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731,520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216,113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for computing</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12,581,128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10,756,156</w:t>
            </w:r>
          </w:p>
        </w:tc>
        <w:tc>
          <w:tcPr>
            <w:tcW w:w="10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12,249,576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10,754,709</w:t>
            </w:r>
          </w:p>
        </w:tc>
        <w:tc>
          <w:tcPr>
            <w:tcW w:w="0" w:type="dxa"/>
            <w:vAlign w:val="bottom"/>
          </w:tcPr>
          <w:p>
            <w:pPr>
              <w:spacing w:after="0"/>
              <w:rPr>
                <w:sz w:val="1"/>
                <w:szCs w:val="1"/>
                <w:color w:val="auto"/>
              </w:rPr>
            </w:pPr>
          </w:p>
        </w:tc>
      </w:tr>
      <w:tr>
        <w:trPr>
          <w:trHeight w:val="221"/>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 Lease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 party to a non-cancellable operating lease, dated March 27, 2015, for its office facility for KICO located in Valley Stream, New York, which expired on March 31, 2024. The lease was not renewed.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office operating leases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57"/>
        </w:trPr>
        <w:tc>
          <w:tcPr>
            <w:tcW w:w="5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124,026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124,026</w:t>
            </w:r>
          </w:p>
        </w:tc>
        <w:tc>
          <w:tcPr>
            <w:tcW w:w="0" w:type="dxa"/>
            <w:vAlign w:val="bottom"/>
          </w:tcPr>
          <w:p>
            <w:pPr>
              <w:spacing w:after="0"/>
              <w:rPr>
                <w:sz w:val="1"/>
                <w:szCs w:val="1"/>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 on operating leases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liability reported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operating cash flows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49,145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96,629</w:t>
            </w:r>
          </w:p>
        </w:tc>
        <w:tc>
          <w:tcPr>
            <w:tcW w:w="0" w:type="dxa"/>
            <w:vAlign w:val="bottom"/>
          </w:tcPr>
          <w:p>
            <w:pPr>
              <w:spacing w:after="0"/>
              <w:rPr>
                <w:sz w:val="1"/>
                <w:szCs w:val="1"/>
                <w:color w:val="auto"/>
              </w:rPr>
            </w:pPr>
          </w:p>
        </w:tc>
      </w:tr>
      <w:tr>
        <w:trPr>
          <w:trHeight w:val="25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6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expense for the three months ended September 30, 2024 and 2023 amounted to $-0- and $41,342, respectively, and is included in the accompanying condensed consolidated statements of operations and comprehensive income (loss) within other underwriting expenses. Rent expense for the nine months ended September 30, 2024 and 2023 amounted to $41,342 and $124,026, respectively, and is included in the accompanying condensed consolidated statements of operations and comprehensive income (loss) within other underwriting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Meryl Golden, President and Chief Executive Officer; formerly Chief Operating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2019, the Company and Meryl Golden entered into an employment agreement (the “Golden Employment Agreement”) pursuant to which Ms. Golden served as the Company’s Chief Operating Officer. Ms. Golden also served as KICO’s President and Chief Operating Officer. The Golden Employment Agreement became effective as of September 25, 2019 (amended on December 24, 2020) and expired on December 31, 2022.</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27, 2022, the Company and Ms. Golden entered into a second amended and restated employment agreement which took effect as of January 1, 2023, and expires on December 31, 2024 (the “Second Amended Golden Employment Agreement”).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will vest with respect to one-half of the award on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anniversary of the grant date and one-half of the award on December 31, 2024, based on the continued provision of services through such dates. In January 2024, Ms. Golden was granted 64,085 shares of restricted stock pursuant to this provision. The 2024 grant will vest on January 2, 2025,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18 months following a change of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October 1, 2023, Ms. Golden was appointed to the position of President and Chief Executive Officer of the Company to succeed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Goldstein.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to be effective as of January 1, 2025</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15, 2024, the Company and Ms. Golden entered into a third amended and restated employment agreement (the “Third Amended Golden Employment Agreement”). The Third Amended Golden Employment Agreement is effective as of January 1, 2025 and extends the expiration date of the Second Amended Golden Employment Agreement currently in effect for Ms. Golden from December 31, 2024 to December 31, 2026. Pursuant to the Third Amended Golden Employment Agreement, Ms. Golden will be entitled to receive an annual base salary of $550,000 (increased from $500,000 currently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currently in effect). Pursuant to the Third Amended Golden Employment Agreement (and 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Second Amended Golden Employment Agreement). Pursuant to the Third Amended Golden Employment Agreement, Ms. Golden will be entitled to receive, under certain circumstances, a grant, during each of January 2025 and January 2026, of 40,000 shares of restricted stock. The 2025 grant will become vested with respect to one-half of the award on the first anniversary of the grant date and one-half on December 31, 2026. The 2026 grant will become vested on the first anniversary of the grant date. The above grants are generally consistent with the grants provided for in the Second Amended Golden Employment Agreement. In the event that the Company is precluded from making a grant to Ms. Golden in either 2025 or 2026, she would instead be entitled to a cash bonus of $136,500 for such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Barry Goldstein, formerly Executive Chairman of the Board, President and Chief Executive Officer </w:t>
      </w:r>
      <w:r>
        <w:rPr>
          <w:rFonts w:ascii="Times New Roman" w:cs="Times New Roman" w:eastAsia="Times New Roman" w:hAnsi="Times New Roman"/>
          <w:sz w:val="18"/>
          <w:szCs w:val="18"/>
          <w:color w:val="auto"/>
        </w:rPr>
        <w:t>(retired effective September 10,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Mr. Goldstein's retirement on September 10, 2024, the balance of his previously unvested shares became fully vested.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Bonus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Bonus Plan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the Company accrued approximately $873,000 related to an employee bonus plan, of which $199,000 is allocated and recorded in loss and LAE, and $674,000 is recorded in other underwriting expenses on the accompanying condensed consolidated statements of operations and comprehensive income (loss). For the nine months ended September 30, 2024 the Company accrued approximately $1,457,000 related to an employee bonus plan, of which $332,000 is allocated and recorded in loss and LAE, and $1,125,000 is recorded in other underwriting expenses on the accompanying condensed consolidated statements of operations and comprehensive income (loss). For the three months and nine months ended September 30, 2023 the Company did not accrue for, or pay, bonuses related to an employee bonus plan.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Bonus Plan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the three months ended September 30, 2024, the Company accrued approximately $205,000 for a bonus pursuant to the Second Amended Golden Employment Agreement, of which $290,000 is recorded in other underwriting expenses, and $(85,000) is recorded in other operating expenses on the accompanying condensed consolidated statements of operations and comprehensive income (loss). For the nine months ended September 30, 2024, the Company accrued approximately $322,000 for a bonus pursuant to the Second Amended Golden Employment Agreement, of which $290,000 is recorded in other underwriting expenses, and $32,000 is recorded in other operating expenses on the accompanying condensed consolidated statements of operations and comprehensive income (loss). For the three months and nine months ended September 30, 2023 the Company did not accrue for, or pay, bonuses related to the Second Amended Golden Employment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401(k)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$74,000 and $90,000, respectively, of expense for the three months ended September 30, 2024 and 2023, related to the 401(k) Plan, which is recorded in other underwriting expenses on the accompanying condensed consolidated statements of operations and comprehensive income (loss). The Company incurred approximately $212,000 and $249,000, respectively, of expense for the nine months ended September 30, 2024 and 2023, related to the 401(k) Plan, which is recorded in other underwriting expenses on the accompanying condensed consolidated statements of operations and comprehensive income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2018, the Company adopted the Kingstone Companies, Inc. Deferred Compensation Plan (the "Deferred Compensation Plan"). Effective December 22, 2022, the Company terminated the Deferred Compensation Plan. The assets of the Deferred Compensation Plan were liquidated in September 2024, by making payments to Participants in full satisfaction of their interest in the Deferred Compensation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compensation liability as of September 30, 2024 and December 31, 2023 amounted to $0 and $937,025, respectively, and is recorded in accounts payable, accrued expenses and other liabilities in the accompanying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that occurred subsequent to September 30, 2024 through the date these condensed consolidated financial statements were issued for matters that required disclosure or adjustment in these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1, 2024, the Company entered into an additional catastrophe reinsurance treaty covering winter storms. The treaty covers winter storm losses of $5,500,000 in excess of $4,500,000 from October 1, 2024 through April 30, 2025. See Note 6 – Property and Casualty Insurance Activity - “Reinsurance”.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- 2024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13, 2024, the Company made an optional prepayment of $2,000,000 on the 2024 Notes. See Note 7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three months ended September 30, 2024 and 2023 respectively, 96.3% and 88.5% of KICO’s direct written premiums came from the New York policies. For the nine months ended September 30, 2024 and 2023 respectively, 95.6% and 88.1% of KICO’s direct written premiums came from the New York policies. We refer to our New York business as our “Core” business and the business outside of New York as our “non-Core”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lines include the following:</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 lines: </w:t>
      </w:r>
      <w:r>
        <w:rPr>
          <w:rFonts w:ascii="Times New Roman" w:cs="Times New Roman" w:eastAsia="Times New Roman" w:hAnsi="Times New Roman"/>
          <w:sz w:val="18"/>
          <w:szCs w:val="18"/>
          <w:color w:val="auto"/>
        </w:rPr>
        <w:t>Our largest line of business is personal lines, consisting of homeowners, dwelling fire, cooperative/condominium, renters,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umbrella policies.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liability: </w:t>
      </w:r>
      <w:r>
        <w:rPr>
          <w:rFonts w:ascii="Times New Roman" w:cs="Times New Roman" w:eastAsia="Times New Roman" w:hAnsi="Times New Roman"/>
          <w:sz w:val="18"/>
          <w:szCs w:val="18"/>
          <w:color w:val="auto"/>
        </w:rPr>
        <w:t>Through July 2019, we offered businessowners policies, which consist primarily of small business retail, service, and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2019, due to the poor performance of these lines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September 30, 2024 and December 31, 2023, there were no commercial liability policies in-force. As of September 30, 2024, these expired policies represent approximately 14.9% of loss and LAE reserves net of reinsurance recoverables. See discussion below under “Additional Financial Information”.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Livery physical damage: </w:t>
      </w:r>
      <w:r>
        <w:rPr>
          <w:rFonts w:ascii="Times New Roman" w:cs="Times New Roman" w:eastAsia="Times New Roman" w:hAnsi="Times New Roman"/>
          <w:sz w:val="18"/>
          <w:szCs w:val="18"/>
          <w:color w:val="auto"/>
        </w:rPr>
        <w:t>We write for-hire vehicle physical damage only policies for livery and car service vehicles and taxicabs. These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 only the physical damage portion of insurance for such vehicles, with no liability coverage included.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We write canine legal liability policies and have a small participation in mandatory state joint underwriting associations.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GAAP and Non-GAAP Measures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utilize the following key GAAP and non-GAAP measures in analyzing the results of our insurance underwriting business. See "Non-GAAP Financial Measures" for a reconciliation of the below non-GAAP measures to the most directly comparable GAAP measure:</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w:t>
      </w:r>
      <w:r>
        <w:rPr>
          <w:rFonts w:ascii="Times New Roman" w:cs="Times New Roman" w:eastAsia="Times New Roman" w:hAnsi="Times New Roman"/>
          <w:sz w:val="18"/>
          <w:szCs w:val="18"/>
          <w:color w:val="auto"/>
        </w:rPr>
        <w:t>The net loss ratio is a measure of the underwriting profitability of an insurance company’s business. Expressed as a percentage,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ratio of net losses and LAE incurred to net premiums earned.</w:t>
      </w:r>
    </w:p>
    <w:p>
      <w:pPr>
        <w:spacing w:after="0" w:line="14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Underlying loss ratio: </w:t>
      </w:r>
      <w:r>
        <w:rPr>
          <w:rFonts w:ascii="Times New Roman" w:cs="Times New Roman" w:eastAsia="Times New Roman" w:hAnsi="Times New Roman"/>
          <w:sz w:val="18"/>
          <w:szCs w:val="18"/>
          <w:color w:val="auto"/>
        </w:rPr>
        <w:t>The underlying loss ratio is a non-GAAP ratio, which is computed as the difference between GAAP net loss ratio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of prior year loss reserve development and catastrophes losses. Management believes 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excluding the effect of catastrophes: </w:t>
      </w:r>
      <w:r>
        <w:rPr>
          <w:rFonts w:ascii="Times New Roman" w:cs="Times New Roman" w:eastAsia="Times New Roman" w:hAnsi="Times New Roman"/>
          <w:sz w:val="18"/>
          <w:szCs w:val="18"/>
          <w:color w:val="auto"/>
        </w:rPr>
        <w:t>Net loss ratio excluding the effect of catastrophes is a non-GAAP ratio, which is computed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difference between GAAP net loss ratio and the effect of 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w:t>
      </w:r>
      <w:r>
        <w:rPr>
          <w:rFonts w:ascii="Times New Roman" w:cs="Times New Roman" w:eastAsia="Times New Roman" w:hAnsi="Times New Roman"/>
          <w:sz w:val="18"/>
          <w:szCs w:val="18"/>
          <w:color w:val="auto"/>
        </w:rPr>
        <w:t>The net underwriting expense ratio is a measure of an insurance company’s operational efficiency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excluding the effect of catastrophes: </w:t>
      </w:r>
      <w:r>
        <w:rPr>
          <w:rFonts w:ascii="Times New Roman" w:cs="Times New Roman" w:eastAsia="Times New Roman" w:hAnsi="Times New Roman"/>
          <w:sz w:val="18"/>
          <w:szCs w:val="18"/>
          <w:color w:val="auto"/>
        </w:rPr>
        <w:t>Net underwriting expense ratio excluding the effect of catastrophes is a non-GAAP ratio, which is computed as the difference between GAAP net 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cause our net underwriting expense ratios to vary significantly between periods as a result of their incidence of occurrence and magnitude and can have a significant impact on the underwriting expense ratio. Management believes that this measure is useful for investors to evaluate this component separately when reviewing our underwriting performance.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w:t>
      </w:r>
      <w:r>
        <w:rPr>
          <w:rFonts w:ascii="Times New Roman" w:cs="Times New Roman" w:eastAsia="Times New Roman" w:hAnsi="Times New Roman"/>
          <w:sz w:val="18"/>
          <w:szCs w:val="18"/>
          <w:color w:val="auto"/>
        </w:rPr>
        <w:t>The net combined ratio is a measure of an insurance company’s overall underwriting profit. This is the sum of the net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excluding the effect of catastrophes: </w:t>
      </w:r>
      <w:r>
        <w:rPr>
          <w:rFonts w:ascii="Times New Roman" w:cs="Times New Roman" w:eastAsia="Times New Roman" w:hAnsi="Times New Roman"/>
          <w:sz w:val="18"/>
          <w:szCs w:val="18"/>
          <w:color w:val="auto"/>
        </w:rPr>
        <w:t>Net combined ratio excluding the effect of catastrophes is a non-GAAP ratio,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computed as the difference between GAAP combined ratio and the effect of catastrophes on the net combined ratio. Management believes that this ratio is useful to investors, and it is used by management to reveal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trends in our business that 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w:t>
      </w:r>
      <w:r>
        <w:rPr>
          <w:rFonts w:ascii="Times New Roman" w:cs="Times New Roman" w:eastAsia="Times New Roman" w:hAnsi="Times New Roman"/>
          <w:sz w:val="18"/>
          <w:szCs w:val="18"/>
          <w:color w:val="auto"/>
        </w:rPr>
        <w:t>Underwriting income is net pre-tax income attributable to our insurance underwriting business before investment activity.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Net income (loss) from insurance underwriting business on a standalone basis</w:t>
      </w:r>
      <w:r>
        <w:rPr>
          <w:rFonts w:ascii="Calibri" w:cs="Calibri" w:eastAsia="Calibri" w:hAnsi="Calibri"/>
          <w:sz w:val="16"/>
          <w:szCs w:val="16"/>
          <w:b w:val="1"/>
          <w:bCs w:val="1"/>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(loss) from insurance underwriting business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standalone basis is a non-GAAP measure, which is computed as GAAP net income (loss) without the effect of holding company operations on GAAP net income (loss). Management believes that this measure is useful to investors, and it is used by management to reveal the trends in our insurance underwriting business that may be obscured by holding company operations. Holding company operations cause our GAAP net income (loss) to vary significantly between periods as a result of their magnitude and can have a significant impact on GAAP net income (loss). Management believes that this measure is useful for investors to evaluate this component separately when reviewing our underwriting performance. The most directly comparable GAAP measure is GAAP net income (loss). Net income (loss) from insurance underwriting business on a standalone basis should not be considered a substitute for GAAP net income (loss) and does not reflect our GAAP net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below a description of these critical accounting estimates. Also see Note 2 to the consolidated financial statements in our Annual Report on Form 10-K for the year ended December 31,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and Loss Adjustment Expense Reserves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September 30, 2024 and December 31,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50"/>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Net</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5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40,893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r>
      <w:tr>
        <w:trPr>
          <w:trHeight w:val="25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Case LAE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6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IBNR loss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29,412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26,597</w:t>
            </w:r>
          </w:p>
        </w:tc>
      </w:tr>
      <w:tr>
        <w:trPr>
          <w:trHeight w:val="250"/>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IBNR LAE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12,513</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w:t>
            </w:r>
          </w:p>
        </w:tc>
      </w:tr>
      <w:tr>
        <w:trPr>
          <w:trHeight w:val="27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87,794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88,529</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IBNR Reserves – IBNR reserves are estimates of claims that have occurred but as to which we have not yet been notified to establish the case reserve. IBNR is determined using historical information aggregated by line of insurance and adjusted to current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is based on GAAP income at statutory tax rates, adjusted for non-taxable and non-deductible items, and tax credits. Changes in estimates used in preparing the condensed consolidated statements of operations and comprehensive income (loss) could result in significant changes to our deferred tax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-175895</wp:posOffset>
            </wp:positionV>
            <wp:extent cx="28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operations and comprehensive income (loss), or changes in the enacted tax rate, could result in significant variances between our carried deferred tax and tax recognized on the recovery or settlement of the asset or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Bonds are classified as held-to-maturity (“HTM”) or available-for-sale (“AFS”), and stocks are generally classified as AFS. Investments classified as HTM are carried at amortized cost, which requires very little judgement. Investments classified as AFS are generally carried at fair value with an unrealized gain/loss recorded in income. Actual results could vary significantly from the fair values recognized in the condensed consolidated statements of operations and comprehensive income (loss).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Kingstone 2.0 (completed), Kingstone 3.0 (underway), and Change in Market Dynamics (underway)</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Beginning in the fourth quarter of 2019, a series of strategic initiatives, coined “Kingstone 2.0”, were commenced to modernize our company. The pillars of the new strategy were as follows:</w:t>
      </w:r>
    </w:p>
    <w:p>
      <w:pPr>
        <w:spacing w:after="0" w:line="162" w:lineRule="exact"/>
        <w:rPr>
          <w:sz w:val="20"/>
          <w:szCs w:val="20"/>
          <w:color w:val="auto"/>
        </w:rPr>
      </w:pPr>
    </w:p>
    <w:p>
      <w:pPr>
        <w:ind w:left="2120" w:right="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management team by adding highly qualified professionals with deep domain experience and diverse backgrounds;</w:t>
      </w:r>
    </w:p>
    <w:p>
      <w:pPr>
        <w:spacing w:after="0" w:line="161" w:lineRule="exact"/>
        <w:rPr>
          <w:rFonts w:ascii="Times New Roman" w:cs="Times New Roman" w:eastAsia="Times New Roman" w:hAnsi="Times New Roman"/>
          <w:sz w:val="18"/>
          <w:szCs w:val="18"/>
          <w:color w:val="auto"/>
        </w:rPr>
      </w:pPr>
    </w:p>
    <w:p>
      <w:pPr>
        <w:ind w:left="21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expenses and increased efficiency by embracing technology, including converting to a new policy management system, retiring multiple legacy systems and starting up a new claims system, among other technology initiatives;</w:t>
      </w:r>
    </w:p>
    <w:p>
      <w:pPr>
        <w:spacing w:after="0" w:line="161" w:lineRule="exact"/>
        <w:rPr>
          <w:rFonts w:ascii="Times New Roman" w:cs="Times New Roman" w:eastAsia="Times New Roman" w:hAnsi="Times New Roman"/>
          <w:sz w:val="18"/>
          <w:szCs w:val="18"/>
          <w:color w:val="auto"/>
        </w:rPr>
      </w:pPr>
    </w:p>
    <w:p>
      <w:pPr>
        <w:ind w:left="21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implemented a new, more highly segmented product suite (Kingstone Select) which better matches rate to risk using advanced analytics and an abundance of data; and</w:t>
      </w:r>
    </w:p>
    <w:p>
      <w:pPr>
        <w:spacing w:after="0" w:line="161" w:lineRule="exact"/>
        <w:rPr>
          <w:rFonts w:ascii="Times New Roman" w:cs="Times New Roman" w:eastAsia="Times New Roman" w:hAnsi="Times New Roman"/>
          <w:sz w:val="18"/>
          <w:szCs w:val="18"/>
          <w:color w:val="auto"/>
        </w:rPr>
      </w:pPr>
    </w:p>
    <w:p>
      <w:pPr>
        <w:ind w:left="2120" w:hanging="1069"/>
        <w:spacing w:after="0" w:line="282" w:lineRule="auto"/>
        <w:tabs>
          <w:tab w:leader="none" w:pos="2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managed our catastrophe exposure in order to reduce loss cost and the growth rate of our probable maximum loss (“PML”) in order to mitigate the impact of the then emerging “hard market” in catastrophe reinsurance.</w:t>
      </w:r>
    </w:p>
    <w:p>
      <w:pPr>
        <w:spacing w:after="0" w:line="162"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We announced the substantive completion of Kingstone 2.0 in late 2022 and embarked on a new strategy to optimize our in-force business, which we coined as “Kingstone 3.0”. The four pillars of this strategy entail:</w:t>
      </w:r>
    </w:p>
    <w:p>
      <w:pPr>
        <w:spacing w:after="0" w:line="162" w:lineRule="exact"/>
        <w:rPr>
          <w:sz w:val="20"/>
          <w:szCs w:val="20"/>
          <w:color w:val="auto"/>
        </w:rPr>
      </w:pPr>
    </w:p>
    <w:p>
      <w:pPr>
        <w:jc w:val="both"/>
        <w:ind w:left="2120" w:hanging="1069"/>
        <w:spacing w:after="0" w:line="258" w:lineRule="auto"/>
        <w:tabs>
          <w:tab w:leader="none" w:pos="21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reducing the non-Core book of business, which has had a disproportionately negative impact on underwriting results, by stopping new business, culling the agent base, reducing commissions, or other means, subject to regulatory constraints. We have been aggressively reducing policy count. Our request to withdraw from the state of New Jersey was acknowledged in October 2023 and all remaining policies will be non-renewed over a two year period starting January 1, 2024. As of September 30, 2024, our non-Core policy count was down by 58.8% compared to September 30, 2023;</w:t>
      </w:r>
    </w:p>
    <w:p>
      <w:pPr>
        <w:spacing w:after="0" w:line="183" w:lineRule="exact"/>
        <w:rPr>
          <w:rFonts w:ascii="Times New Roman" w:cs="Times New Roman" w:eastAsia="Times New Roman" w:hAnsi="Times New Roman"/>
          <w:sz w:val="18"/>
          <w:szCs w:val="18"/>
          <w:color w:val="auto"/>
        </w:rPr>
      </w:pPr>
    </w:p>
    <w:p>
      <w:pPr>
        <w:jc w:val="both"/>
        <w:ind w:left="2120" w:hanging="1069"/>
        <w:spacing w:after="0" w:line="254" w:lineRule="auto"/>
        <w:tabs>
          <w:tab w:leader="none" w:pos="21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pricing to stay ahead of loss trends, including inflation, by filing the maximum annual rate change that can be supported in each state and product and ensuring all policyholders are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All policies are renewed at the most current replacement cost. Overall average written premium for our legacy Core homeowners policies for the last 12 months, reflecting both rate and replacement cost changes, increased by 24.5%;</w:t>
      </w:r>
    </w:p>
    <w:p>
      <w:pPr>
        <w:spacing w:after="0" w:line="188" w:lineRule="exact"/>
        <w:rPr>
          <w:rFonts w:ascii="Times New Roman" w:cs="Times New Roman" w:eastAsia="Times New Roman" w:hAnsi="Times New Roman"/>
          <w:sz w:val="18"/>
          <w:szCs w:val="18"/>
          <w:color w:val="auto"/>
        </w:rPr>
      </w:pPr>
    </w:p>
    <w:p>
      <w:pPr>
        <w:ind w:left="2120" w:right="40" w:hanging="1069"/>
        <w:spacing w:after="0" w:line="258" w:lineRule="auto"/>
        <w:tabs>
          <w:tab w:leader="none" w:pos="21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managing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 to limit new business that was deemed to be too expensive and at the same time re-underwrote the book to cull those risks which presented the greatest risk; and</w:t>
      </w:r>
    </w:p>
    <w:p>
      <w:pPr>
        <w:spacing w:after="0" w:line="183" w:lineRule="exact"/>
        <w:rPr>
          <w:rFonts w:ascii="Times New Roman" w:cs="Times New Roman" w:eastAsia="Times New Roman" w:hAnsi="Times New Roman"/>
          <w:sz w:val="18"/>
          <w:szCs w:val="18"/>
          <w:color w:val="auto"/>
        </w:rPr>
      </w:pPr>
    </w:p>
    <w:p>
      <w:pPr>
        <w:ind w:left="2120" w:right="120" w:hanging="1069"/>
        <w:spacing w:after="0" w:line="258" w:lineRule="auto"/>
        <w:tabs>
          <w:tab w:leader="none" w:pos="21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expense reduction focus with a goal of reducing the net underwriting expense ratio to 29% by year-end 2024. For the year ended December 31, 2023, we achieved our goal of 33%, with a net underwriting expense ratio of 32.9%. For the nine months ended September 30, 2024, the net underwriting expense ratio was 31.9%, a reduction of 1.1 points compared to the nine months ended September 30, 2023 but higher than our goal due to a higher accrual for employee bonuses and contingent commissions for producers to reflect greater profitability than originally projected.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believe that the above actions taken resulted in our return to profitability for the three months and nine months ended September 30, 2024, will continue to have the intended effect and will continue through the remainder 2024 to result in a return to annual profitability.</w:t>
      </w:r>
    </w:p>
    <w:p>
      <w:pPr>
        <w:spacing w:after="0" w:line="20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August 2, 2024, two large competitors announced a plan to wind down their personal lines operations in New York State and to non-renew or mid-term cancel their entire book of business before year end 2024. The policyholders of such competitors will need to find alternative coverage. In the quarter ended September 30, 2024, we are seeing a sizable increase in our policies in force and direct written premiums from these non-renewed and cancelled policies. We refer to this new business as a Change in Market Dynamics.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See the tables below for our Core and non-Core business for policies in force as of September 30, 2024 and 2023 and direct written premiums for the three months and nine months ended September 30, 2024 and 2023. For the three months ended September 30, 2024, our Core direct written premiums increased by 39.4% compared to the three months ended September 30, 2023, while Core policies in force increased by 1.2% as of September 30, 2024 as compared to September 30, 2023. For the same periods, our non-Core policies in force decreased by 58.8% and non-Core direct written premiums also decreased by 58.8%.</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our Core direct written premiums increased by 25.0% compared to the nine months ended September 30, 2023, while Core policies in force increased by 1.2% as of September 30, 2024 as compared to September 30, 2023. For the same periods, our non-Core policies in force decreased by 58.8% and non-Core direct written premiums decreased by 58.0%.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506"/>
        </w:trPr>
        <w:tc>
          <w:tcPr>
            <w:tcW w:w="296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Policies In Force, as of end of Period</w:t>
            </w: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69,347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68,498</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2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81"/>
        </w:trPr>
        <w:tc>
          <w:tcPr>
            <w:tcW w:w="1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74,887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gridSpan w:val="3"/>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81,955</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1"/>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187"/>
        </w:trPr>
        <w:tc>
          <w:tcPr>
            <w:tcW w:w="15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(000’s except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464"/>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written</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18,144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162,063</w:t>
            </w:r>
          </w:p>
        </w:tc>
        <w:tc>
          <w:tcPr>
            <w:tcW w:w="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32,398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w w:val="98"/>
              </w:rPr>
              <w:t>(3,509)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(10,188)</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194"/>
        </w:trPr>
        <w:tc>
          <w:tcPr>
            <w:tcW w:w="15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Total direct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66,627</w:t>
            </w:r>
          </w:p>
        </w:tc>
        <w:tc>
          <w:tcPr>
            <w:tcW w:w="3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51,992</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14,635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169,447</w:t>
            </w:r>
          </w:p>
        </w:tc>
        <w:tc>
          <w:tcPr>
            <w:tcW w:w="4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147,237</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vMerge w:val="restart"/>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22,210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written premiums</w:t>
            </w:r>
          </w:p>
        </w:tc>
        <w:tc>
          <w:tcPr>
            <w:tcW w:w="24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380" w:type="dxa"/>
            <w:vAlign w:val="bottom"/>
            <w:gridSpan w:val="3"/>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60" w:type="dxa"/>
            <w:vAlign w:val="bottom"/>
            <w:gridSpan w:val="3"/>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See the tables below comparing the quarterly trends and changes from our Core and non-Core business for policies in force and direct written premiums from December 31, 2023 through September 30, 2024. For the three months ended September 30, 2024, our Core direct written premiums increased by 25.1% compared to the three months ended June 30, 2024, while Core policies in force increased by 3.6% as of September 30, 2024. For the same period, our non-Core direct written premiums increased by 12.2% compared to the three months ended June 30, 2024, while non-Core policies in force decreased by 24.2% as of September 30, 2024.</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Sequential</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Sequential</w:t>
            </w:r>
          </w:p>
        </w:tc>
        <w:tc>
          <w:tcPr>
            <w:tcW w:w="140" w:type="dxa"/>
            <w:vAlign w:val="bottom"/>
          </w:tcPr>
          <w:p>
            <w:pPr>
              <w:spacing w:after="0"/>
              <w:rPr>
                <w:sz w:val="17"/>
                <w:szCs w:val="17"/>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9"/>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(000’s except percentages)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50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Policies In Force, as of end of Period</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3"/>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67,575</w:t>
            </w:r>
          </w:p>
        </w:tc>
      </w:tr>
      <w:tr>
        <w:trPr>
          <w:trHeight w:val="250"/>
        </w:trPr>
        <w:tc>
          <w:tcPr>
            <w:tcW w:w="3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10,823</w:t>
            </w:r>
          </w:p>
        </w:tc>
      </w:tr>
      <w:tr>
        <w:trPr>
          <w:trHeight w:val="282"/>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74,887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74,240</w:t>
            </w: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78,398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62"/>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07"/>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Sequential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Sequential</w:t>
            </w: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9"/>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(000’s except percentages)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50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written premiums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3"/>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47,027</w:t>
            </w:r>
          </w:p>
        </w:tc>
      </w:tr>
      <w:tr>
        <w:trPr>
          <w:trHeight w:val="250"/>
        </w:trPr>
        <w:tc>
          <w:tcPr>
            <w:tcW w:w="3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w:t>
            </w:r>
          </w:p>
        </w:tc>
      </w:tr>
      <w:tr>
        <w:trPr>
          <w:trHeight w:val="277"/>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66,627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24.5 %</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53,495</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52,938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4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written premiums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169,447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147,237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Assumed written premiums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169,447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147,237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0" w:type="dxa"/>
            <w:vAlign w:val="bottom"/>
          </w:tcPr>
          <w:p>
            <w:pPr>
              <w:spacing w:after="0"/>
              <w:rPr>
                <w:sz w:val="1"/>
                <w:szCs w:val="1"/>
                <w:color w:val="auto"/>
              </w:rPr>
            </w:pPr>
          </w:p>
        </w:tc>
      </w:tr>
      <w:tr>
        <w:trPr>
          <w:trHeight w:val="17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Ceded written premiums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quota share treaties (1)</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ceded written premiums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69,381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75,964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written premiums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28,792</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(18,684)</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 (1)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151,568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85,701</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Ceding commission revenue (1)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gains on investments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113,039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107,584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(2)</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58,870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100,572</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Losses from catastrophes (2)</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59,268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(2)</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66,553</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118,848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before taxes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27,873</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2"/>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22,034</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20" w:right="200" w:hanging="802"/>
        <w:spacing w:after="0" w:line="257" w:lineRule="auto"/>
        <w:tabs>
          <w:tab w:leader="none" w:pos="16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2023, our personal lines business was subject to a 30% quota share treaty, expiring on January 1, 2024, which included a runoff of an 8.5% portion through the remainder of 2023. Effective January 1, 2024, we entered into a 27% personal lines quota share treaty, which includes a runoff of a 3.0% portion through the end of 2024.</w:t>
      </w:r>
    </w:p>
    <w:p>
      <w:pPr>
        <w:spacing w:after="0" w:line="1" w:lineRule="exact"/>
        <w:rPr>
          <w:rFonts w:ascii="Times New Roman" w:cs="Times New Roman" w:eastAsia="Times New Roman" w:hAnsi="Times New Roman"/>
          <w:sz w:val="18"/>
          <w:szCs w:val="18"/>
          <w:color w:val="auto"/>
        </w:rPr>
      </w:pPr>
    </w:p>
    <w:p>
      <w:pPr>
        <w:ind w:left="1620" w:right="180" w:hanging="802"/>
        <w:spacing w:after="0" w:line="253" w:lineRule="auto"/>
        <w:tabs>
          <w:tab w:leader="none" w:pos="16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months ended September 30, 2024 and 2023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vMerge w:val="restart"/>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10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4780" w:type="dxa"/>
            <w:vAlign w:val="bottom"/>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44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50"/>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82"/>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Direct written premiums during the nine months ended September 30, 2024 (“Nine Months 2024”) were $169,447,000 compared to $147,237,000 during the nine months ended September 30, 2023 (“Nine Months 2023”). The increase of $22,210,000, or 15.1%, was primarily due to an increase in premiums from our personal lines business.</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Nine Months 2024 were $159,213,000, an increase of $22,612,000, or 16.6%, from $136,601,000 in Nine Months 2023. The 16.6% increase in premiums from our personal lines business was primarily due to the increase in premiums associated with our Core business of 25.0% offsetting a 58.0% decrease in our non-Core business. The increase in our Core business premiums and the decrease in our non-Core business premiums is in accordance with both our Kingstone 2.0 and Kingstone 3.0 strategic plans. Beginning in the quarter ended September 30, 2024, the Change in Market Dynamics became a major factor to the increase in direct written premiums from our personal line business.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Nine Months 2024 were $10,166,000, a decrease of $393,000, or 3.7%, from $10,559,000 in Nine Months 2023. The decrease in livery physical damage direct written premiums was due to an underwriting restriction in place to exclude certain electric vehicles until the approval of adequate rate for the risk was received, which happened in July 2024. The decrease was offset by an increase in the values of the autos insured.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 written premiums from our Core business were $162,063,000 in Nine Months 2024 compared to $129,665,000 in Nine Months 2023, an increase of $32,398,000, or 25.0%. The increase in direct written premiums from our Core business was due to rate increases and an increase in policies in force. Policies in force from our Core business increased by 1.2% in Nine Months 2024 compared to Nine Months 2023. Direct written premiums from our non-Core business were $7,384,000 in Nine Months 2024, as compared to $17,572,000 in Nine Months 2023, a decrease of $10,188,000, or 58.0%. The decrease in direct written premiums from our non-Core business is a result of our decision to aggressively reduce the book of business in these states. Policies in force from our non-Core business decreased by 58.8% in Nine Months 2024 compared to Nine Months 2023. The increase in our Core business and the decrease in our non-Core business is consistent with a key pillar of our Kingstone 3.0 strategy to reduce our non-Core business due to profitability concerns.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written premiums increased $28,792,000, or 40.4%, to $100,065,000 in Nine Months 2024 from $71,273,000 in Nine Months 2023. Net written premiums include direct premiums, less the amount of written premiums ceded under our reinsurance treaties (quota share, excess of loss, and catastrophe). The increase in Nine Months 2024 is primarily due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additional premiums from the Change in Market Dynamics, changes to our personal lines quota share reinsurance treaty, and a decrease in catastrophe reinsurance premiums. See quota share reinsurance treaties discussion below.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 2023, we entered into a new 30% quota share reinsurance treaty for our personal lines business, covering the period from January 1, 2023 through January 1, 2024 (“2023/2024 Treaty”). Upon expiration of the 2023/2024 Treaty on January 1, 2024, we entered into a new 27% quota share reinsurance treaty for our personal lines business, covering the period from January 1, 2024 through January 1, 2025 (“2024/2025 Treaty”). Our personal lines business was subject to the 2024/2025 Treaty in Nine Months 2024, and the 2023/2024 Treaty in Nine Months 2023. In Nine Months 2024, our premiums ceded under quota share treaties decreased by $3,623,000 in comparison to premiums ceded under quota share treaties in Nine Months 2023 (see table above). The decrease in Nine Months 2024 was attributable to the decrease in quota share ceding percentage rates, offset by an increase in direct written premiums subject to the 2024/2025 Treaty compared to direct written premiums subject to the 2023/2024 Treaty.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increase in written premiums will increase the premiums ceded under our excess of loss treaties. In Nine Months 2024, our ceded excess of loss reinsurance premiums increased by $630,000 over the comparable ceded excess of loss premiums for Nine Months 2023. The increase was due to an increase in subject premiums and the heightened cost of coverage obtained. Effective January 1, 2023, we entered into an underlying excess of loss reinsurance treaty (the “Underlying XOL Treaty”) covering the period from January 1, 2023 through January 1, 2024. The Underlying XOL Treaty provided 50% reinsurance coverage for losses of $400,000 in excess of $600,000. Losses from named storms were excluded from the Underlying XOL Treaty. Effective January 1, 2024, the Underlying XOL Treaty was renewed covering the period from January 1, 2024 through January 1,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are stable or are increasing. Under Kingstone 2.0 and 3.0 we had a decrease in policies in force, resulting in a decrease in catastrophe exposure, and a decrease in catastrophe premiums. On July 1, 2024 and 2023, we recorded our catastrophe premiums written for the entire treaty period covering July 1 through June 30, resulting in the entire annual premium written being recorded in the third quarter. Our catastrophe premiums were $29,682,000 in Nine Months 2024, compared to $33,271,000 in Nine Months 2023, a decrease of $3,589,000, or 10.8%.</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premiums earned increased $6,830,000, or 8.0%, to $92,531,000 in Nine Months 2024 from $85,701,000 in Nine Months 2023. The increase was due to the three percentage point reduction in quota share rates discussed above, the run-off of a portion of the 2021-2023 Treaty, which increased the premiums ceded and reduced the net premiums earned in Nine Months 2023, the increase in premiums from the Change in Market Dynamics in Nine Months 2024, and a decrease in catastrophe premium rates after June 30, 2024 reflected in ceded catastrophe premiums earned, which increased the amount of growth in net premiums earned. offset by an increase in catastrophe premium rates through June 30, 2024, reflected in ceded catastrophe premiums earned, which reduced the amount of growth in net premiums earned during the first six months of 2024.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57"/>
        </w:trPr>
        <w:tc>
          <w:tcPr>
            <w:tcW w:w="4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56"/>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4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57"/>
        </w:trPr>
        <w:tc>
          <w:tcPr>
            <w:tcW w:w="4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Ceding commission revenue was $13,871,000 in Nine Months 2024 compared to $16,394,000 in Nine Months 2023. The decrease of $2,523,000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Nine Months 2024, we earned provisional ceding commissions of $13,860,000 from personal lines earned premiums ceded under the 2024/2025 Treaty, and in Nine Months 2023, we earned provisional ceding commissions of $15,733,000 from personal lines earned premiums ceded under the 2023/2024 Treaty. The decrease of $1,873,000 in provisional ceding commissions earned was due to the decrease in premiums ceded under these treaties during Nine Months 2024 compared to Nine Months 2023, offset by an increase in ceding commission rates under the 2024/2025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structure of the 2024/2025 Treaty and the 2023/2024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was $4,917,000 in Nine Months 2024 compared to $4,437,000 in Nine Months 2023, an increase of $480,000, or 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yield on non-cash invested assets was 3.50% as of September 30, 2024 compared to 3.73% as of September 30, 2023.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invested assets were $221,847,000 as of September 30, 2024 compared to $172,095,000 as of September 30, 2023, an increase of $49,752,000.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on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on investments were $1,319,000 in Nine Months 2024 compared to net gains of $598,000 in Nine Months 2023. Unrealized gains on our equity securities and other investments in Nine Months 2024 were $1,379,000, compared to unrealized gains of $615,000 in Nine Months 2023. Net realized (losses) on sales of investments were $(60,000) in Nine Months 2024 compared to net realized (losses) of $(17,000) in Nine Months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was $401,000 in Nine Months 2024 compared to $454,000 in Nine Months 2023, a decrease of $53,000, or 11.7%.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$45,125,000 for Nine Months 2024 compared to $66,553,000 for Nine Months 2023. The net loss ratio was 48.8% in Nine Months 2024 compared to 77.7% in Nine Months 2023, a decrease of 28.9 percentage points.</w:t>
      </w:r>
    </w:p>
    <w:p>
      <w:pPr>
        <w:spacing w:after="0" w:line="162" w:lineRule="exact"/>
        <w:rPr>
          <w:sz w:val="20"/>
          <w:szCs w:val="20"/>
          <w:color w:val="auto"/>
        </w:rPr>
      </w:pPr>
    </w:p>
    <w:p>
      <w:pPr>
        <w:jc w:val="both"/>
        <w:ind w:firstLine="551"/>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114300</wp:posOffset>
            </wp:positionV>
            <wp:extent cx="5306060" cy="3960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0606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loss ratio for Nine Months 2024 improved significantly compared to Nine Months 2023. For Nine Months 2024, the catastrophe impact, prior year development, and underlying loss ratio(1) (loss ratio excluding the impact of catastrophe and prior year development) were all lower than for Nine Months 2023.</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There were sixteen newly designated catastrophe events for Nine Months 2024. The estimated total net catastrophe impact for Nine Months 2024 was $2,454,000, which contributed 2.7 points to the loss ratio. By comparison, the catastrophe impact for Nine Months 2023 was 8.5 points. Losses from winter-related catastrophe claims were minimal during Nine Months 2024, whereas the previous year was impacted by a major winter event in February 2023.</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underlying loss ratio(1) was 47.9% for Nine Months 2024, a decrease of 21.3 points from the 69.2% underlying loss ratio(1) recorded for Nine Months 2023. Overall personal lines non-catastrophe frequency for Nine Months 2024 was lower than the same period in 2023, which is believed to be the result of better risk selection in the Company’s Select product as well as the Company’s active efforts to manage less profitable segments. Overall non-catastrophe severity for Nine Months 2024 also improved compared to Nine Months 2023, primarily driven by the reduction in the non-Core business and a reduced impact from large losses.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favorable prior year development of $1,637,000 during Nine Months 2024, which translates to a 1.8 point decrease to the net loss ratio.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comparison, the impact of prior year development for Nine Months 2023 was a decrease of less than 0.1 points.</w:t>
      </w:r>
    </w:p>
    <w:p>
      <w:pPr>
        <w:spacing w:after="0" w:line="193" w:lineRule="exact"/>
        <w:rPr>
          <w:sz w:val="20"/>
          <w:szCs w:val="20"/>
          <w:color w:val="auto"/>
        </w:rPr>
      </w:pPr>
    </w:p>
    <w:p>
      <w:pPr>
        <w:jc w:val="both"/>
        <w:ind w:firstLine="615"/>
        <w:spacing w:after="0" w:line="250"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loss ratio is a non-GAAP ratio, which is computed as the difference between GAAP net loss ratio and the effect of prior year loss reserve development and catastrophes losses. See "Non-GAAP Financial Measures" for the reconciliation of underlying loss ratio to the GAAP measure of net loss ratio.</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Commission expense was $25,089,000 in Nine Months 2024 or 16.2% of direct earned premiums. Commission expense was $25,221,000 in Nine Months 2023 or 16.6% of direct earned premiums. The decrease of $132,000 was primarily due to a reduction in commission rates on our legacy policies in accordance with our Kingstone 3.0 strategy as well as the lower commission rate paid on Select products as compared to legacy products. The decrease was offset by an accrual of $2,126,000 for estimated contingent commissions based on the profitability of the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underwriting expenses were $18,676,000, or 12.0% of direct earned premiums, in Nine Months 2024 compared to $19,874,000, or 13.1% of direct earned premiums, in Nine Months 2023. The decrease of $1,198,000, or 6.0%, was primarily due to a $365,000 gain on the commutations of prior years’ quota share reinsurance treaties from a group of reinsurers, decreases in salaries and employment costs as described below, and a decrease in policy management system fees. The decreases were partially offset by the impact of high inflation.</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of $9,595,000 in Nine Months 2024 compared to $8,692,000 in Nine Months 2023. The increase of $903,000, or 10.4%, is favorable when compared to the 15.1% increase in direct written premiums. The increase in salaries and employment costs was due to $1,125,000 accrued under our employee bonus plans due to the profitable underwriting insurance operations in Nine Months 2024 compared to a loss in Nine Months 2023, and $290,000 accrued under our executive bonus plan pursuant to the employment agreement of our Chief Executive Officer. The increases related to bonuses were offset by a reduction in our staff in June and July of 2023 as we have been reducing our non-Core business. The decrease from the reduction in staff was partially offset in the periods following Nine Months 2023, as we began to strengthen our professional team by investing in the hiring of higher-level and higher compensated managers and staff needed to manage the business consistent with our Kingstone 2.0 and Kingstone 3.0 strategies. In addition, we are now hiring additional staff to handle the new business from the Change in Market Dynamics.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Nine Months 2024 was 31.9% compared to 33.0% in Nine Months 2023. The following table shows the individual components of our net underwriting expense ratio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6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65"/>
        </w:trPr>
        <w:tc>
          <w:tcPr>
            <w:tcW w:w="640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3"/>
        </w:trPr>
        <w:tc>
          <w:tcPr>
            <w:tcW w:w="7380" w:type="dxa"/>
            <w:vAlign w:val="bottom"/>
            <w:gridSpan w:val="2"/>
          </w:tcPr>
          <w:p>
            <w:pPr>
              <w:ind w:left="702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Point Change</w:t>
            </w:r>
          </w:p>
        </w:tc>
      </w:tr>
      <w:tr>
        <w:trPr>
          <w:trHeight w:val="23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63"/>
        </w:trPr>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Employment costs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0.3</w:t>
            </w:r>
          </w:p>
        </w:tc>
      </w:tr>
      <w:tr>
        <w:trPr>
          <w:trHeight w:val="250"/>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 expenses</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(0.8)</w:t>
            </w:r>
          </w:p>
        </w:tc>
      </w:tr>
      <w:tr>
        <w:trPr>
          <w:trHeight w:val="250"/>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(1.9)</w:t>
            </w:r>
          </w:p>
        </w:tc>
      </w:tr>
      <w:tr>
        <w:trPr>
          <w:trHeight w:val="244"/>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9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6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 expense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64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Provisional</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(15.0)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(18.4)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3.4</w:t>
            </w:r>
          </w:p>
        </w:tc>
      </w:tr>
      <w:tr>
        <w:trPr>
          <w:trHeight w:val="250"/>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4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0.8</w:t>
            </w:r>
          </w:p>
        </w:tc>
      </w:tr>
      <w:tr>
        <w:trPr>
          <w:trHeight w:val="250"/>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(15.0)</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(19.2)</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4.2</w:t>
            </w:r>
          </w:p>
        </w:tc>
      </w:tr>
      <w:tr>
        <w:trPr>
          <w:trHeight w:val="256"/>
        </w:trPr>
        <w:tc>
          <w:tcPr>
            <w:tcW w:w="6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0.1</w:t>
            </w:r>
          </w:p>
        </w:tc>
      </w:tr>
      <w:tr>
        <w:trPr>
          <w:trHeight w:val="256"/>
        </w:trPr>
        <w:tc>
          <w:tcPr>
            <w:tcW w:w="64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$2,821,000 for Nine Months 2024 compared to $1,868,000 for Nine Months 2023. The following table shows a breakdown of the significant components of other operating expenses for the periods indicated:</w:t>
      </w:r>
    </w:p>
    <w:p>
      <w:pPr>
        <w:spacing w:after="0" w:line="22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13335</wp:posOffset>
            </wp:positionV>
            <wp:extent cx="19113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50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4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Employment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5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Executive bonus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w:t>
            </w:r>
          </w:p>
        </w:tc>
      </w:tr>
      <w:tr>
        <w:trPr>
          <w:trHeight w:val="25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Equity compensation - liability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Professional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w:t>
            </w:r>
          </w:p>
        </w:tc>
      </w:tr>
      <w:tr>
        <w:trPr>
          <w:trHeight w:val="25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Directors fees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r>
      <w:tr>
        <w:trPr>
          <w:trHeight w:val="263"/>
        </w:trPr>
        <w:tc>
          <w:tcPr>
            <w:tcW w:w="4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r>
      <w:tr>
        <w:trPr>
          <w:trHeight w:val="244"/>
        </w:trPr>
        <w:tc>
          <w:tcPr>
            <w:tcW w:w="4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increase in Nine Months 2024 of $953,000, or 51.0%, as compared to Nine Months 2023 was primarily due to an increase in equity compensation and loss on extinguishment of debt. The increase in equity compensation is due to accelerated vesting in September 2024 as a result of the retirement of our executive chairman, and an equity compensation liability accrual for our senior leadership team pursuant to our employee bonus plan. The $297,000 loss on extinguishment of debt loss is due to writing off the balance of unamortized debt issue costs from the 2022 Notes at the time of the 2024 Exchange Agreement as disclosed in Note 7 to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was $1,836,000 in Nine Months 2024 compared to $2,328,000 in Nine Months 2023. The decrease of $492,000, or 21.1%, in depreciation and amortization was primarily due to the completion and deployment of our customized policy management software as planned for in Kingstone 2.0, which allowed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expense in Nine Months 2024 was $2,884,000 compared to $3,005,000 in Nine Months 2023, a decrease of $121,000 or 4.0%. In Nine Months 2024 and Nine Months 2023, as disclosed in Note 7 to the condensed consolidated financial statements, we incurred interest expense in connection with the 2022 Notes and 2024 Notes. The 2022 Notes provided for interest at the rate of 12% per annum. In September 2024, in accordance with the 2024 Exchange Agreement, we paid $5,000,000 of principal on the 2022 Notes, reducing the principal balance to $14,950,000 from $19,950,000. Under the 2024 Exchange Agreement, the balance of the 2022 Notes were exchanged for the 2024 Notes, which provide for interest at the rate of 13.75% per annum. In September 2024 we paid an additional principal amount of $3,000,000 reducing the balance of the 2024 Notes to $11,950,000 at September 30, 2024. On November 13, 2024, we made an optional prepayment of $2,000,000 on the 2024 Notes, further reducing the balance to $9,950,000. In addition, we also incur interest expense on the 2022 equipment financing.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 Nine Months 2024 was $3,689,000, which resulted in an effective tax rate of 22.2%. Income tax (benefit) in Nine Months 2023 was $(2,149,000), which resulted in an effective tax rate of 19.1%. Income before taxes was $16,609,000 in Nine Months 2024 compared to a (loss) before taxes of $(11,264,000) in Nine Months 2023. The difference in effective tax rate is due to the effect of permanent differences in Nine Months 2024 compared to Nine Months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$12,920,000 in Nine Months 2024 compared to a net (loss) of $(9,114,000) in Nine Months 2023. The increase from net loss to net income of $23,034,000 was due to the circumstances described above.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(in thousands)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written premiums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Assumed written premiums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0" w:type="dxa"/>
            <w:vAlign w:val="bottom"/>
          </w:tcPr>
          <w:p>
            <w:pPr>
              <w:spacing w:after="0"/>
              <w:rPr>
                <w:sz w:val="1"/>
                <w:szCs w:val="1"/>
                <w:color w:val="auto"/>
              </w:rPr>
            </w:pPr>
          </w:p>
        </w:tc>
      </w:tr>
      <w:tr>
        <w:trPr>
          <w:trHeight w:val="17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Ceded written premiums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Ceded to quota share treaties (1)</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6"/>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ceded written premiums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46,081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written premiums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459.0 %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9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Ceded to reinsurance treaties (1)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Ceded to reinsurance treaties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186"/>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Ceding commission revenue (1)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gains (losses) on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8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from catastrophes (2)</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8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9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Losses from catastrophes (2)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from catastrophes (2)</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8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181.0 %</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2"/>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before taxes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13,481</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2"/>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149"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149"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800" w:hanging="982"/>
        <w:spacing w:after="0" w:line="257" w:lineRule="auto"/>
        <w:tabs>
          <w:tab w:leader="none" w:pos="17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2023, our personal lines business was subject to a 30% quota share treaty, expiring on January 1, 2024, which included a runoff of an 8.5% portion through the remainder of 2023. Effective January 1, 2024, we entered into a 27% personal lines quota share treaty, which includes a runoff of a 3.0% portion through the end of 2024.</w:t>
      </w:r>
    </w:p>
    <w:p>
      <w:pPr>
        <w:spacing w:after="0" w:line="1" w:lineRule="exact"/>
        <w:rPr>
          <w:rFonts w:ascii="Times New Roman" w:cs="Times New Roman" w:eastAsia="Times New Roman" w:hAnsi="Times New Roman"/>
          <w:sz w:val="18"/>
          <w:szCs w:val="18"/>
          <w:color w:val="auto"/>
        </w:rPr>
      </w:pPr>
    </w:p>
    <w:p>
      <w:pPr>
        <w:jc w:val="both"/>
        <w:ind w:left="1800" w:hanging="982"/>
        <w:spacing w:after="0" w:line="253" w:lineRule="auto"/>
        <w:tabs>
          <w:tab w:leader="none" w:pos="17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2024 and 2023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207"/>
        </w:trPr>
        <w:tc>
          <w:tcPr>
            <w:tcW w:w="4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9"/>
        </w:trPr>
        <w:tc>
          <w:tcPr>
            <w:tcW w:w="47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Point Change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50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3"/>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50"/>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82"/>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Direct written premiums during the three months ended September 30, 2024 (“Three Months 2024”) were $66,627,000 compared to $51,992,000 during the three months ended September 30, 2023 (“Three Months 2023”). The increase of $14,635,000, or 28.1%, was primarily due to an increase in premiums from our personal lines business.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Three Months 2024 were $63,336,000, an increase of $14,917,000, or 30.8%, from $48,419,000 in Three Months 2023. The 30.8% increase in premiums from our personal lines business was primarily due to the increase in premiums associated with our Core business of 39.4% offsetting a 58.8% decrease in our non-Core business. The increase in our Core business premiums and the decrease in our non-Core business premiums is in accordance with both our Kingstone 2.0 and Kingstone 3.0 strategic plans. Beginning in Three Months 2024, the Change in Market Dynamics became a major factor to the increase in direct written premiums from our personal line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Three Months 2024 were $3,266,000, a decrease of $278,000, or 7.8%, from $3,544,000 in Three Months 2023. The decrease in livery physical damage direct written premiums was due to an underwriting restriction in place to exclude certain electric vehicles until the approval of adequate rate for the risk was received, which happened in July 2024. The decrease was offset by an increase in the values of the autos insured.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 written premiums from our Core business were $64,170,000 in Three Months 2024 compared to $46,026,000 in Three Months 2023, an increase of $18,144,000, or 39.4%. The increase in direct written premiums from our Core business was due to rate increases and an increase in policies in force. Policies in force from our Core business increased by 1.2% in Three Months 2024 compared to Three Months 2023. Direct written premiums from our non-Core business were $2,457,000 in Three Months 2024 as compared to $5,966,000 in Three Months 2023, a decrease of $3,509,000, or 58.8%. The decrease in direct written premiums from our non-Core business is a result of our decision to aggressively reduce the book of business in these states. Policies in force from our non-Core business decreased by 58.8% in Three Months 2024 compared to Three Months 2023. The increase in our Core business and the decrease in our non-Core business is consistent with a key pillar of our Kingstone 3.0 strategy to reduce our non-Core business due to profitability concerns.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$16,870,000, or 459.0%, to $20,545,000 in Three Months 2024 from $3,675,000 in Three Months 2023. Net written premiums include direct premiums, less the amount of written premiums ceded under our reinsurance treaties (quota share, excess of loss, and catastrophe). The increase in Three Months 2024 is primarily due to the additional premiums from the Change in Market Dynamics, changes to our personal lines quota share reinsurance treaty, and a decrease in catastrophe reinsurance premiums. See quota share reinsurance treaties discussion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1, 2023, we entered into a new 30% quota share reinsurance treaty for our personal lines business, covering the period from January 1, 2023 through January 1, 2024 (“2023/2024 Treaty”). Upon expiration of the 2023/2024 Treaty on January 1, 2024, we entered into a new 27% quota share reinsurance treaty for our personal lines business, covering the period from January 1, 2024 through January 1, 2025 (“2024/2025 Treaty”). Our personal lines business was subject to the 2024/2025 Treaty in Three Months 2024, and the 2023/2024 Treaty in Three Months 2023. In Three Months 2024, our premiums ceded under quota share treaties increased by $1,958,000 in comparison to premiums ceded under quota share treaties in Three Months 2023 (see table above). The increase in Three Months 2024 was attributable to the increase in direct written premiums subject to the 2024/2025 Treaty compared to direct written premiums subject to the 2023/2024 Treaty. The increase in ceded premiums related to the increase in direct written premiums was offset by the decrease in quota share ceding percentage rates.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increase in written premiums will increase the premiums ceded under our excess of loss treaties. In Three Months 2024, our ceded excess of loss reinsurance premiums remained flat over the comparable ceded excess of loss premiums for Three Months 2023. Effective January 1, 2023, we entered into an underlying excess of loss reinsurance treaty (the “Underlying XOL Treaty”) covering the period from January 1, 2023 through January 1, 2024. The Underlying XOL Treaty provided 50% reinsurance coverage for losses of $400,000 in excess of $600,000. Losses from named storms were excluded from the Underlying XOL Treaty. Effective January 1, 2024, the Underlying XOL Treaty was renewed covering the period from January 1, 2024 through January 1,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are stable or are increasing. Under Kingstone 2.0 and 3.0 we had a decrease in policies in force, resulting in a decrease in catastrophe exposure, and a decrease in catastrophe premiums. On July 1, 2024 and 2023, we recorded our catastrophe premiums written for the entire treaty period covering July 1 through June 30, resulting in the entire annual premium written being recorded in the third quarter. Our catastrophe premiums were $30,188,000 in Three Months 2024, compared to $34,381,000 in Three Months 2023, a decrease of $4,193,000, or 12.2%.</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premiums earned increased $5,469,000, or 19.6%, to $33,407,000 in Three Months 2024 from $27,938,000 in Three Months 2023. The increase was due to the three percentage point reduction in quota share rates discussed above, the run-off of a portion of the 2021-2023 Treaty, which increased the premiums ceded and reduced the net premiums earned in Three Months 2023, the increase in premiums from the Change in Market Dynamics in Three Months 2024, and a decrease in catastrophe premium rates, reflected in ceded catastrophe premiums earned, which increased the amount of growth in net premiums earned.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56"/>
        </w:trPr>
        <w:tc>
          <w:tcPr>
            <w:tcW w:w="4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57"/>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49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6"/>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898"/>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Ceding commission revenue was $4,742,000 in Three Months 2024 compared to $5,536,000 in Three Months 2023. The decrease of $794,000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Three Months 2024, we earned provisional ceding commissions of $4,743,000 from personal lines earned premiums ceded under the 2024/2025 Treaty, and in Three Months 2023, we earned provisional ceding commissions of 4,992,000 from personal lines earned premiums ceded under the 2023/2024 Treaty. The decrease of $249,000 in provisional ceding commissions earned was due to the decrease in premiums ceded under these treaties during Three Months 2024 compared to Three Months 2023, offset by an increase in ceding commission rates under the 2024/2025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structure of the 2024/2025 Treaty and the 2023/2024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was $4,917,000 in Three Months 2024 compared to $4,437,000 in Three Months 2023, an increase of $480,000, or 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yield on non-cash invested assets was 3.50% as of September 30, 2024 compared to 3.73% as of September 30, 2023.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invested assets were $221,847,000 as of September 30, 2024 compared to $172,095,000 as of September 30, 2023, an increase of $49,752,000.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on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on investments were $827,000 in Three Months 2024 compared to net (losses) of $(824,000) in Three Months 2023. Unrealized gains on our equity securities and other investments in Three Months 2024 were $461,000, compared to unrealized (losses) of $(820,000) in Three Months 2023. Net realized gains on sales of investments were $366,000 in Three Months 2024 compared to net realized (losses) of $(4,000) in Three Months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was $147,000 in Three Months 2024 compared to $142,000 in Three Months 2023, a decrease of $5,000, or 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$13,028,000 for Three Months 2024 compared to $21,932,000 for Three Months 2023. The net loss ratio was 39.0% in Three Months 2024 compared to 78.5% in Three Months 2023, a decrease of 39.5 percentage points.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114300</wp:posOffset>
            </wp:positionV>
            <wp:extent cx="5246370" cy="39173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4637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loss ratio for Three Months 2024 improved significantly compared to Three Months 2023. For Three Months 2024, the catastrophe impact, prior year development, and underlying loss ratio (1) (loss ratio excluding the impact of catastrophe and prior year development) were all lower than Three Months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six newly designated catastrophe events for Three Months 2024, and the total loss ratio impact was immaterial. The estimated total net catastrophe impact for the calendar quarter was $582,000, which contributed 1.7 points to the net loss ratio. By comparison, the catastrophe impact for Three Months 2023 was 7.7 points.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underlying loss ratio(1) was 39.2% for Three Months 2024, a decrease of 31.6 points from the 70.8% underlying loss ratio(1) recorded for Three Months 2023. Overall personal lines non-catastrophe frequency for Three Months 2024 was lower than the same period in 2023, which is believed to be the result of better risk selection in the Company’s Select product rollout as well as the Company’s active efforts to manage less profitable segments. Overall non-catastrophe severity for Three Months 2024 was also improved compared to Three Months 2023, primarily driven by the reduction in non-Core business and a reduced impact from large losses.</w:t>
      </w:r>
    </w:p>
    <w:p>
      <w:pPr>
        <w:spacing w:after="0" w:line="183"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There was favorable prior year development of $641,000 during Three Months 2024, which translates to a 1.9-point decrease to the loss ratio. By comparison, the impact of prior year development for Three Months 2023 was an increase of less than 0.1 points.</w:t>
      </w:r>
    </w:p>
    <w:p>
      <w:pPr>
        <w:spacing w:after="0" w:line="162" w:lineRule="exact"/>
        <w:rPr>
          <w:sz w:val="20"/>
          <w:szCs w:val="20"/>
          <w:color w:val="auto"/>
        </w:rPr>
      </w:pPr>
    </w:p>
    <w:p>
      <w:pPr>
        <w:jc w:val="both"/>
        <w:ind w:firstLine="615"/>
        <w:spacing w:after="0" w:line="266"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loss ratio is a non-GAAP ratio, which is computed as the difference between GAAP net loss ratio and the effect of prior year loss reserve development and catastrophes losses. See "Non-GAAP Financial Measures" for the reconciliation of underlying loss ratio to the GAAP measure of net loss ratio.</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Commission expense was $9,004,000 in Three Months 2024 or 16.6% of direct earned premiums. Commission expense was $8,210,000 in Three Months 2023 or 16.2% of direct earned premiums. The increase of $794,000 was primarily due to an accrual of $1,278,000 for an estimated contingent commission based on the profitability of the business. The increase was offset by a reduction in commission rates on our legacy policies in accordance with our Kingstone 3.0 strategy as well as the lower commission rate paid on Select products as compared to legacy products.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underwriting expenses were $6,895,000, or 12.7% of direct earned premiums, in Three Months 2024 compared to $6,319,000, or 12.5% of direct earned premiums, in Three Months 2023. The increase of $576,000, or 9.1%, was primarily due to employee and executive bonuses as described below, partially offset by a decrease in policy management system fee, and a decrease in other IT costs. In addition, other operating expenses were impacted by inflation. Our largest single component of other underwriting expenses is salaries and employment costs, with costs excluding employee bonuses of $2,893,000 in Three Months 2024 compared to $2,817,000 in Three Months Ended 2023. The increase of $76,000, or 2.7%, is favorable when compared to the 28.1% increase in direct written premiums. In Three Months 2024, employee bonuses accruals were $674,000 accrued under our employee bonus plan due to the profitable underwriting insurance operations in Three Months 2024 compared to a loss in Three Months 2023, and $290,000 accrued under our executive bonus plan pursuant to the employment agreement with our Chief Executive Officer.</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Three Months 2024 was 33.0% compared to 31.7% in Three Months 2023. The following table shows the individual components of our net underwriting expense ratio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3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80" w:type="dxa"/>
            <w:vAlign w:val="bottom"/>
          </w:tcPr>
          <w:p>
            <w:pPr>
              <w:spacing w:after="0"/>
              <w:rPr>
                <w:sz w:val="17"/>
                <w:szCs w:val="17"/>
                <w:color w:val="auto"/>
              </w:rPr>
            </w:pPr>
          </w:p>
        </w:tc>
      </w:tr>
      <w:tr>
        <w:trPr>
          <w:trHeight w:val="265"/>
        </w:trPr>
        <w:tc>
          <w:tcPr>
            <w:tcW w:w="35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2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3"/>
        </w:trPr>
        <w:tc>
          <w:tcPr>
            <w:tcW w:w="3520" w:type="dxa"/>
            <w:vAlign w:val="bottom"/>
          </w:tcPr>
          <w:p>
            <w:pPr>
              <w:spacing w:after="0"/>
              <w:rPr>
                <w:sz w:val="21"/>
                <w:szCs w:val="21"/>
                <w:color w:val="auto"/>
              </w:rPr>
            </w:pPr>
          </w:p>
        </w:tc>
        <w:tc>
          <w:tcPr>
            <w:tcW w:w="44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Point Change</w:t>
            </w:r>
          </w:p>
        </w:tc>
      </w:t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8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Employment costs</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1.4</w:t>
            </w:r>
          </w:p>
        </w:tc>
      </w:tr>
      <w:tr>
        <w:trPr>
          <w:trHeight w:val="25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 expenses</w:t>
            </w:r>
          </w:p>
        </w:tc>
        <w:tc>
          <w:tcPr>
            <w:tcW w:w="4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Professional fees</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(0.5)</w:t>
            </w: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expenses</w:t>
            </w:r>
          </w:p>
        </w:tc>
        <w:tc>
          <w:tcPr>
            <w:tcW w:w="28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3520" w:type="dxa"/>
            <w:vAlign w:val="bottom"/>
            <w:tcBorders>
              <w:top w:val="single" w:sz="8" w:color="CCEEFF"/>
            </w:tcBorders>
            <w:shd w:val="clear" w:color="auto" w:fill="CCEEFF"/>
          </w:tcPr>
          <w:p>
            <w:pPr>
              <w:spacing w:after="0"/>
              <w:rPr>
                <w:sz w:val="22"/>
                <w:szCs w:val="22"/>
                <w:color w:val="auto"/>
              </w:rPr>
            </w:pPr>
          </w:p>
        </w:tc>
        <w:tc>
          <w:tcPr>
            <w:tcW w:w="28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expense</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(2.4)</w:t>
            </w:r>
          </w:p>
        </w:tc>
      </w:tr>
      <w:tr>
        <w:trPr>
          <w:trHeight w:val="256"/>
        </w:trPr>
        <w:tc>
          <w:tcPr>
            <w:tcW w:w="3520" w:type="dxa"/>
            <w:vAlign w:val="bottom"/>
            <w:tcBorders>
              <w:top w:val="single" w:sz="8" w:color="CCEEFF"/>
            </w:tcBorders>
            <w:shd w:val="clear" w:color="auto" w:fill="CCEEFF"/>
          </w:tcPr>
          <w:p>
            <w:pPr>
              <w:spacing w:after="0"/>
              <w:rPr>
                <w:sz w:val="22"/>
                <w:szCs w:val="22"/>
                <w:color w:val="auto"/>
              </w:rPr>
            </w:pPr>
          </w:p>
        </w:tc>
        <w:tc>
          <w:tcPr>
            <w:tcW w:w="28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2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Provisional</w:t>
            </w:r>
          </w:p>
        </w:tc>
        <w:tc>
          <w:tcPr>
            <w:tcW w:w="4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3.7</w:t>
            </w:r>
          </w:p>
        </w:tc>
      </w:tr>
      <w:tr>
        <w:trPr>
          <w:trHeight w:val="250"/>
        </w:trPr>
        <w:tc>
          <w:tcPr>
            <w:tcW w:w="3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Contingent</w:t>
            </w:r>
          </w:p>
        </w:tc>
        <w:tc>
          <w:tcPr>
            <w:tcW w:w="28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7"/>
              </w:rPr>
              <w:t>1.9</w:t>
            </w:r>
          </w:p>
        </w:tc>
      </w:tr>
      <w:tr>
        <w:trPr>
          <w:trHeight w:val="250"/>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4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5.6</w:t>
            </w:r>
          </w:p>
        </w:tc>
      </w:tr>
      <w:tr>
        <w:trPr>
          <w:trHeight w:val="257"/>
        </w:trPr>
        <w:tc>
          <w:tcPr>
            <w:tcW w:w="35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5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0.1</w:t>
            </w:r>
          </w:p>
        </w:tc>
      </w:tr>
      <w:tr>
        <w:trPr>
          <w:trHeight w:val="256"/>
        </w:trPr>
        <w:tc>
          <w:tcPr>
            <w:tcW w:w="35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1.3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51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i w:val="1"/>
                <w:iCs w:val="1"/>
                <w:color w:val="auto"/>
                <w:w w:val="99"/>
              </w:rPr>
              <w:t>(Components may not sum to totals due to rounding)</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23"/>
        </w:trPr>
        <w:tc>
          <w:tcPr>
            <w:tcW w:w="3520" w:type="dxa"/>
            <w:vAlign w:val="bottom"/>
          </w:tcPr>
          <w:p>
            <w:pPr>
              <w:spacing w:after="0"/>
              <w:rPr>
                <w:sz w:val="24"/>
                <w:szCs w:val="24"/>
                <w:color w:val="auto"/>
              </w:rPr>
            </w:pPr>
          </w:p>
        </w:tc>
        <w:tc>
          <w:tcPr>
            <w:tcW w:w="2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64</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2"/>
        </w:trPr>
        <w:tc>
          <w:tcPr>
            <w:tcW w:w="35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$1,242,000 for Three Months 2024 compared to $442,000 for Three Months 2023. The following table shows a breakdown of the significant components of other operating expenses for the periods indicated:</w:t>
      </w:r>
    </w:p>
    <w:p>
      <w:pPr>
        <w:spacing w:after="0" w:line="22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13335</wp:posOffset>
            </wp:positionV>
            <wp:extent cx="19113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50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Employment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r>
      <w:tr>
        <w:trPr>
          <w:trHeight w:val="25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Executive bonus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r>
      <w:tr>
        <w:trPr>
          <w:trHeight w:val="25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compensation - liability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Directors fees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w:t>
            </w: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r>
      <w:tr>
        <w:trPr>
          <w:trHeight w:val="25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109.3</w:t>
            </w:r>
          </w:p>
        </w:tc>
      </w:tr>
      <w:tr>
        <w:trPr>
          <w:trHeight w:val="243"/>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181.0 %</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The increase in Three Months 2024 of $800,000, or 181.0%, as compared to Three Months 2023 was primarily due to an increase in equity compensation and loss on extinguishment of debt. The increase in equity compensation is due to accelerated vesting in September 2024 as a result of the retirement of our executive chairman, and an equity compensation liability accrual for our senior leadership team pursuant to our employee bonus plan. The $297,000 loss on extinguishment of debt loss is due to writing off the balance of unamortized debt issue costs from the 2022 Notes at the time of the 2024 Exchange Agreement as disclosed in Note 7 to the condensed consolidated financial statements. These increases were partially offset by a decrease in executive bonus. A bonus is accrued pursuant to the employment agreement of our Chief Executive Officer. The negative executive bonus of $85,000 is due to a $117,000 reallocation of the bonus to other underwriting expenses accrued through June 30, 2024. The net accrual of $32,000 is a result of the profitable operations before taxes in Three Months 2024 compared to a loss in Three Months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was $619,000 in Three Months 2024 compared to $741,000 in Three Months 2023. The decrease of $122,000, or 16.5%,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in Three Months 2024 was $900,000 compared to $989,000 in Three Months 2023, a decrease of $89,000 or 9.0%. In Three Months 2024 and Three Months 2023, as disclosed in Note 7 to the condensed consolidated financial statements, we incurred interest expense in connection with the 2022 Notes and the 2024 Notes. The 2022 Notes provided for interest at the rate of 12% per annum. In September 2024, in accordance with 2024 Exchange Agreement, we paid $5,000,000 of principal on the 2022 Notes, reducing the principal balance to $14,950,000 from $19,950,000. Under the 2024 Exchange Agreement, the balance of the 2022 Notes were exchanged for the 2024 Notes, which provide for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at the rate of 13.75% per annum. In September 2024 we paid an additional principal amount of $3,000,000 reducing the balance of the 2024 Notes to $11,950,000 at September 30, 2024. On November 13, 2024, we made an optional prepayment of $2,000,000 on the 2024 Notes, further reducing the balance to $9,950,000. In addition, we also incur interest expense on the 2022 equipment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 Three Months 2024 was $2,106,000, which resulted in an effective tax rate of 23.2%. Income tax (benefit) in Three Months 2023 was $(859,000), which resulted in an effective tax rate of 19.5%. Income before taxes was $9,084,000 in Three Months 2024 compared to a loss before taxes of $4,397,000 in Three Months 2023. The difference in effective tax rate is due to the effect of permanent differences in Three Months 2024 compared to Three Months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$6,978,000 in Three Months 2024 compared to a net loss of $3,538,000 in Three Months 2023. The increase from net loss to net income of $10,516,000 was due to the circumstances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Information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304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r>
      <w:tr>
        <w:trPr>
          <w:trHeight w:val="250"/>
        </w:trPr>
        <w:tc>
          <w:tcPr>
            <w:tcW w:w="4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premiums written:</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63,336,355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48,418,956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159,213,386</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136,601,070</w:t>
            </w:r>
          </w:p>
        </w:tc>
      </w:tr>
      <w:tr>
        <w:trPr>
          <w:trHeight w:val="25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3,265,709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3,543,810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10,165,891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10,559,310</w:t>
            </w: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24,600</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29,480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67,326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76,256</w:t>
            </w:r>
          </w:p>
        </w:tc>
      </w:tr>
      <w:tr>
        <w:trPr>
          <w:trHeight w:val="24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premiums written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66,626,664</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8"/>
              </w:rPr>
              <w:t>51,992,246</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169,446,603</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147,236,636</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4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written:</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17,261,087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110,328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89,848,898</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60,662,578</w:t>
            </w:r>
          </w:p>
        </w:tc>
      </w:tr>
      <w:tr>
        <w:trPr>
          <w:trHeight w:val="25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3,265,709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3,543,810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10,165,891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10,559,310</w:t>
            </w: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18,395</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21,162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50,478</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51,179</w:t>
            </w:r>
          </w:p>
        </w:tc>
      </w:tr>
      <w:tr>
        <w:trPr>
          <w:trHeight w:val="24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20,545,191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3,675,300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100,065,267</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71,273,067</w:t>
            </w:r>
          </w:p>
        </w:tc>
      </w:tr>
      <w:tr>
        <w:trPr>
          <w:trHeight w:val="257"/>
        </w:trPr>
        <w:tc>
          <w:tcPr>
            <w:tcW w:w="4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29,801,629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24,346,521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81,558,589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75,441,482</w:t>
            </w:r>
          </w:p>
        </w:tc>
      </w:tr>
      <w:tr>
        <w:trPr>
          <w:trHeight w:val="25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3,587,808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3,571,160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10,916,903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10,192,773</w:t>
            </w: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20,637</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55,216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67,212</w:t>
            </w:r>
          </w:p>
        </w:tc>
      </w:tr>
      <w:tr>
        <w:trPr>
          <w:trHeight w:val="243"/>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33,407,194</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8"/>
              </w:rPr>
              <w:t>27,938,318</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92,530,708</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85,701,467</w:t>
            </w:r>
          </w:p>
        </w:tc>
      </w:tr>
      <w:tr>
        <w:trPr>
          <w:trHeight w:val="21"/>
        </w:trPr>
        <w:tc>
          <w:tcPr>
            <w:tcW w:w="4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4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loss adjustment expenses(3):</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9,806,057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19,132,159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35,548,883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59,627,739</w:t>
            </w:r>
          </w:p>
        </w:tc>
      </w:tr>
      <w:tr>
        <w:trPr>
          <w:trHeight w:val="25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1,546,732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1,720,620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4,715,035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3,999,787</w:t>
            </w:r>
          </w:p>
        </w:tc>
      </w:tr>
      <w:tr>
        <w:trPr>
          <w:trHeight w:val="26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(13,757)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(40,133)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137,886</w:t>
            </w:r>
          </w:p>
        </w:tc>
      </w:tr>
      <w:tr>
        <w:trPr>
          <w:trHeight w:val="25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1,396,211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732,061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3,858,810</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2,453,114</w:t>
            </w:r>
          </w:p>
        </w:tc>
      </w:tr>
      <w:tr>
        <w:trPr>
          <w:trHeight w:val="25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without commercial lines in run-off</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12,738,062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21,571,083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44,082,595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66,218,526</w:t>
            </w:r>
          </w:p>
        </w:tc>
      </w:tr>
      <w:tr>
        <w:trPr>
          <w:trHeight w:val="25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289,535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363,370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1,042,897</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334,039</w:t>
            </w:r>
          </w:p>
        </w:tc>
      </w:tr>
      <w:tr>
        <w:trPr>
          <w:trHeight w:val="275"/>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loss and loss adjustment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13,027,597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8"/>
              </w:rPr>
              <w:t>21,934,453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45,125,492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66,552,565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 ratio(3):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32.9 %</w:t>
            </w:r>
          </w:p>
        </w:tc>
        <w:tc>
          <w:tcPr>
            <w:tcW w:w="1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78.6 %</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43.6 %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r>
      <w:tr>
        <w:trPr>
          <w:trHeight w:val="26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19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43.1 %</w:t>
            </w:r>
          </w:p>
        </w:tc>
        <w:tc>
          <w:tcPr>
            <w:tcW w:w="1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48.2 %</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43.2 %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-61.6 %</w:t>
            </w:r>
          </w:p>
        </w:tc>
        <w:tc>
          <w:tcPr>
            <w:tcW w:w="1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(66.7 %)</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-72.7 %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205.2 %</w:t>
            </w:r>
          </w:p>
        </w:tc>
      </w:tr>
      <w:tr>
        <w:trPr>
          <w:trHeight w:val="26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without commercial lines in run-off</w:t>
            </w:r>
          </w:p>
        </w:tc>
        <w:tc>
          <w:tcPr>
            <w:tcW w:w="19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38.1 %</w:t>
            </w:r>
          </w:p>
        </w:tc>
        <w:tc>
          <w:tcPr>
            <w:tcW w:w="1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77.2 %</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47.6 %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77.3 %</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39.0 %</w:t>
            </w:r>
          </w:p>
        </w:tc>
        <w:tc>
          <w:tcPr>
            <w:tcW w:w="1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78.5 %</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48.8 %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77.7 %</w:t>
            </w:r>
          </w:p>
        </w:tc>
      </w:tr>
    </w:tbl>
    <w:p>
      <w:pPr>
        <w:spacing w:after="0" w:line="184" w:lineRule="exact"/>
        <w:rPr>
          <w:sz w:val="20"/>
          <w:szCs w:val="20"/>
          <w:color w:val="auto"/>
        </w:rPr>
      </w:pPr>
    </w:p>
    <w:p>
      <w:pPr>
        <w:ind w:left="1100" w:right="340" w:hanging="1092"/>
        <w:spacing w:after="0" w:line="261" w:lineRule="auto"/>
        <w:tabs>
          <w:tab w:leader="none" w:pos="10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ind w:left="1100" w:right="60" w:hanging="1092"/>
        <w:spacing w:after="0" w:line="250" w:lineRule="auto"/>
        <w:tabs>
          <w:tab w:leader="none" w:pos="10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decided that we will no longer underwrite Commercial Liability risks. See discussions above regarding the discontinuation of this line of business.</w:t>
      </w:r>
    </w:p>
    <w:p>
      <w:pPr>
        <w:ind w:left="1100" w:right="20" w:hanging="1092"/>
        <w:spacing w:after="0" w:line="260" w:lineRule="auto"/>
        <w:tabs>
          <w:tab w:leader="none" w:pos="10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above with regard to “Net Loss and LAE”, as to catastrophe losses in the three months and nine months ended September 30, 2024 and 2023.</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Underwriting Business on a Standalone Basis(1)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insurance underwriting business reported on a standalone basis(1) for the periods indicated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9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33,407,194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27,938,318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92,530,708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85,701,467</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4,741,676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5,536,327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13,870,748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16,393,944</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1,649,673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1,444,360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4,917,129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4,437,208</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855,778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(799,348)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1,264,246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531,277</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139,490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141,711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392,468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449,782</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40,793,811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34,261,368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112,975,299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107,513,678</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13,027,597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21,932,453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45,125,492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66,552,565</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9,004,254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8,210,430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25,088,546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25,221,374</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6,894,590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6,318,625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18,675,720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19,873,882</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619,056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741,059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1,835,503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2,327,691</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90,090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106,580</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282,849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331,606</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29,635,587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37,309,147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91,008,110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114,307,118</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11,158,224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(3,047,779)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21,967,189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(6,793,440)</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2,322,229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(585,797)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4,602,922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(1,246,788)</w:t>
            </w:r>
          </w:p>
        </w:tc>
        <w:tc>
          <w:tcPr>
            <w:tcW w:w="0" w:type="dxa"/>
            <w:vAlign w:val="bottom"/>
          </w:tcPr>
          <w:p>
            <w:pPr>
              <w:spacing w:after="0"/>
              <w:rPr>
                <w:sz w:val="1"/>
                <w:szCs w:val="1"/>
                <w:color w:val="auto"/>
              </w:rPr>
            </w:pPr>
          </w:p>
        </w:tc>
      </w:tr>
      <w:tr>
        <w:trPr>
          <w:trHeight w:val="187"/>
        </w:trPr>
        <w:tc>
          <w:tcPr>
            <w:tcW w:w="46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from insurance underwriting business on</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8,835,995</w:t>
            </w:r>
          </w:p>
        </w:tc>
        <w:tc>
          <w:tcPr>
            <w:tcW w:w="100" w:type="dxa"/>
            <w:vAlign w:val="bottom"/>
          </w:tcPr>
          <w:p>
            <w:pPr>
              <w:spacing w:after="0"/>
              <w:rPr>
                <w:sz w:val="16"/>
                <w:szCs w:val="16"/>
                <w:color w:val="auto"/>
              </w:rPr>
            </w:pPr>
          </w:p>
        </w:tc>
        <w:tc>
          <w:tcPr>
            <w:tcW w:w="5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(2,461,982)</w:t>
            </w:r>
          </w:p>
        </w:tc>
        <w:tc>
          <w:tcPr>
            <w:tcW w:w="8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17,364,267</w:t>
            </w:r>
          </w:p>
        </w:tc>
        <w:tc>
          <w:tcPr>
            <w:tcW w:w="100" w:type="dxa"/>
            <w:vAlign w:val="bottom"/>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(5,546,652)</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 standalone basis(1)</w:t>
            </w:r>
          </w:p>
        </w:tc>
        <w:tc>
          <w:tcPr>
            <w:tcW w:w="3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Measures: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ratio</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combined ratio</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110.2 %</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costs and other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15,898,844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14,529,055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43,764,266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45,095,256</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(4,741,676)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(5,536,327)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(13,870,748)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(16,393,944)</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(139,490)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(141,711)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(392,468)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(449,782)</w:t>
            </w: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underwriting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11,017,678</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8,851,017</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29,501,050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28,251,530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33,407,194</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27,938,318</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92,530,708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85,701,467</w:t>
            </w:r>
          </w:p>
        </w:tc>
        <w:tc>
          <w:tcPr>
            <w:tcW w:w="0" w:type="dxa"/>
            <w:vAlign w:val="bottom"/>
          </w:tcPr>
          <w:p>
            <w:pPr>
              <w:spacing w:after="0"/>
              <w:rPr>
                <w:sz w:val="1"/>
                <w:szCs w:val="1"/>
                <w:color w:val="auto"/>
              </w:rPr>
            </w:pPr>
          </w:p>
        </w:tc>
      </w:tr>
      <w:tr>
        <w:trPr>
          <w:trHeight w:val="21"/>
        </w:trPr>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firstLine="615"/>
        <w:spacing w:after="0" w:line="236" w:lineRule="auto"/>
        <w:tabs>
          <w:tab w:leader="none" w:pos="8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from insurance underwriting business on a standalone basis is a non-GAAP measure, which is computed as GAAP net income (loss) without the effect of holding company operations on GAAP net income (loss). See "Non-GAAP Financial Measures" for the reconciliation of net income (loss) from insurance underwriting business on a standalone basis to the GAAP measure of net income (loss).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 analysis of our direct, assumed and ceded earned premiums, loss and loss adjustment expenses, and loss ratios is shown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8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380" w:type="dxa"/>
            <w:vAlign w:val="bottom"/>
          </w:tcPr>
          <w:p>
            <w:pPr>
              <w:spacing w:after="0"/>
              <w:rPr>
                <w:sz w:val="16"/>
                <w:szCs w:val="16"/>
                <w:color w:val="auto"/>
              </w:rPr>
            </w:pPr>
          </w:p>
        </w:tc>
        <w:tc>
          <w:tcPr>
            <w:tcW w:w="11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169,446,603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(69,381,336)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100,065,267</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(14,353,242)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6,818,683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(7,534,559)</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155,093,361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(62,562,653)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92,530,708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55,480,785</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(12,809,452)</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42,671,333</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3,388,937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(934,778)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2,454,159</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58,869,722</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(13,744,230)</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45,125,492</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147,236,636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(75,963,569)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71,273,067</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4,331,226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10,097,174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14,428,400</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151,567,862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(65,866,395)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85,701,467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89,825,751</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(30,558,103)</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59,267,648</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10,746,184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(3,461,267)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7,284,917</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100,571,935</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(34,019,370)</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66,552,565</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66.4 %</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66,626,664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(46,081,473)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20,545,191</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(12,540,101)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25,402,104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12,862,003</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54,086,563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(20,679,369)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33,407,194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16,211,617</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(3,766,144)</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12,445,473</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740,127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(158,003)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582,124</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16,951,744</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(3,924,147)</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13,027,597</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51,992,246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(48,316,946)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3,675,300</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(1,246,657)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25,509,675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24,263,018</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50,745,589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(22,807,271)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27,938,318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29,569,767</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(9,796,769)</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19,772,998</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2,871,300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(711,845)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2,159,455</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32,441,067</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(10,508,614)</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21,932,453</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70.8 %</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63.9 %</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78.5 %</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ectPr>
          <w:pgSz w:w="11900" w:h="16838" w:orient="portrait"/>
          <w:cols w:equalWidth="0" w:num="1">
            <w:col w:w="11240"/>
          </w:cols>
          <w:pgMar w:left="320" w:top="119" w:right="33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163"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measures for our insurance underwriting business for the periods indicated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33,407,194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27,938,318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92,530,708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85,701,467</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4,741,676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5,536,327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13,870,748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16,393,944</w:t>
            </w: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139,490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141,711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392,468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449,782</w:t>
            </w:r>
          </w:p>
        </w:tc>
      </w:tr>
      <w:tr>
        <w:trPr>
          <w:trHeight w:val="270"/>
        </w:trPr>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loss adjustment expenses(1)</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13,027,597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21,932,453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45,125,492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66,552,565</w:t>
            </w:r>
          </w:p>
        </w:tc>
      </w:tr>
      <w:tr>
        <w:trPr>
          <w:trHeight w:val="270"/>
        </w:trPr>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9,004,254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8,210,430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25,088,546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25,221,374</w:t>
            </w: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6,894,590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6,318,625</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18,675,720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19,873,882</w:t>
            </w:r>
          </w:p>
        </w:tc>
      </w:tr>
      <w:tr>
        <w:trPr>
          <w:trHeight w:val="244"/>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acquisition costs and other underwriting expenses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15,898,844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14,529,055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43,764,266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45,095,256</w:t>
            </w:r>
          </w:p>
        </w:tc>
      </w:tr>
      <w:tr>
        <w:trPr>
          <w:trHeight w:val="256"/>
        </w:trPr>
        <w:tc>
          <w:tcPr>
            <w:tcW w:w="4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income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9,361,919</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(2,845,152)</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17,904,166</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(9,102,628)</w:t>
            </w:r>
          </w:p>
        </w:tc>
      </w:tr>
      <w:tr>
        <w:trPr>
          <w:trHeight w:val="21"/>
        </w:trPr>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Measures: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ratio excluding the effect of catastrophes(2)</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loss ratio(1)(2)</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50"/>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ratio</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77.7 %</w:t>
            </w:r>
          </w:p>
        </w:tc>
      </w:tr>
      <w:tr>
        <w:trPr>
          <w:trHeight w:val="257"/>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1"/>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 excluding the effect of</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catastrophes(2)</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11"/>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underwriting expense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1"/>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ratio(2)</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56"/>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combined ratio excluding the effect of catastrophes(2)</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102.2 %</w:t>
            </w: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combined ratio(1)(2)</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combined ratio</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110.2 %</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7"/>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15,898,844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14,529,055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43,764,266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45,095,256</w:t>
            </w: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(4,741,676)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(5,536,327)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(13,870,748)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(16,393,944)</w:t>
            </w: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(139,490)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(141,711)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(392,468)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(449,782)</w:t>
            </w:r>
          </w:p>
        </w:tc>
      </w:tr>
      <w:tr>
        <w:trPr>
          <w:trHeight w:val="275"/>
        </w:trPr>
        <w:tc>
          <w:tcPr>
            <w:tcW w:w="4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11,017,678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8,851,017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29,501,050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28,251,530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earned premium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33,407,194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27,938,318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92,530,708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85,701,467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85"/>
        </w:trPr>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080" w:hanging="1072"/>
        <w:spacing w:after="0" w:line="266" w:lineRule="auto"/>
        <w:tabs>
          <w:tab w:leader="none" w:pos="10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2024 and 2023, includes the sum of net catastrophe losses and loss adjustment expenses of $582,124 and $2,159,455, respectively. For the nine months ended September 30, 2024 and 2023, includes the sum of net catastrophe losses and loss adjustment expenses of $2,454,159 and $7,284,917, respectively.</w:t>
      </w:r>
    </w:p>
    <w:p>
      <w:pPr>
        <w:spacing w:after="0" w:line="175" w:lineRule="exact"/>
        <w:rPr>
          <w:rFonts w:ascii="Times New Roman" w:cs="Times New Roman" w:eastAsia="Times New Roman" w:hAnsi="Times New Roman"/>
          <w:sz w:val="18"/>
          <w:szCs w:val="18"/>
          <w:color w:val="auto"/>
        </w:rPr>
      </w:pPr>
    </w:p>
    <w:p>
      <w:pPr>
        <w:jc w:val="both"/>
        <w:ind w:left="1080" w:hanging="1072"/>
        <w:spacing w:after="0" w:line="254" w:lineRule="auto"/>
        <w:tabs>
          <w:tab w:leader="none" w:pos="10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ratio excluding the effect of catastrophes is a non-GAAP ratio, which is computed as the difference between GAAP net loss ratio and the effect of catastrophes on the net loss ratio. See "Non-GAAP Financial Measures" for the reconciliation of net loss ratio excluding the effect of catastrophes to the GAAP measure of net loss ratio. Net underwriting expense ratio excluding the effect of catastrophes is a non-GAAP ratio, which is computed as the difference between GAAP net underwriting expense ratio and the effect of catastrophes on the net underwriting expense ratio. See "Non-GAAP Financial Measures" for the reconciliation of net underwriting expense ratio excluding the effect of catastrophes to the GAAP measure of net underwriting expense ratio. Net combined ratio excluding the effect of catastrophes is a non-GAAP ratio, which is computed as the difference between GAAP net combined ratio and the effect of catastrophes on the net combined ratio. See "Non-GAAP Financial Measures" for the reconciliation of net combined ratio excluding the effect of catastrophes to the GAAP measure of net combined ratio.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September 30, 2024 and December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5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56"/>
        </w:trPr>
        <w:tc>
          <w:tcPr>
            <w:tcW w:w="1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and obligations of U.S.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corporations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5,999,188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5,997,060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16,499,862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13,889,290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107,655,225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103,783,847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(2)</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46,749,976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(5,097,373)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41,788,148</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176,904,251</w:t>
            </w:r>
          </w:p>
        </w:tc>
        <w:tc>
          <w:tcPr>
            <w:tcW w:w="8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167,638</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(49,412)</w:t>
            </w:r>
          </w:p>
        </w:tc>
        <w:tc>
          <w:tcPr>
            <w:tcW w:w="100" w:type="dxa"/>
            <w:vAlign w:val="bottom"/>
          </w:tcPr>
          <w:p>
            <w:pPr>
              <w:spacing w:after="0"/>
              <w:rPr>
                <w:sz w:val="16"/>
                <w:szCs w:val="16"/>
                <w:color w:val="auto"/>
              </w:rPr>
            </w:pP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(11,564,132)</w:t>
            </w:r>
          </w:p>
        </w:tc>
        <w:tc>
          <w:tcPr>
            <w:tcW w:w="10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165,458,345</w:t>
            </w:r>
          </w:p>
        </w:tc>
        <w:tc>
          <w:tcPr>
            <w:tcW w:w="10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208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304"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7"/>
          <w:szCs w:val="17"/>
          <w:color w:val="auto"/>
        </w:rPr>
        <w:t>U.S. Treasury securities and obligations of U.S. government corporations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8635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9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540" w:type="dxa"/>
            <w:vAlign w:val="bottom"/>
            <w:gridSpan w:val="2"/>
          </w:tcPr>
          <w:p>
            <w:pPr>
              <w:jc w:val="center"/>
              <w:ind w:right="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54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50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8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162560</wp:posOffset>
            </wp:positionV>
            <wp:extent cx="7132320" cy="557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904" w:lineRule="exact"/>
        <w:rPr>
          <w:sz w:val="20"/>
          <w:szCs w:val="20"/>
          <w:color w:val="auto"/>
        </w:rPr>
      </w:pPr>
    </w:p>
    <w:p>
      <w:pPr>
        <w:sectPr>
          <w:pgSz w:w="11900" w:h="16838" w:orient="portrait"/>
          <w:cols w:equalWidth="0" w:num="2">
            <w:col w:w="1820" w:space="180"/>
            <w:col w:w="9240"/>
          </w:cols>
          <w:pgMar w:left="320" w:top="119"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20,954,764</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20,939,190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65"/>
        </w:trPr>
        <w:tc>
          <w:tcPr>
            <w:tcW w:w="2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16,607,713</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(3,209,161)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75,993,042</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(2)</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(6,541,731)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44,475,309</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191"/>
        </w:trPr>
        <w:tc>
          <w:tcPr>
            <w:tcW w:w="20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164,460,942</w:t>
            </w:r>
          </w:p>
        </w:tc>
        <w:tc>
          <w:tcPr>
            <w:tcW w:w="8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115,560</w:t>
            </w:r>
          </w:p>
        </w:tc>
        <w:tc>
          <w:tcPr>
            <w:tcW w:w="100" w:type="dxa"/>
            <w:vAlign w:val="bottom"/>
          </w:tcPr>
          <w:p>
            <w:pPr>
              <w:spacing w:after="0"/>
              <w:rPr>
                <w:sz w:val="16"/>
                <w:szCs w:val="16"/>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(15,636,188)</w:t>
            </w:r>
          </w:p>
        </w:tc>
        <w:tc>
          <w:tcPr>
            <w:tcW w:w="100" w:type="dxa"/>
            <w:vAlign w:val="bottom"/>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148,920,797</w:t>
            </w:r>
          </w:p>
        </w:tc>
        <w:tc>
          <w:tcPr>
            <w:tcW w:w="10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1080" w:hanging="1072"/>
        <w:spacing w:after="0" w:line="255" w:lineRule="auto"/>
        <w:tabs>
          <w:tab w:leader="none" w:pos="10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 leaseback transaction in a designated custodian account (see Note 9 – Debt - “Equipment Financing”). As of September 30, 2024 and December 31, 2023, the amount of required collateral was approximately $5,731,000 and $6,999,000, respectively. As of September 30, 2024 and December 31, 2023, the estimated fair value of the U.S. Treasury securities used as eligible collateral was approximately $5,997,000 and $11,960,000, respectively.</w:t>
      </w:r>
    </w:p>
    <w:p>
      <w:pPr>
        <w:spacing w:after="0" w:line="2" w:lineRule="exact"/>
        <w:rPr>
          <w:rFonts w:ascii="Times New Roman" w:cs="Times New Roman" w:eastAsia="Times New Roman" w:hAnsi="Times New Roman"/>
          <w:sz w:val="18"/>
          <w:szCs w:val="18"/>
          <w:color w:val="auto"/>
        </w:rPr>
      </w:pPr>
    </w:p>
    <w:p>
      <w:pPr>
        <w:jc w:val="both"/>
        <w:ind w:left="1080" w:hanging="1072"/>
        <w:spacing w:after="0" w:line="253" w:lineRule="auto"/>
        <w:tabs>
          <w:tab w:leader="none" w:pos="10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September 30, 2024, the estimated fair value of the eligible investments was approximately $10,944,000. KICO will retain all rights regarding all securities if pledged as collateral. As of September 30, 2024 and December 31, 2023 there was no outstanding balance on the FHLBNY credit line.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and losses on, investments in equity securities as of September 30, 2024 and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01"/>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7"/>
                <w:szCs w:val="17"/>
                <w:color w:val="auto"/>
              </w:rPr>
            </w:pPr>
          </w:p>
        </w:tc>
        <w:tc>
          <w:tcPr>
            <w:tcW w:w="1360" w:type="dxa"/>
            <w:vAlign w:val="bottom"/>
            <w:gridSpan w:val="3"/>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7"/>
                <w:szCs w:val="17"/>
                <w:color w:val="auto"/>
              </w:rPr>
            </w:pPr>
          </w:p>
        </w:tc>
        <w:tc>
          <w:tcPr>
            <w:tcW w:w="1360" w:type="dxa"/>
            <w:vAlign w:val="bottom"/>
            <w:gridSpan w:val="3"/>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7"/>
                <w:szCs w:val="17"/>
                <w:color w:val="auto"/>
              </w:rPr>
            </w:pP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50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(1,639,894)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8,110,428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(2,247,326)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11,280,228</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560"/>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01"/>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7"/>
                <w:szCs w:val="17"/>
                <w:color w:val="auto"/>
              </w:rPr>
            </w:pPr>
          </w:p>
        </w:tc>
        <w:tc>
          <w:tcPr>
            <w:tcW w:w="1360" w:type="dxa"/>
            <w:vAlign w:val="bottom"/>
            <w:gridSpan w:val="3"/>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7"/>
                <w:szCs w:val="17"/>
                <w:color w:val="auto"/>
              </w:rPr>
            </w:pPr>
          </w:p>
        </w:tc>
        <w:tc>
          <w:tcPr>
            <w:tcW w:w="1360" w:type="dxa"/>
            <w:vAlign w:val="bottom"/>
            <w:gridSpan w:val="3"/>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7"/>
                <w:szCs w:val="17"/>
                <w:color w:val="auto"/>
              </w:rPr>
            </w:pP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50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13,583,942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(2,870,027)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10,713,915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50"/>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5"/>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17,986,783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(3,539,259)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14,762,340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on our other investments as of September 30, 2024 and December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vMerge w:val="restart"/>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40" w:type="dxa"/>
            <w:vAlign w:val="bottom"/>
          </w:tcPr>
          <w:p>
            <w:pPr>
              <w:spacing w:after="0"/>
              <w:rPr>
                <w:sz w:val="19"/>
                <w:szCs w:val="19"/>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1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50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4,299,178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1,910,110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3,897,150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and estimated fair value of, and gross unrealized gains and losses on, investments in held-to-maturity securities as of September 30, 2024 and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520"/>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7"/>
                <w:szCs w:val="17"/>
                <w:color w:val="auto"/>
              </w:rPr>
            </w:pPr>
          </w:p>
        </w:tc>
        <w:tc>
          <w:tcPr>
            <w:tcW w:w="134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7"/>
                <w:szCs w:val="17"/>
                <w:color w:val="auto"/>
              </w:rPr>
            </w:pPr>
          </w:p>
        </w:tc>
        <w:tc>
          <w:tcPr>
            <w:tcW w:w="134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6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5"/>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1,235,913</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6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2"/>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5,015,879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(713,374)</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4,302,505</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r>
      <w:tr>
        <w:trPr>
          <w:trHeight w:val="257"/>
        </w:trPr>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7,048,662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(786,389)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6,278,968</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520"/>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7"/>
                <w:szCs w:val="17"/>
                <w:color w:val="auto"/>
              </w:rPr>
            </w:pPr>
          </w:p>
        </w:tc>
        <w:tc>
          <w:tcPr>
            <w:tcW w:w="134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7"/>
                <w:szCs w:val="17"/>
                <w:color w:val="auto"/>
              </w:rPr>
            </w:pPr>
          </w:p>
        </w:tc>
        <w:tc>
          <w:tcPr>
            <w:tcW w:w="134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6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5"/>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1,218,828</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6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500,060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5,020,400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(867,140)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4,153,260</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56"/>
        </w:trPr>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(955,414)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6,106,148</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of our investments in held-to-maturity securities by contractual maturity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4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1,097,101</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1,270,770</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4,502,401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3,819,942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4,516,342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3,738,277</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7,048,662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6,278,968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7,052,541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6,106,148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Rating of Fixed-Maturity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credit quality of our available-for-sale fixed-maturity securities as of September 30, 2024 and December 31, 2023 as rated by Standard &amp; Poor’s (or, if unavailable from Standard &amp; Poor’s, then Moody’s, Fitch, or Kroll):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7"/>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49"/>
        </w:trPr>
        <w:tc>
          <w:tcPr>
            <w:tcW w:w="4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20" w:type="dxa"/>
            <w:vAlign w:val="bottom"/>
          </w:tcPr>
          <w:p>
            <w:pPr>
              <w:spacing w:after="0"/>
              <w:rPr>
                <w:sz w:val="4"/>
                <w:szCs w:val="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50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5,997,060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20,939,190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3,577,215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1,836,736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16,723,941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9,872,346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55,558,070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33,228,327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22,256,467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15,042,200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14,726,451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21,826,125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3,841,222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989,770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corporate and municipal bonds</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117,673,136</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81,805,734</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asset backed, and other</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obligations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14,323,188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12,766,471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19,581,579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22,102,169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7,051,089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6,390,752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CCC</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390,239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413,601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CC</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82,524</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 rated</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359,530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4,396,322</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residential mortgage backed, asset backed, and other</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obligations</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41,788,149</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46,175,873</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165,458,345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148,920,797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average yield by type of fixed-maturity security as of September 30, 2024 and December 31,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corporations and agencies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r>
      <w:tr>
        <w:trPr>
          <w:trHeight w:val="270"/>
        </w:trPr>
        <w:tc>
          <w:tcPr>
            <w:tcW w:w="7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70"/>
        </w:trPr>
        <w:tc>
          <w:tcPr>
            <w:tcW w:w="7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70"/>
        </w:trPr>
        <w:tc>
          <w:tcPr>
            <w:tcW w:w="7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securities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70"/>
        </w:trPr>
        <w:tc>
          <w:tcPr>
            <w:tcW w:w="7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the weighted average maturity and effective duration in years on our fixed-maturity securities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effective maturity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final maturity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duration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2024 and December 31, 2023, 68% and 65%, respectively, of the investment portfolio recorded at fair value was priced based upon quoted market prices.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unrealized losses of our fixed-maturity securities available-for-sale and equity securities by length of time the security has continuously been in an unrealized loss position as of September 30, 2024 and December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80" w:type="dxa"/>
            <w:vAlign w:val="bottom"/>
          </w:tcPr>
          <w:p>
            <w:pPr>
              <w:spacing w:after="0"/>
              <w:rPr>
                <w:sz w:val="13"/>
                <w:szCs w:val="13"/>
                <w:color w:val="auto"/>
              </w:rPr>
            </w:pPr>
          </w:p>
        </w:tc>
        <w:tc>
          <w:tcPr>
            <w:tcW w:w="108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200" w:type="dxa"/>
            <w:vAlign w:val="bottom"/>
          </w:tcPr>
          <w:p>
            <w:pPr>
              <w:spacing w:after="0"/>
              <w:rPr>
                <w:sz w:val="13"/>
                <w:szCs w:val="13"/>
                <w:color w:val="auto"/>
              </w:rPr>
            </w:pPr>
          </w:p>
        </w:tc>
        <w:tc>
          <w:tcPr>
            <w:tcW w:w="11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20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44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and</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U.S. government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5,997,060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5,997,060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 States,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Territories and Possessions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13,889,291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(2,610,572)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13,889,291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(2,610,572)</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bonds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and miscellaneous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17,557,547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(49,276)</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63,278,931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(3,854,059)</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80,836,478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(3,903,335)</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and other</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37,008,025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(5,097,373)</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37,016,430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(5,097,509)</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17,565,952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120,173,307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(11,564,132)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137,739,259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(11,613,544)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80" w:type="dxa"/>
            <w:vAlign w:val="bottom"/>
          </w:tcPr>
          <w:p>
            <w:pPr>
              <w:spacing w:after="0"/>
              <w:rPr>
                <w:sz w:val="13"/>
                <w:szCs w:val="13"/>
                <w:color w:val="auto"/>
              </w:rPr>
            </w:pPr>
          </w:p>
        </w:tc>
        <w:tc>
          <w:tcPr>
            <w:tcW w:w="108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200" w:type="dxa"/>
            <w:vAlign w:val="bottom"/>
          </w:tcPr>
          <w:p>
            <w:pPr>
              <w:spacing w:after="0"/>
              <w:rPr>
                <w:sz w:val="13"/>
                <w:szCs w:val="13"/>
                <w:color w:val="auto"/>
              </w:rPr>
            </w:pPr>
          </w:p>
        </w:tc>
        <w:tc>
          <w:tcPr>
            <w:tcW w:w="11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44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and</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U.S. government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5,974,440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(17,373)</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5,974,440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(17,373)</w:t>
            </w:r>
          </w:p>
        </w:tc>
        <w:tc>
          <w:tcPr>
            <w:tcW w:w="0" w:type="dxa"/>
            <w:vAlign w:val="bottom"/>
          </w:tcPr>
          <w:p>
            <w:pPr>
              <w:spacing w:after="0"/>
              <w:rPr>
                <w:sz w:val="1"/>
                <w:szCs w:val="1"/>
                <w:color w:val="auto"/>
              </w:rPr>
            </w:pPr>
          </w:p>
        </w:tc>
      </w:tr>
      <w:tr>
        <w:trPr>
          <w:trHeight w:val="270"/>
        </w:trPr>
        <w:tc>
          <w:tcPr>
            <w:tcW w:w="2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 States,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Territories and Possessions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13,398,552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(3,209,161)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13,398,552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(3,209,161)</w:t>
            </w:r>
          </w:p>
        </w:tc>
        <w:tc>
          <w:tcPr>
            <w:tcW w:w="0" w:type="dxa"/>
            <w:vAlign w:val="bottom"/>
          </w:tcPr>
          <w:p>
            <w:pPr>
              <w:spacing w:after="0"/>
              <w:rPr>
                <w:sz w:val="1"/>
                <w:szCs w:val="1"/>
                <w:color w:val="auto"/>
              </w:rPr>
            </w:pPr>
          </w:p>
        </w:tc>
      </w:tr>
      <w:tr>
        <w:trPr>
          <w:trHeight w:val="270"/>
        </w:trPr>
        <w:tc>
          <w:tcPr>
            <w:tcW w:w="2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bonds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and miscellaneous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70,107,746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(5,885,296)</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70,107,746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(5,885,296)</w:t>
            </w:r>
          </w:p>
        </w:tc>
        <w:tc>
          <w:tcPr>
            <w:tcW w:w="0" w:type="dxa"/>
            <w:vAlign w:val="bottom"/>
          </w:tcPr>
          <w:p>
            <w:pPr>
              <w:spacing w:after="0"/>
              <w:rPr>
                <w:sz w:val="1"/>
                <w:szCs w:val="1"/>
                <w:color w:val="auto"/>
              </w:rPr>
            </w:pPr>
          </w:p>
        </w:tc>
      </w:tr>
      <w:tr>
        <w:trPr>
          <w:trHeight w:val="270"/>
        </w:trPr>
        <w:tc>
          <w:tcPr>
            <w:tcW w:w="21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and other</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38,675,604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(6,541,731)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38,764,592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(6,543,875)</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6,063,428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122,181,902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(15,636,188)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128,245,330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(15,655,705)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There were 142 securities at September 30, 2024 that accounted for the gross unrealized loss of our fixed-maturity securities available-for-sale, none of which were deemed to be credit losses by us. There were 140 securities at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December 31, 2023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primary source of cash flow for our holding company are dividends and distributions received from KICO, which are subject to statutory restrictions. For the nine months ended September 30, 2024, KICO did not pay any dividends to us. Through June 30, 2024, the end of the previous quarter, KICO had a negative adjusted unassigned surplus. Based on that, KICO was not be able to pay any distributions to us without prior regulatory approval. In December 2023, KICO received regulatory approval to pay us a $2,300,000 distribution from paid in capital. KICO paid us the $2,300,000 distribution in the second quarter of 2024. In August 2024, KICO received regulatory approval to pay us a $5,000,000 distribution from paid in capital. KICO paid us the $5,000,000 distribution in the third quarter of 2024. As of September 30, 2024, KICO has eligible unassigned surplus of $6,221,687 and is able to pay dividends.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June 30, 2024. On July 6, 2023, A.M. Best withdrew KICO’s ratings as KICO requested to no longer participate in A.M. Best’s interactive rating process. As a result of the withdrawal of A.M. Best ratings, KICO is currently only able to borrow on an overnight basis. The maximum allowable advance as of September 30, 2024, based on the net admitted assets as of June 30, 2024, was approximately $12,907,000. Available collateral as of September 30, 2024 was approximately $10,944,000. Advances are limited to 85% of the amount of available collateral. There were no borrowings under this facility during Nine Months 2024.</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2024, we entered into a Sales Agreement with Janney Montgomery Scott LLC (the “Sales Agent”) under which we currently have the ability to issue and sell shares of our Common Stock, from time to time, through the Sales Agent, pursuant to the Shelf Registration Statement, up to an aggregate offering price of approximately $16,400,000 in what is commonly referred to as an “at-the-market” (“ATM”) program. During the three months ended September 30, 2024, we sold 1,079,601 shares of our Common Stock at a weighted average price of $8.48 per share and raised $8,897,908 in net proceeds under the ATM program. As of September 30, 2024, we had remaining capacity to sell up to an additional $6,973,231 of our Common Stock under the ATM program.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12, 2024, we issued the 2024 Notes in the aggregate principal amount of $14,950,000 pursuant to the 2024 Exchange Agreement. Interest is payable semi-annually in arrears on June 30 and December 30 of each year at the rate of 13.75% per annum. The maturity date of the 2024 Notes is June 30, 2026. As of September 30, 2024, the balance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2024 Notes was $11,950,000. On November 13, 2024, we made an optional prepayment of $2,000,000 on the 2024 Notes reducing the outstanding balance to $9,950,000.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aforementioned sources of cash flow currently available are insufficient to cover our holding company debt service and other cash requirements, we will seek to obtain additional financing.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 and liquidity are categorized into three sources: (1) operating activities; (2) investing activities; and (3) financing activities, which are shown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5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8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34,959,578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(15,754,344)</w:t>
            </w:r>
          </w:p>
        </w:tc>
      </w:tr>
      <w:tr>
        <w:trPr>
          <w:trHeight w:val="25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(9,218,359)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19,755,073</w:t>
            </w:r>
          </w:p>
        </w:tc>
      </w:tr>
      <w:tr>
        <w:trPr>
          <w:trHeight w:val="263"/>
        </w:trPr>
        <w:tc>
          <w:tcPr>
            <w:tcW w:w="8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(957,419)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(825,988)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24,783,800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3,174,741</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8,976,998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11,958,228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33,760,798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15,132,969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$34,960,000 in Nine Months 2024 as compared to $15,754,000 used in operating activities in Nine Months 2023. The $50,714,000 increase in cash flows provided by operating activities in Nine Months 2024 as compared to Nine Months 2023 was primarily the result of an increase in net income from net loss (adjusted for non-cash items) of $26,502,000 and in cash provided arising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$9,218,000 in Nine Months 2024 compared to $19,755,000 provided by investing activities in Nine Months 2023 resulting in a $28,973,000 increase in net cash used in investing activities. In Nine Months 2024, we had net cash used by our investment portfolio of $7,479,000, compared to $21,135,000 provided in Nine Months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$957,000 in Nine Months 2024 compared to $826,000 used in Nine Months 2023. Net cash used in financing activities are primarily principal payments of $5,000,000 on our 2022 Notes, $3,000,000 on our 2024 Notes, and $859,000 on our equipment financing debt in connection with KICO’s sale-leaseback transaction. In addition, we paid $961,000 for withholding taxes on vested restricted stock awards. The principal payments on the 2024 Notes were made by using a portion of the $9,066,000 net proceeds from our ATM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Effective December 31, 2021, we entered into a quota share reinsurance treaty for our personal lines business, which primarily consisted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 Upon the expiration of the 2023/2024 Treaty on January 1, 2024, we entered into a new 27% quota share reinsurance treaty for our personal lines business, covering the period from January 1, 2024 through January 1, 2025 (“2024/2025 Treaty”).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excess of loss and catastrophe reinsurance treaties expired on June 30, 2024 and we entered into new excess of loss and catastrophe reinsurance treaties effective July 1, 2024 (as discussed below). Effective January 1, 2022, we entered into an underlying excess of loss reinsurance treaty (“Underlying XOL Treaty”) covering the period from January 1, 2022 through January 1, 2023. The Underlying XOL Treaty provided 50% reinsurance coverage for losses of $400,000 in excess of $600,000. Losses from named storms are excluded from the Underlying XOL Treaty. Effective January 1, 2023, the Underlying XOL Treaty was renewed covering the period from January 1, 2023 through January 1, 2024. Effective January 1, 2024, the Underlying XOL Treaty was renewed covering the period from January 1, 2024 through January 1, 2025. Effective July 1, 2024, we purchased $275,000,000 of catastrophe reinsurance in excess of $5,000,000, compared to $315,000,000 of catastrophe reinsurance in excess of $10,000,000 in the expiring treaty. Our ability to reduce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top limit of our catastrophe reinsurance was due to our tightened underwriting as discussed above and curtailing new business growth through June 30, 2024, which reduced our probable maximum loss. Effective July 1, 2024, we renewed our excess of loss treaty with the same terms as the expiring treaty. Material terms for our reinsurance treaties in effect for the treaty years shown below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Treaty Period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2024/2025 Treaty</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2023/2024 Treaty</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2021/2023 Treaty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January 2,</w:t>
            </w:r>
          </w:p>
        </w:tc>
        <w:tc>
          <w:tcPr>
            <w:tcW w:w="1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July 1,</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6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July 1,</w:t>
            </w: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4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July 1,</w:t>
            </w:r>
          </w:p>
        </w:tc>
        <w:tc>
          <w:tcPr>
            <w:tcW w:w="120" w:type="dxa"/>
            <w:vAlign w:val="bottom"/>
          </w:tcPr>
          <w:p>
            <w:pPr>
              <w:spacing w:after="0"/>
              <w:rPr>
                <w:sz w:val="13"/>
                <w:szCs w:val="13"/>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6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120" w:type="dxa"/>
            <w:vAlign w:val="bottom"/>
          </w:tcPr>
          <w:p>
            <w:pPr>
              <w:spacing w:after="0"/>
              <w:rPr>
                <w:sz w:val="12"/>
                <w:szCs w:val="12"/>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6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January 1,</w:t>
            </w:r>
          </w:p>
        </w:tc>
        <w:tc>
          <w:tcPr>
            <w:tcW w:w="16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20" w:type="dxa"/>
            <w:vAlign w:val="bottom"/>
          </w:tcPr>
          <w:p>
            <w:pPr>
              <w:spacing w:after="0"/>
              <w:rPr>
                <w:sz w:val="12"/>
                <w:szCs w:val="12"/>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Line of Business</w:t>
            </w:r>
          </w:p>
        </w:tc>
        <w:tc>
          <w:tcPr>
            <w:tcW w:w="18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Personal Lines: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Homeowners, dwelling fire and canine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legal liability Quota share treaty: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Percent ceded (7)</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2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Risk retained on initial $1,000,000 of</w:t>
            </w:r>
          </w:p>
        </w:tc>
        <w:tc>
          <w:tcPr>
            <w:tcW w:w="1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730,000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730,000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700,000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2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losses (5) (6) (7)</w:t>
            </w:r>
          </w:p>
        </w:tc>
        <w:tc>
          <w:tcPr>
            <w:tcW w:w="18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Losses per occurrence subject to quota</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share reinsurance coverage</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Expiration date</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January 1, 2025</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January 1, 2025</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January 1, 2024</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January 1, 2024</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January 1, 2023</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6"/>
              </w:rPr>
              <w:t>January 1, 2023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Excess of loss coverage and</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8,400,000</w:t>
            </w:r>
          </w:p>
        </w:tc>
        <w:tc>
          <w:tcPr>
            <w:tcW w:w="8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8,400,000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8,400,000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facultative facility coverage (1) (5) (6)</w:t>
            </w: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4"/>
              </w:rPr>
              <w:t>in excess of</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in excess of</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in excess of</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4"/>
              </w:rPr>
              <w:t>in excess of</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94"/>
              </w:rPr>
              <w:t>in excess of</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in excess of</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7"/>
              </w:rPr>
              <w:t>in excess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600,000</w:t>
            </w: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600,000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600,000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2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reinsurance coverage per</w:t>
            </w:r>
          </w:p>
        </w:tc>
        <w:tc>
          <w:tcPr>
            <w:tcW w:w="1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8,470,000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8,470,000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8,500,000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8,500,000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8,500,000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8,500,000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2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occurrence (5) (6)</w:t>
            </w:r>
          </w:p>
        </w:tc>
        <w:tc>
          <w:tcPr>
            <w:tcW w:w="18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Losses per occurrence subject to</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9,000,000</w:t>
            </w:r>
          </w:p>
        </w:tc>
        <w:tc>
          <w:tcPr>
            <w:tcW w:w="8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9,000,000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reinsurance coverage (6)</w:t>
            </w: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Expiration date (6)</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June 30, 2025</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June 30, 2025</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June 30, 2024</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June 30, 2024</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June 30, 2023</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June 30, 2023</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June 30, 2022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Catastrophe Reinsurance:</w:t>
            </w:r>
          </w:p>
        </w:tc>
        <w:tc>
          <w:tcPr>
            <w:tcW w:w="92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Initial loss subject to personal lines</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quota share treaty (6)</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2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Risk retained per catastrophe</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4,750,000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9,500,000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8,750,000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8,750,000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7,400,000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7,400,000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2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occurrence (6) (7) (8) (9)</w:t>
            </w:r>
          </w:p>
        </w:tc>
        <w:tc>
          <w:tcPr>
            <w:tcW w:w="18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Catastrophe loss coverage in excess of</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275,000,000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275,000,000</w:t>
            </w:r>
          </w:p>
        </w:tc>
        <w:tc>
          <w:tcPr>
            <w:tcW w:w="8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315,000,000</w:t>
            </w:r>
          </w:p>
        </w:tc>
        <w:tc>
          <w:tcPr>
            <w:tcW w:w="10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315,000,000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335,000,000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335,000,000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490,000,000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quota share coverage (2) (6)</w:t>
            </w: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Reinstatement premium protection (3)</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w w:val="88"/>
              </w:rPr>
              <w:t>Yes</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w w:val="98"/>
              </w:rPr>
              <w:t>Yes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w w:val="88"/>
              </w:rPr>
              <w:t>Yes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w w:val="88"/>
              </w:rPr>
              <w:t>Yes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88"/>
              </w:rPr>
              <w:t>Yes</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88"/>
              </w:rPr>
              <w:t>Yes</w:t>
            </w:r>
          </w:p>
        </w:tc>
        <w:tc>
          <w:tcPr>
            <w:tcW w:w="120" w:type="dxa"/>
            <w:vAlign w:val="bottom"/>
          </w:tcPr>
          <w:p>
            <w:pPr>
              <w:spacing w:after="0"/>
              <w:rPr>
                <w:sz w:val="13"/>
                <w:szCs w:val="13"/>
                <w:color w:val="auto"/>
              </w:rPr>
            </w:pPr>
          </w:p>
        </w:tc>
        <w:tc>
          <w:tcPr>
            <w:tcW w:w="106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color w:val="auto"/>
                <w:w w:val="88"/>
              </w:rPr>
              <w:t>Yes</w:t>
            </w:r>
          </w:p>
        </w:tc>
        <w:tc>
          <w:tcPr>
            <w:tcW w:w="0" w:type="dxa"/>
            <w:vAlign w:val="bottom"/>
          </w:tcPr>
          <w:p>
            <w:pPr>
              <w:spacing w:after="0"/>
              <w:rPr>
                <w:sz w:val="1"/>
                <w:szCs w:val="1"/>
                <w:color w:val="auto"/>
              </w:rPr>
            </w:pPr>
          </w:p>
        </w:tc>
      </w:tr>
      <w:tr>
        <w:trPr>
          <w:trHeight w:val="164"/>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(4)</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900" w:hanging="892"/>
        <w:spacing w:after="0" w:line="261" w:lineRule="auto"/>
        <w:tabs>
          <w:tab w:leader="none" w:pos="8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ind w:left="900" w:hanging="892"/>
        <w:spacing w:after="0" w:line="250" w:lineRule="auto"/>
        <w:tabs>
          <w:tab w:leader="none" w:pos="8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Duration of 168 consecutive hours for a catastrophe occurrence from windstorm, hail, tornado, hurricane and cyclone.</w:t>
      </w:r>
    </w:p>
    <w:p>
      <w:pPr>
        <w:jc w:val="both"/>
        <w:ind w:left="900" w:hanging="892"/>
        <w:spacing w:after="0" w:line="250" w:lineRule="auto"/>
        <w:tabs>
          <w:tab w:leader="none" w:pos="8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2022 through June 30, 2023, reinstatement premium protection for $12,500,000 of catastrophe coverage in excess of $10,000,000. For the period July 1, 2023 through June 30, 2024, reinstatement premium protection for $50,000,000 of catastrophe coverage in excess of $10,000,000.</w:t>
      </w:r>
    </w:p>
    <w:p>
      <w:pPr>
        <w:spacing w:after="0" w:line="1" w:lineRule="exact"/>
        <w:rPr>
          <w:rFonts w:ascii="Times New Roman" w:cs="Times New Roman" w:eastAsia="Times New Roman" w:hAnsi="Times New Roman"/>
          <w:sz w:val="18"/>
          <w:szCs w:val="18"/>
          <w:color w:val="auto"/>
        </w:rPr>
      </w:pPr>
    </w:p>
    <w:p>
      <w:pPr>
        <w:ind w:left="900" w:hanging="892"/>
        <w:spacing w:after="0" w:line="250" w:lineRule="auto"/>
        <w:tabs>
          <w:tab w:leader="none" w:pos="8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2024 through June 30, 2025 (expiration date of the catastrophe reinsurance treaty), reinstatement premium protection for $10,500,000 of catastrophe coverage in excess of $10,000,000.</w:t>
      </w:r>
    </w:p>
    <w:p>
      <w:pPr>
        <w:jc w:val="both"/>
        <w:ind w:left="900" w:hanging="892"/>
        <w:spacing w:after="0" w:line="255" w:lineRule="auto"/>
        <w:tabs>
          <w:tab w:leader="none" w:pos="8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2022 through January 1, 2025, Underlying XOL Treaty provides 50% reinsurance coverage for losses of $400,000 in excess of $600,000. Excludes losses from named storms. Reduces retention to $500,000 from $700,000 under the 2021/2023 Treaty and 2023/2024 Treaty. Reduces retention to $530,000</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8"/>
          <w:szCs w:val="18"/>
          <w:color w:val="auto"/>
        </w:rPr>
        <w:t>from $730,000 under the 2024/2025 Treaty. After the expiration of the Underlying XOL Treaty and 2024/2025 Treaty on January 1, 2025, retention will be $1,000,000.</w:t>
      </w:r>
    </w:p>
    <w:p>
      <w:pPr>
        <w:jc w:val="both"/>
        <w:ind w:left="90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lines quota share (homeowners, dwelling fire and canine liability) and underlying excess of loss reinsurance will expire on January 1, 2025, with none of these coverages to be in effect during the period from January 2, 2025 through June 30, 2025. Reinsurance coverage in effect from January 2, 2025 through June 30, 2025 is only for excess of loss and catastrophe reinsurance treaties.</w:t>
      </w:r>
    </w:p>
    <w:p>
      <w:pPr>
        <w:spacing w:after="0" w:line="1" w:lineRule="exact"/>
        <w:rPr>
          <w:rFonts w:ascii="Times New Roman" w:cs="Times New Roman" w:eastAsia="Times New Roman" w:hAnsi="Times New Roman"/>
          <w:sz w:val="18"/>
          <w:szCs w:val="18"/>
          <w:color w:val="auto"/>
        </w:rPr>
      </w:pPr>
    </w:p>
    <w:p>
      <w:pPr>
        <w:ind w:left="900" w:right="260" w:hanging="892"/>
        <w:spacing w:after="0" w:line="25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 w:lineRule="exact"/>
        <w:rPr>
          <w:rFonts w:ascii="Times New Roman" w:cs="Times New Roman" w:eastAsia="Times New Roman" w:hAnsi="Times New Roman"/>
          <w:sz w:val="18"/>
          <w:szCs w:val="18"/>
          <w:color w:val="auto"/>
        </w:rPr>
      </w:pPr>
    </w:p>
    <w:p>
      <w:pPr>
        <w:ind w:left="900" w:hanging="892"/>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9" w:lineRule="exact"/>
        <w:rPr>
          <w:rFonts w:ascii="Times New Roman" w:cs="Times New Roman" w:eastAsia="Times New Roman" w:hAnsi="Times New Roman"/>
          <w:sz w:val="18"/>
          <w:szCs w:val="18"/>
          <w:color w:val="auto"/>
        </w:rPr>
      </w:pPr>
    </w:p>
    <w:p>
      <w:pPr>
        <w:ind w:left="900" w:right="100" w:hanging="892"/>
        <w:spacing w:after="0" w:line="260"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October 1, 2024 through April 30, 2025, additional catastrophe reinsurance treaty will provide coverage for winter storm losses of $4,500,000 in excess of $5,500,000. Retention for winter storms under this treaty is $4,800,000.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Treaty Year</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0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July 1, 2024</w:t>
            </w: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July 1, 2022</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5"/>
        </w:trPr>
        <w:tc>
          <w:tcPr>
            <w:tcW w:w="2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459"/>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Expiration date</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June 30, 2025</w:t>
            </w:r>
          </w:p>
        </w:tc>
        <w:tc>
          <w:tcPr>
            <w:tcW w:w="20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200" w:type="dxa"/>
            <w:vAlign w:val="bottom"/>
          </w:tcPr>
          <w:p>
            <w:pPr>
              <w:spacing w:after="0"/>
              <w:rPr>
                <w:sz w:val="21"/>
                <w:szCs w:val="21"/>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52" w:lineRule="exact"/>
        <w:rPr>
          <w:sz w:val="20"/>
          <w:szCs w:val="20"/>
          <w:color w:val="auto"/>
        </w:rPr>
      </w:pPr>
    </w:p>
    <w:p>
      <w:pPr>
        <w:ind w:left="2040" w:hanging="979"/>
        <w:spacing w:after="0" w:line="282" w:lineRule="auto"/>
        <w:tabs>
          <w:tab w:leader="none" w:pos="20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rate of inflation has moderated in 2024, Three Months 2024 and Nine Months 2024 still include the continuing effects of prior years’ economic inflation, which resulted in a sustained increase in interest rates, a widening of credit spreads, lower public equity valuations, and significant financial market volatility. The higher interest rates and widening of credit spreads reduced the value of our fixed income securities in prior quarters. In Three Months 2024 and Nine Months 2024, the volatility surrounding lowered interest rates and inflation increased our stockholders’ equity. For Three Months 2024 and Nine Months 2024, the continuing effects of prior economic inflation impacted our loss and loss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adjustment expenses as well; should these inflationary trends continue in the near-term, it would in all likelihood negatively impact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 2024, two large competitors announced a plan to wind down their personal lines operations in New York State and to non-renew or mid-term cancel their entire book of business before year end 2024. The policyholders of such competitors will need to find alternative coverage. Our producers have been placing a sizable number of these policies with KICO. As such, we anticipate the sizeable increase in our policies in force and direct written premium to continue for the remainder of the year. See “Forward-Looking Statements” before Part I, Item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Non-GAAP financial measures should be considered in addition to, and not as a substitute for or superior to, financial measures presented in accordance with GAAP.</w:t>
      </w:r>
    </w:p>
    <w:p>
      <w:pPr>
        <w:spacing w:after="0" w:line="20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following table reconciles the underlying loss ratio, the net loss ratio excluding the effect of catastrophes and the catastrophe loss ratio to the net loss ratio for the periods presented:</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9"/>
        </w:trPr>
        <w:tc>
          <w:tcPr>
            <w:tcW w:w="4460" w:type="dxa"/>
            <w:vAlign w:val="bottom"/>
          </w:tcPr>
          <w:p>
            <w:pPr>
              <w:spacing w:after="0"/>
              <w:rPr>
                <w:sz w:val="22"/>
                <w:szCs w:val="22"/>
                <w:color w:val="auto"/>
              </w:rPr>
            </w:pPr>
          </w:p>
        </w:tc>
        <w:tc>
          <w:tcPr>
            <w:tcW w:w="32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2"/>
                <w:szCs w:val="22"/>
                <w:color w:val="auto"/>
              </w:rPr>
            </w:pPr>
          </w:p>
        </w:tc>
        <w:tc>
          <w:tcPr>
            <w:tcW w:w="22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2"/>
                <w:szCs w:val="22"/>
                <w:color w:val="auto"/>
              </w:rPr>
            </w:pPr>
          </w:p>
        </w:tc>
      </w:tr>
      <w:tr>
        <w:trPr>
          <w:trHeight w:val="250"/>
        </w:trPr>
        <w:tc>
          <w:tcPr>
            <w:tcW w:w="446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50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Underlying Loss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39.2 %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69.2 %</w:t>
            </w:r>
          </w:p>
        </w:tc>
      </w:tr>
      <w:tr>
        <w:trPr>
          <w:trHeight w:val="53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prior year reserve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catastrophes</w:t>
            </w: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37.3 %</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70.8 %</w:t>
            </w:r>
          </w:p>
        </w:tc>
        <w:tc>
          <w:tcPr>
            <w:tcW w:w="100" w:type="dxa"/>
            <w:vAlign w:val="bottom"/>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46.1 %</w:t>
            </w:r>
          </w:p>
        </w:tc>
        <w:tc>
          <w:tcPr>
            <w:tcW w:w="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69.2 %</w:t>
            </w:r>
          </w:p>
        </w:tc>
      </w:tr>
      <w:tr>
        <w:trPr>
          <w:trHeight w:val="26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5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10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39.0 %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78.5 %</w:t>
            </w: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48.8 %</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77.7 %</w:t>
            </w:r>
          </w:p>
        </w:tc>
      </w:tr>
      <w:tr>
        <w:trPr>
          <w:trHeight w:val="27"/>
        </w:trPr>
        <w:tc>
          <w:tcPr>
            <w:tcW w:w="4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following table reconciles net income (loss) from insurance underwriting business on a standalone basis to GAAP net income (loss)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49"/>
        </w:trPr>
        <w:tc>
          <w:tcPr>
            <w:tcW w:w="1280" w:type="dxa"/>
            <w:vAlign w:val="bottom"/>
            <w:tcBorders>
              <w:top w:val="single" w:sz="8" w:color="0000FF"/>
            </w:tcBorders>
          </w:tcPr>
          <w:p>
            <w:pPr>
              <w:spacing w:after="0"/>
              <w:rPr>
                <w:sz w:val="24"/>
                <w:szCs w:val="24"/>
                <w:color w:val="auto"/>
              </w:rPr>
            </w:pPr>
          </w:p>
        </w:tc>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9"/>
        </w:trPr>
        <w:tc>
          <w:tcPr>
            <w:tcW w:w="12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Pr>
          <w:p>
            <w:pPr>
              <w:spacing w:after="0"/>
              <w:rPr>
                <w:sz w:val="22"/>
                <w:szCs w:val="22"/>
                <w:color w:val="auto"/>
              </w:rPr>
            </w:pPr>
          </w:p>
        </w:tc>
        <w:tc>
          <w:tcPr>
            <w:tcW w:w="17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2"/>
                <w:szCs w:val="22"/>
                <w:color w:val="auto"/>
              </w:rPr>
            </w:pPr>
          </w:p>
        </w:tc>
      </w:tr>
      <w:tr>
        <w:trPr>
          <w:trHeight w:val="250"/>
        </w:trPr>
        <w:tc>
          <w:tcPr>
            <w:tcW w:w="1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46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insurance underwriting business on a</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standalone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8,835,995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(2,461,982)</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17,364,267</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(5,546,652)</w:t>
            </w:r>
          </w:p>
        </w:tc>
      </w:tr>
      <w:tr>
        <w:trPr>
          <w:trHeight w:val="26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 company operations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(1,857,850)</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(1,075,589)</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(4,444,506)</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(3,567,646)</w:t>
            </w:r>
          </w:p>
        </w:tc>
      </w:tr>
      <w:tr>
        <w:trPr>
          <w:trHeight w:val="25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6,978,145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(3,537,571)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12,919,761</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(9,114,298)</w:t>
            </w:r>
          </w:p>
        </w:tc>
      </w:tr>
      <w:tr>
        <w:trPr>
          <w:trHeight w:val="27"/>
        </w:trPr>
        <w:tc>
          <w:tcPr>
            <w:tcW w:w="12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following table reconciles the net loss ratio excluding the effect of catastrophes, net underwriting expense ratio excluding the effect of catastrophes, and net combined ratio excluding the effect of catastrophes to GAAP net loss ratio, GAAP net underwriting expense ratio, and GAAP net combined ratio for the periods presented: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32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1"/>
                <w:szCs w:val="21"/>
                <w:color w:val="auto"/>
              </w:rPr>
            </w:pPr>
          </w:p>
        </w:tc>
        <w:tc>
          <w:tcPr>
            <w:tcW w:w="22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50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catastrophes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37.3 %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69.2 %</w:t>
            </w:r>
          </w:p>
        </w:tc>
        <w:tc>
          <w:tcPr>
            <w:tcW w:w="0" w:type="dxa"/>
            <w:vAlign w:val="bottom"/>
          </w:tcPr>
          <w:p>
            <w:pPr>
              <w:spacing w:after="0"/>
              <w:rPr>
                <w:sz w:val="1"/>
                <w:szCs w:val="1"/>
                <w:color w:val="auto"/>
              </w:rPr>
            </w:pPr>
          </w:p>
        </w:tc>
      </w:tr>
      <w:tr>
        <w:trPr>
          <w:trHeight w:val="26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9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39.0 %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48.8 %</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underwriting expense ratio excluding the effect of</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33.0 %</w:t>
            </w:r>
          </w:p>
        </w:tc>
        <w:tc>
          <w:tcPr>
            <w:tcW w:w="10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31.7 %</w:t>
            </w:r>
          </w:p>
        </w:tc>
        <w:tc>
          <w:tcPr>
            <w:tcW w:w="10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31.9 %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33.0 %</w:t>
            </w:r>
          </w:p>
        </w:tc>
        <w:tc>
          <w:tcPr>
            <w:tcW w:w="0" w:type="dxa"/>
            <w:vAlign w:val="bottom"/>
          </w:tcPr>
          <w:p>
            <w:pPr>
              <w:spacing w:after="0"/>
              <w:rPr>
                <w:sz w:val="1"/>
                <w:szCs w:val="1"/>
                <w:color w:val="auto"/>
              </w:rPr>
            </w:pPr>
          </w:p>
        </w:tc>
      </w:tr>
      <w:tr>
        <w:trPr>
          <w:trHeight w:val="23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catastrophes</w:t>
            </w: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underwriting expense ratio</w:t>
            </w:r>
          </w:p>
        </w:tc>
        <w:tc>
          <w:tcPr>
            <w:tcW w:w="9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33.0 %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31.9 %</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combined ratio excluding the effect of catastrophes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70.3 %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102.2 %</w:t>
            </w:r>
          </w:p>
        </w:tc>
        <w:tc>
          <w:tcPr>
            <w:tcW w:w="0" w:type="dxa"/>
            <w:vAlign w:val="bottom"/>
          </w:tcPr>
          <w:p>
            <w:pPr>
              <w:spacing w:after="0"/>
              <w:rPr>
                <w:sz w:val="1"/>
                <w:szCs w:val="1"/>
                <w:color w:val="auto"/>
              </w:rPr>
            </w:pPr>
          </w:p>
        </w:tc>
      </w:tr>
      <w:tr>
        <w:trPr>
          <w:trHeight w:val="26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combined ratio</w:t>
            </w:r>
          </w:p>
        </w:tc>
        <w:tc>
          <w:tcPr>
            <w:tcW w:w="9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72.0 %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80.7 %</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September 30, 2024,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20244.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Effectiveness of Controls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Part I, Item 1A— “Risk Factors” and Part II, Item 7— “Management’s Discussion and Analysis of Financial Condition and Results of Operations” in the Company’s 2023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2023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40" w:hanging="979"/>
        <w:spacing w:after="0"/>
        <w:tabs>
          <w:tab w:leader="none" w:pos="2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020" w:hanging="959"/>
        <w:spacing w:after="0"/>
        <w:tabs>
          <w:tab w:leader="none" w:pos="2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040" w:hanging="979"/>
        <w:spacing w:after="0"/>
        <w:tabs>
          <w:tab w:leader="none" w:pos="2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w:t>
      </w:r>
    </w:p>
    <w:p>
      <w:pPr>
        <w:spacing w:after="0" w:line="258"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3(a)  Restated Certificate of Incorporation, as amended (incorporated by reference to Exhibit 3(a) to the Company’s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2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10-Q for the period ended March 31, 2014 filed on May 15, 2014).</w:t>
        </w:r>
      </w:hyperlink>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3(b)  By-laws,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31(a)  Rule 13a-14(a)/15d-14(a) Certification of Chief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31(b)  Rule 13a-14(a)/15d-14(a) Certification of Chief Financial Officer as adopted pursuant to Section 302 of the Sarbanes-Oxley Act of 2002</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 xml:space="preserve">32+  </w:t>
      </w: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8"/>
          <w:szCs w:val="18"/>
          <w:u w:val="single" w:color="auto"/>
          <w:color w:val="0000FF"/>
        </w:rPr>
        <w:t>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101.SCH  101.SCH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101.CAL  101.CAL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101.DEF  101.DEF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101.LAB  101.LAB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101.PRE  101.PRE XBRL Taxonomy Extension Presentation Linkbase.</w:t>
      </w:r>
    </w:p>
    <w:p>
      <w:pPr>
        <w:spacing w:after="0" w:line="306" w:lineRule="exact"/>
        <w:rPr>
          <w:sz w:val="20"/>
          <w:szCs w:val="20"/>
          <w:color w:val="auto"/>
        </w:rPr>
      </w:pPr>
    </w:p>
    <w:p>
      <w:pPr>
        <w:ind w:left="1120" w:right="140" w:hanging="232"/>
        <w:spacing w:after="0" w:line="231"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 w:right="5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24" w:lineRule="exact"/>
        <w:rPr>
          <w:sz w:val="20"/>
          <w:szCs w:val="20"/>
          <w:color w:val="auto"/>
        </w:rPr>
      </w:pPr>
    </w:p>
    <w:p>
      <w:pPr>
        <w:ind w:left="20"/>
        <w:spacing w:after="0"/>
        <w:tabs>
          <w:tab w:leader="none" w:pos="5440" w:val="left"/>
          <w:tab w:leader="none" w:pos="59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tabs>
          <w:tab w:leader="none" w:pos="5440" w:val="left"/>
          <w:tab w:leader="none" w:pos="59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Jennifer Gravelle</w:t>
      </w:r>
    </w:p>
    <w:p>
      <w:pPr>
        <w:spacing w:after="0" w:line="5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9" w:right="339" w:bottom="1440" w:gutter="0" w:footer="0" w:header="0"/>
        </w:sectPr>
      </w:pPr>
    </w:p>
    <w:bookmarkStart w:id="90" w:name="page91"/>
    <w:bookmarkEnd w:id="90"/>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08/28/24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KINGSTONE COMPANIES,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BY-LAWS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OFFICES</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principal office of the corporation in the State of Delaware shall be in the City of Wilmington, County of New Castle.</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corporation may also have offices at such other places both within and without the State of Delaware as the board of directors may from time to time determine or the business of the corporation may require.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MEETINGS OF STOCKHOLDERS</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All meetings of the stockholders shall be held at such time and place as may be fixed from time to time by the board of directors of the corporation.</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Annual meetings of stockholders shall be held for the election of directors of the corporation. At such annual meeting, the stockholders shall elect a board of directors by a plurality vote (as provided in Section 10 of this Article II), and shall transact such other business as may properly be brought before the meeting. To be properly brought before an annual meeting, business must be (a) specified in the notice of meeting (or any supplement thereto) given by, at the direction of or upon authority granted by the board of directors, (b) otherwise brought before the meeting by, at the direction of or upon authority granted by the board of directors, or (c) subject to Section 12 hereof, otherwise properly brought before the meeting by a stockholder. For business to be properly brought before an annual meeting by a stockholder, the stockholder must have given timely notice thereof in writing to the secretary of the corporation. To be timely, a stockholder’ s notice must be received at the principal executive offices of the corporation not less than 60 days nor more than 90 days prior to the date which is one year from the date of the mailing of the corporation’s notice regarding the availability of proxy materials for the prior year’s annual meeting of stockholders. If during the prior year the corporation did not hold an annual meeting, or if the date of the meeting for which a stockholder intends to submit a proposal has changed more than 30 days from the date of the meeting in the prior year, then such notice must be received a reasonable time before the corporation mails the notice regarding the availability of proxy materials for the current year.</w:t>
      </w:r>
    </w:p>
    <w:p>
      <w:pPr>
        <w:spacing w:after="0" w:line="21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 stockholder’s notice to the secretary must set forth as to each matter the stockholder proposes to bring before the annual meeting (a) a brief description of the business</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desired to be brought before the annual meeting, and the reasons for conducting such business at the annual meeting, (b) the name and address, as they appear on the corporation’s books, of the stockholder proposing such business, (c) the class and number of shares of the corporation which are beneficially owned by the stockholder, and (d) any material interest of the stockholder in such business. Notwithstanding anything in the By-Laws to the contrary, but subject to Section 12 hereof, no business shall be conducted at an annual meeting except in accordance with the procedures set forth in this Section 2. The chairman of an annual meeting shall, if the facts warrant, determine and declare to the meeting that business was not properly brought before the meeting in accordance with the provisions of this Section 2, and, if he should so determine, he shall so declare to the meeting, and any such business not properly brought before the meeting shall not be transacted.</w:t>
      </w:r>
    </w:p>
    <w:p>
      <w:pPr>
        <w:spacing w:after="0" w:line="20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Written notice of the annual meeting shall be given to each stockholder entitled to vote thereat not less than ten nor more than sixty days before the date of the meeting.</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officer who has charge of the stock ledger of the corporation shall prepare and make, at least ten days before every election of directors, a complete list of the stockholders entitled to vote at said election, arranged in alphabetical order, showing the address and number of shares registered in the name of each stockholder. Such list shall be open to the examination of any stockholder, during ordinary business hours, for a period of at least ten days prior to the election, either at a place within the city, town or village where the election is to be held and which place shall be specified in the notice of the meeting, or, if not specified, at the place where said meeting is to be held, and the list shall be produced and kept at the time and place of election during the whole time thereof, and subject to the inspection of any stockholder who may be present.</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Special meetings of the stockholders, for any purpose or purposes, unless otherwise prescribed by statute or by the certificate of incorporation, shall be called by the secretary of the corporation at the request in writing of a majority of the entire board of directors. Such request shall state the purpose or purposes of the proposed meeting.</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Written notice of a special meeting of stockholders, stating the time, place and purposes thereof, shall be given to each stockholder entitled to vote thereat, not less ten nor more than sixty days before the date fixed for the meeting.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Business transacted at any special meeting of stockholders shall be limited to the purposes stated in the notice.</w:t>
      </w:r>
    </w:p>
    <w:p>
      <w:pPr>
        <w:spacing w:after="0" w:line="2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addition, whether or not a quorum is then present, the Chairman of the Board of the corporation shall have the power and authority to adjourn any meeting of stockholders at any time prior to or during such meeting for any reason without notice other than announcement at the meeting. At any such adjourned meeting at which a quorum shall be present or represented, any business may be transacted which might have been transacted at the meeting as originally notified.</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a statute, the by-laws or the certificate of incorporation, a different vote is required in which case such express provision shall govern and control the decision of such question.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Except as provided in the certificate of incorporation,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 At all elections of directors of the corporation, each stockholder having voting power shall be entitled to exercise the right of cumulative voting as provided in the certificate of incorporation.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Whenever the vote of stockholders at a meeting thereof is required or permitted to be taken in connection with any corporate action by any provisions of the statutes or of the certificate of incorporation, the meeting and vote of stockholders may be dispensed with, if all the stockholders who would have been entitled to vote upon the action if such meeting were held shall consent in writing to such corporate action being taken unless such action has been authorized by the board of directors, in which event such action may be taken by the written consent of the holders of not less than a majority of the shares of capital stock entitled to vote upon such action.</w:t>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Only persons who are nominated in accordance with the procedures set forth in this Section 12 shall be qualified for election as directors. Nominations of persons for election to the board of directors of the corporation may be made at a meeting of stockholders by or at the direction of the board of directors or by any stockholder of the corporation entitled to vote for the election of directors at the meeting who complies with the procedures set forth in this Section 12. In order for persons nominated to the board of directors, other than those persons nominated by or at the direction of the board of directors, to be qualified to serve on the board of directors, such nomination shall be made pursuant to timely notice in writing to the secretary of the corporation. To be timely, a stockholder’s notice must be received at the principal executive offices of the corporation not less than 60 days nor more than 90 days prior to the meeting; provided, however, that, in the event that less than 70 days’ notice of the date of the meeting is given to stockholders and public disclosure of the meeting date, pursuant to a press release, is either not made or is made less than 70 days prior to the meeting date, then notice by the stockholder to be timely must be so received not later than the close of business on the tenth day following the earlier of (a) the day on which such notice of the date of the meeting was mailed to stockholders or (b) the day on which such public disclosure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A stockholder’s notice to the secretary must set forth (a)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 which are beneficially owned by such person and (iv) any other information relating to such person that is required to be disclosed in solicitation of proxies for election of directors, or is otherwise required, in each case pursuant to Regulation 14A promulgated under the Securities Exchange Act of 1934, as amended from time to time (including, without limitation, such documentation as is required by Regulation 14A to confirm that such person is a bona fide nominee); and (b) as to the stockholder giving the notice (i) the name and address, as they appear on the corporation’s books, of such stockholder and (ii) the class and number of shares of the corporation which are beneficially owned by such stockholder. At the request of the board of directors, any person nominated by the board of directors for election as a director shall furnish to the secretary of the corporation that information required to be set forth in a stockholder’s notice of nomination which pertains to the nominee. No person shall be qualified for election as a director of the corporation unless nominated in accordance with the procedures set forth in this Section 12. The chairman of the meeting shall, if the facts warrant, determine and declare to the meeting that a nomination was not made in accordance with procedures prescribed by the By-Laws, and, if he should so determine, he shall so declare to the meeting, and the defective nomination shall be disregarded.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DIRECTORS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number of directors which shall constitute the whole board shall be fixed from time to time by the board of directors of the corporation. The directors shall be elected at the annual meeting of the stockholders, except as provided in Section 2 of this Article, and each director elected shall hold office until his successor is elected and qualified. Directors need not be stockholders.</w:t>
      </w:r>
    </w:p>
    <w:p>
      <w:pPr>
        <w:spacing w:after="0" w:line="20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In the event that, during any period beginning with the adjournment of a particular annual meeting of the stockholders of the corporation and ending with the commencement of the following annual meeting of the stockholders of the corporation, a director shall be absent from (due to his failure to be present in person or by conference telephone) seven (7) meetings of the board of directors of the corporation, then, effective with the missed seventh (7th) meeting, he shall thereupon be deemed to have resigned as a director unless the board of directors shall determine, in its sole discretion, that one or more of the absences was excusable. With regard to any such meeting of the board of directors held for the purpose of determining whether one or more absences was excusable (among possible other purposes), unless the chairman of the board or the president determines otherwise, the subject individual shall not be entitled to notice thereof and shall not be entitled to attend. In the event that the board of directors determines that an absence from a particular meeting or meetings was excusable, then, for purposes hereof only, the director shall be deemed to have attended the particular meeting(s). The provisions of this paragraph shall apply to meetings missed after November 24, 2004.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Vacancies and newly created directorships resulting from any increase in the authorized number of directors may be filled by a majority of the directors then in office, though less than a quorum, and the directors so chosen shall hold office until the next annual election and until their successors are duly elected and shall qualify, unless sooner displaced.</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MEETINGS OF THE BOARD OF DIRECTORS</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board of directors of the corporation may hold meetings, both regular and special, either within or without the State of Delaware.</w:t>
      </w:r>
    </w:p>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first meeting of each newly elected board of directors shall be held immediately following the close of the annual meeting of stockholders at the place of the holding of said annual meeting. No notice of any such meeting shall be necessary to the newly elected directors in order legally to constitute the meeting, provided a quorum shall be present. In the event such meeting is not held at such time and place, the meeting may be held at such time and place as shall be specified in a notice given as hereinafter provided for special meetings of the board of directors, or as shall be specified in a written waiver signed by all of the directors.</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Regular meetings of the board of directors may be held without notice at such time and at such place as shall from time to time be determined by the board.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Special meetings of the board of directors may be called by the chairman of the board or the president on one</w:t>
      </w:r>
    </w:p>
    <w:p>
      <w:pPr>
        <w:spacing w:after="0" w:line="28" w:lineRule="exact"/>
        <w:rPr>
          <w:sz w:val="20"/>
          <w:szCs w:val="20"/>
          <w:color w:val="auto"/>
        </w:rPr>
      </w:pPr>
    </w:p>
    <w:p>
      <w:pPr>
        <w:jc w:val="both"/>
        <w:ind w:firstLine="8"/>
        <w:spacing w:after="0" w:line="249" w:lineRule="auto"/>
        <w:tabs>
          <w:tab w:leader="none" w:pos="31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notice to each director, either personally, by overnight mail, by telegram, by e-mail, by telecopier or by telephone. For purposes hereof, one (1) day’s notice shall be satisfied by the delivery of such notice as shall result in the director receiving notice by 5:00 p.m., New York City time, on the day immediately preceding the date of the meeting (provided that the time of the meeting is no earlier than 8:00 a.m., New York City time).</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At all meetings of the board, a majority of the directors shall constitute a quorum for the transaction of business and the act of a majority of the directors present at any meeting at which there is a quorum shall be the act of the board of directors; provided, however, that, in the event the number of directors in office is less than four, any action to be taken by the Board of Directors shall require the affirmative vote of all of the directors then in office,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Unless otherwise restricted by the certificate of incorporation or these by-laws, any action required or permitted to be taken at any meeting of the board of directors may be taken without a meeting, if prior to such action a written consent thereto is signed by all members of the board and such written consent is filed with the minutes of proceedings of the board.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COMMITTEES OF DIRECTORS</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board of directors, by resolution adopted by a majority of the entire board, may designate from among its members an executive committee and other committees, which committees shall serve at the pleasure of the board of directors. The board of directors may designate one or more directors as alternate members of any such committee, who may replace any absent member or members of such committee. The board of directors, by resolution adopted by a majority of the entire board, may remove a member of any such committee with or without cause. To the extent provided in said resolution and to the extent permitted by the laws of the State of Delaware, each such committee shall have and may exercise the powers of the board of directors.</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Each committee shall keep regular minutes of its meetings and report the same to the board of directors when required.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Each committee may hold meetings, both regular and special, either within or without the State of Delaware.</w:t>
      </w:r>
    </w:p>
    <w:p>
      <w:pPr>
        <w:spacing w:after="0" w:line="2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Regular meetings of each committee may be held without notice at such time and at such place as shall from time to time be determined by such committee.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Special meetings of a committee may be called by the chairman of the committee on one (1) day’s notice to each committee member, either personally, by overnight mail, by telegram, by e-mail, by telecopier or by telephone. For purposes hereof, one (1) day’s notice shall be satisfied by the delivery of such notice as shall result in the committee member receiving notice by 5:00 p.m., New York City time, on the day immediately preceding the date of the meeting (provided that the time of the meeting is no earlier than 8:00 a.m., New York City time).</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At all meetings of a committee, a majority of the committee members shall constitute a quorum for the transaction of business and the act of a majority of the committee members present at any meeting at which there is a quorum shall be the act of the committee. If a quorum shall not be present at any meeting of a committee, the committee members present thereat may adjourn the meeting from time to time, without notice other than announcement at the meeting, until a quorum shall be present.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a committee may be taken without a meeting, if prior to such action a written consent thereto is signed by all members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committee, and such written consent is filed with the minutes of proceedings of the committee.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COMPENSATION OF DIRECTORS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The directors may be paid their expenses, if any, of attendance at each meeting of the board of directors and may be paid a fixed sum for attendance at each meeting of the board of directors and such salary or other compensation as directors, as the board by resolution may determine.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NOTICES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Notices to directors and stockholders shall be sent as permitted by applicable law and these by-laws.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herein, shall be deemed equivalent thereto.</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OFFICERS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officers of the corporation shall be chosen by the board of directors and shall be a chairman of the board, a president, a secretary and a treasurer. The board of directors may also choose one or more vice-presidents, assistant secretaries and assistant treasurers. Two or more offices may be held by the same person.</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board of directors, at its first meeting after each annual meeting of stockholders, shall choose a chairman of the board, a president, a secretary and a treasurer, none of whom need be a member of the board.</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salaries of all officers of the corporation shall be fixed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officers of the corporation shall hold office until their successors are chosen and qualify. Any officer elected or appointed by the board of directors may be removed at any time by the affirmative vote of a majority of the entire board of directors. Any vacancy occurring in any office of the corporation shall be filled by the board of directors.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CHAIRMAN OF THE BOARD</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chairman of the board of directors, if an executive of the corporation, shall have general supervision and control over the finances of the corporation, subject to the control of the board of directors and the chief executive officer of the corporation, if any, and shall see that all orders and resolutions of the board are carried into effect; shall preside at all meetings of the board of directors and stockholders; shall be ex-officio a member of all standing committees; and shall perform such other duties as from time to time may be assigned to him or her by the board of directors.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 non-executive chairman of the board of directors shall have general supervision over the board of directors and its activities; shall provide overall leadership to the board of directors; shall preside at all meetings of the board of directors and stockholders; shall be ex-officio a member of all standing committees; and shall perform such other duties as from time to time may be assigned to him or her by the board of directors.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PRESIDENT</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president shall have general supervision and control over the day-to-day business and management of the corporation, subject to the control of the board of directors, and shall see that all orders and resolutions of the board are carried into effect. In the absence of an executive chairman of the board of directors and a chief executive officer of the corporation, the president shall have general supervision and control over the finances of the corporation, subject to the control of the board of directors.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VICE-PRESIDENTS</w:t>
      </w:r>
    </w:p>
    <w:p>
      <w:pPr>
        <w:spacing w:after="0" w:line="2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vice-president, or if there shall be more than one, the vice-presidents in the order determined by the board of directors, shall, in the absence or disability of the president, perform the duties and exercise the powers of the president and shall perform such other duties and have such other powers as the board of directors may from time to time prescribe.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SECRETARY AND ASSISTANT SECRETARIES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under whose supervision 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shall be. He shall keep in safe custody the seal of the corporation and, when authorized by the board of directors, affix the same to any instrument requiring it and, when so affixed, it shall be attested by his signature or by the signature of an assistant secretary.</w:t>
      </w:r>
    </w:p>
    <w:p>
      <w:pPr>
        <w:spacing w:after="0" w:line="200"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TREASURER AND ASSISTANT TREASURERS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treasurer shall have the custody of the corporate funds and securities and shall keep full and accurate accounts of receipts and disbursements in books and belongings to the corporation and shall deposit all moneys and other valuable effects in the name and to the credit of the corporation in such depositories as may be designated by the board of directors.</w:t>
      </w:r>
    </w:p>
    <w:p>
      <w:pPr>
        <w:spacing w:after="0" w:line="20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assistant treasurer,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form time to time prescribe.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CERTIFICATES OF STOCK</w:t>
      </w:r>
    </w:p>
    <w:p>
      <w:pPr>
        <w:spacing w:after="0" w:line="260"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Shares of the capital stock of the corporation may be certificated or uncertificated, as provided under the General Corporation Law of the State of Delaware. Each stockholder, upon written request to the transfer agent or registrar of the corporation, shall be entitled to a certificate of the capital stock of the corporation in such form as may from time to time be prescribed by the board of directors. Such certificate shall bear the corporation’s seal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and shall be signed by the chairman of the board or the president or a vice president and by the treasurer or an assistant treasurer or the secretary or an assistant secretary. The corporation’s seal and the signatures by corporation officers may be facsimiles if the certificate is manually countersigned by an authorized person on behalf of a transfer agent or registrar other than the corporation or its employee.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officer, transfer agent or registrar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TRANSFERS</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Stock of the corporation shall be transferable in the manner prescribed by applicable law and in these By-Laws.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LOST CERTIFICATES</w:t>
      </w:r>
    </w:p>
    <w:p>
      <w:pPr>
        <w:spacing w:after="0" w:line="247" w:lineRule="exact"/>
        <w:rPr>
          <w:sz w:val="20"/>
          <w:szCs w:val="20"/>
          <w:color w:val="auto"/>
        </w:rPr>
      </w:pPr>
    </w:p>
    <w:p>
      <w:pPr>
        <w:jc w:val="both"/>
        <w:ind w:firstLine="229"/>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In case of the alleged loss, destruction or mutilation of a certificate of stock, a duplicate certificate may be issued in place thereof, upon such terms as the board of directors may prescribe, provided, however, that if such shares have ceased to be certificated, a new certificate shall be issued only upon written request to the transfer agent or registrar of the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CLOSING OF TRANSFER BOOKS; RECORD DATE</w:t>
      </w:r>
    </w:p>
    <w:p>
      <w:pPr>
        <w:spacing w:after="0" w:line="247"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board of directors may close the stock transfer books of the corporation for a period not exceeding 50 days preceding the date of any meeting of stockholders or the date for payment of any dividend or the date for the allotment of rights or the date when any change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or conversion or exchange of capital stock shall go into effect or for a period of not exceeding 50 days in connection with obtaining the consent of stockholders for any purpose. In lieu of closing the stock transfer books as aforesaid, the board of directors may fix in advance a date, which date shall not be more than 60 nor less than ten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REGISTERED STOCKHOLDERS</w:t>
      </w:r>
    </w:p>
    <w:p>
      <w:pPr>
        <w:spacing w:after="0" w:line="247" w:lineRule="exact"/>
        <w:rPr>
          <w:sz w:val="20"/>
          <w:szCs w:val="20"/>
          <w:color w:val="auto"/>
        </w:rPr>
      </w:pPr>
    </w:p>
    <w:p>
      <w:pPr>
        <w:jc w:val="both"/>
        <w:ind w:firstLine="229"/>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PROVISIONS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DIVIDENDS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ANNUAL STATEMENT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6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board of directors shall present at each annual meeting, and at any special meeting of the stockholders when called for by vote of the stockholders, a full and clear statement of the business and condition of the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CHECKS</w:t>
      </w:r>
    </w:p>
    <w:p>
      <w:pPr>
        <w:spacing w:after="0" w:line="2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All checks or demand for money and notes of the corporation shall be signed by such officer or officers or such other person or persons as the board of directors may from time to time designate.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FISCAL YEAR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fiscal year of the corporation shall be fixed by resolution of the board of directors.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SEAL</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corporation shall to the full extent permitted by Section 145 of the Delaware General Corporation Law, as amended from time to time, indemnify all persons whom it may indemnify pursuant thereto. The indemnifications authorized hereby shall not be deemed exclusive of any other rights to which those seeking indemnification may be entitled under or through any agreement, vote of stockholders or disinterested directors or otherwise, both as to action in the official capacity of those seeking indemnification and as to action in another capacity while holding such office, and shall continue as to a person who has ceased to be a director, officer, employee or agent and shall inure to the benefit of the heirs, executors and administrators of such persons. The corporation may purchase and maintain insurance on behalf of any person who is or was a director, officer, employee or agent of the corporation, or is or was serving at the request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Section 145.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AMENDMENTS</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These by-laws may be altered or repealed (a) at any regular meeting of the stockholders or of the board of directors, (b) at any special meeting of the stockholders or of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board of directors if notice of such alteration or repeal be contained in the notice of such special meeting or (c) by unanimous written consent of the stockholders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1060" w:hanging="1052"/>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40" w:hanging="1060"/>
        <w:spacing w:after="0" w:line="266" w:lineRule="auto"/>
        <w:tabs>
          <w:tab w:leader="none" w:pos="213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40" w:right="40" w:hanging="1060"/>
        <w:spacing w:after="0" w:line="266" w:lineRule="auto"/>
        <w:tabs>
          <w:tab w:leader="none" w:pos="213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40" w:right="120" w:hanging="1060"/>
        <w:spacing w:after="0" w:line="266" w:lineRule="auto"/>
        <w:tabs>
          <w:tab w:leader="none" w:pos="213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40" w:right="140" w:hanging="1060"/>
        <w:spacing w:after="0" w:line="266" w:lineRule="auto"/>
        <w:tabs>
          <w:tab w:leader="none" w:pos="213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25203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Gravelle, certify that:</w:t>
      </w:r>
    </w:p>
    <w:p>
      <w:pPr>
        <w:spacing w:after="0" w:line="225" w:lineRule="exact"/>
        <w:rPr>
          <w:sz w:val="20"/>
          <w:szCs w:val="20"/>
          <w:color w:val="auto"/>
        </w:rPr>
      </w:pPr>
    </w:p>
    <w:p>
      <w:pPr>
        <w:ind w:left="1060" w:hanging="1052"/>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20" w:right="20" w:hanging="1059"/>
        <w:spacing w:after="0" w:line="266" w:lineRule="auto"/>
        <w:tabs>
          <w:tab w:leader="none" w:pos="2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20" w:right="60" w:hanging="1059"/>
        <w:spacing w:after="0" w:line="266" w:lineRule="auto"/>
        <w:tabs>
          <w:tab w:leader="none" w:pos="2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20" w:right="140" w:hanging="1059"/>
        <w:spacing w:after="0" w:line="266" w:lineRule="auto"/>
        <w:tabs>
          <w:tab w:leader="none" w:pos="2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20" w:right="160" w:hanging="1059"/>
        <w:spacing w:after="0" w:line="266" w:lineRule="auto"/>
        <w:tabs>
          <w:tab w:leader="none" w:pos="2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25203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Jennifer Gravelle</w:t>
      </w: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Jennifer Gravelle</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upperLetter"/>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6"/>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35" Type="http://schemas.openxmlformats.org/officeDocument/2006/relationships/hyperlink" Target="http://www.sec.gov/Archives/edgar/data/33992/000135448814002619/kins_ex3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2024-11-14T13:53:42Z</dcterms:created>
  <dcterms:modified xsi:type="dcterms:W3CDTF">2024-11-14T13:53:42Z</dcterms:modified>
</cp:coreProperties>
</file>