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153035</wp:posOffset>
            </wp:positionH>
            <wp:positionV relativeFrom="page">
              <wp:posOffset>426720</wp:posOffset>
            </wp:positionV>
            <wp:extent cx="7254875" cy="323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4875" cy="32385"/>
                    </a:xfrm>
                    <a:prstGeom prst="rect">
                      <a:avLst/>
                    </a:prstGeom>
                    <a:noFill/>
                  </pic:spPr>
                </pic:pic>
              </a:graphicData>
            </a:graphic>
          </wp:anchor>
        </w:drawing>
        <w:drawing>
          <wp:anchor simplePos="0" relativeHeight="251657728" behindDoc="1" locked="0" layoutInCell="0" allowOverlap="1">
            <wp:simplePos x="0" y="0"/>
            <wp:positionH relativeFrom="page">
              <wp:posOffset>153035</wp:posOffset>
            </wp:positionH>
            <wp:positionV relativeFrom="page">
              <wp:posOffset>523240</wp:posOffset>
            </wp:positionV>
            <wp:extent cx="72548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4875" cy="8255"/>
                    </a:xfrm>
                    <a:prstGeom prst="rect">
                      <a:avLst/>
                    </a:prstGeom>
                    <a:noFill/>
                  </pic:spPr>
                </pic:pic>
              </a:graphicData>
            </a:graphic>
          </wp:anchor>
        </w:drawing>
        <w:t>UNITED STATES</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FORM 10-Q</w:t>
      </w:r>
    </w:p>
    <w:p>
      <w:pPr>
        <w:spacing w:after="0" w:line="12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21" w:lineRule="exact"/>
        <w:rPr>
          <w:sz w:val="24"/>
          <w:szCs w:val="24"/>
          <w:color w:val="auto"/>
        </w:rPr>
      </w:pPr>
    </w:p>
    <w:p>
      <w:pPr>
        <w:ind w:left="3920" w:right="1780" w:hanging="3646"/>
        <w:spacing w:after="0" w:line="270" w:lineRule="auto"/>
        <w:tabs>
          <w:tab w:leader="none" w:pos="1276"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September 30, 2019</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211" w:lineRule="exact"/>
        <w:rPr>
          <w:sz w:val="24"/>
          <w:szCs w:val="24"/>
          <w:color w:val="auto"/>
        </w:rPr>
      </w:pPr>
    </w:p>
    <w:p>
      <w:pPr>
        <w:ind w:left="3800" w:right="1780" w:hanging="3526"/>
        <w:spacing w:after="0" w:line="301" w:lineRule="auto"/>
        <w:tabs>
          <w:tab w:leader="none" w:pos="1269"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For the transition period from _________to _________</w:t>
      </w:r>
    </w:p>
    <w:p>
      <w:pPr>
        <w:spacing w:after="0" w:line="14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0-1665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KINGSTONE COMPANIES, INC.</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3" w:lineRule="exact"/>
        <w:rPr>
          <w:sz w:val="24"/>
          <w:szCs w:val="24"/>
          <w:color w:val="auto"/>
        </w:rPr>
      </w:pPr>
    </w:p>
    <w:tbl>
      <w:tblPr>
        <w:tblLayout w:type="fixed"/>
        <w:tblInd w:w="10" w:type="dxa"/>
        <w:tblCellMar>
          <w:top w:w="0" w:type="dxa"/>
          <w:left w:w="0" w:type="dxa"/>
          <w:bottom w:w="0" w:type="dxa"/>
          <w:right w:w="0" w:type="dxa"/>
        </w:tblCellMar>
      </w:tblPr>
      <w:tr>
        <w:trPr>
          <w:trHeight w:val="203"/>
        </w:trPr>
        <w:tc>
          <w:tcPr>
            <w:tcW w:w="6260" w:type="dxa"/>
            <w:vAlign w:val="bottom"/>
            <w:gridSpan w:val="4"/>
          </w:tcPr>
          <w:p>
            <w:pPr>
              <w:ind w:left="240"/>
              <w:spacing w:after="0"/>
              <w:rPr>
                <w:sz w:val="20"/>
                <w:szCs w:val="20"/>
                <w:color w:val="auto"/>
              </w:rPr>
            </w:pPr>
            <w:r>
              <w:rPr>
                <w:rFonts w:ascii="Arial" w:cs="Arial" w:eastAsia="Arial" w:hAnsi="Arial"/>
                <w:sz w:val="16"/>
                <w:szCs w:val="16"/>
                <w:b w:val="1"/>
                <w:bCs w:val="1"/>
                <w:color w:val="auto"/>
              </w:rPr>
              <w:t>Delaware(State or other jurisdiction of incorporation or organization)</w:t>
            </w:r>
          </w:p>
        </w:tc>
        <w:tc>
          <w:tcPr>
            <w:tcW w:w="4240" w:type="dxa"/>
            <w:vAlign w:val="bottom"/>
            <w:gridSpan w:val="2"/>
          </w:tcPr>
          <w:p>
            <w:pPr>
              <w:ind w:left="620"/>
              <w:spacing w:after="0"/>
              <w:rPr>
                <w:sz w:val="20"/>
                <w:szCs w:val="20"/>
                <w:color w:val="auto"/>
              </w:rPr>
            </w:pPr>
            <w:r>
              <w:rPr>
                <w:rFonts w:ascii="Arial" w:cs="Arial" w:eastAsia="Arial" w:hAnsi="Arial"/>
                <w:sz w:val="16"/>
                <w:szCs w:val="16"/>
                <w:b w:val="1"/>
                <w:bCs w:val="1"/>
                <w:color w:val="auto"/>
                <w:w w:val="95"/>
              </w:rPr>
              <w:t>36-2476480(I.R.S. EmployerIdentification Number)</w:t>
            </w:r>
          </w:p>
        </w:tc>
      </w:tr>
      <w:tr>
        <w:trPr>
          <w:trHeight w:val="203"/>
        </w:trPr>
        <w:tc>
          <w:tcPr>
            <w:tcW w:w="3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40" w:type="dxa"/>
            <w:vAlign w:val="bottom"/>
            <w:gridSpan w:val="2"/>
          </w:tcPr>
          <w:p>
            <w:pPr>
              <w:jc w:val="center"/>
              <w:ind w:left="1078"/>
              <w:spacing w:after="0"/>
              <w:rPr>
                <w:sz w:val="20"/>
                <w:szCs w:val="20"/>
                <w:color w:val="auto"/>
              </w:rPr>
            </w:pPr>
            <w:r>
              <w:rPr>
                <w:rFonts w:ascii="Arial" w:cs="Arial" w:eastAsia="Arial" w:hAnsi="Arial"/>
                <w:sz w:val="16"/>
                <w:szCs w:val="16"/>
                <w:b w:val="1"/>
                <w:bCs w:val="1"/>
                <w:color w:val="auto"/>
                <w:w w:val="91"/>
              </w:rPr>
              <w:t>15 Joys Lane</w:t>
            </w:r>
          </w:p>
        </w:tc>
        <w:tc>
          <w:tcPr>
            <w:tcW w:w="34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3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80" w:type="dxa"/>
            <w:vAlign w:val="bottom"/>
            <w:gridSpan w:val="4"/>
          </w:tcPr>
          <w:p>
            <w:pPr>
              <w:jc w:val="center"/>
              <w:ind w:right="3100"/>
              <w:spacing w:after="0"/>
              <w:rPr>
                <w:sz w:val="20"/>
                <w:szCs w:val="20"/>
                <w:color w:val="auto"/>
              </w:rPr>
            </w:pPr>
            <w:r>
              <w:rPr>
                <w:rFonts w:ascii="Arial" w:cs="Arial" w:eastAsia="Arial" w:hAnsi="Arial"/>
                <w:sz w:val="16"/>
                <w:szCs w:val="16"/>
                <w:b w:val="1"/>
                <w:bCs w:val="1"/>
                <w:color w:val="auto"/>
                <w:w w:val="95"/>
              </w:rPr>
              <w:t>Kingston, NY 12401</w:t>
            </w:r>
          </w:p>
        </w:tc>
      </w:tr>
      <w:tr>
        <w:trPr>
          <w:trHeight w:val="203"/>
        </w:trPr>
        <w:tc>
          <w:tcPr>
            <w:tcW w:w="3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80" w:type="dxa"/>
            <w:vAlign w:val="bottom"/>
            <w:gridSpan w:val="4"/>
          </w:tcPr>
          <w:p>
            <w:pPr>
              <w:jc w:val="center"/>
              <w:ind w:right="3080"/>
              <w:spacing w:after="0"/>
              <w:rPr>
                <w:sz w:val="20"/>
                <w:szCs w:val="20"/>
                <w:color w:val="auto"/>
              </w:rPr>
            </w:pPr>
            <w:r>
              <w:rPr>
                <w:rFonts w:ascii="Arial" w:cs="Arial" w:eastAsia="Arial" w:hAnsi="Arial"/>
                <w:sz w:val="16"/>
                <w:szCs w:val="16"/>
                <w:b w:val="1"/>
                <w:bCs w:val="1"/>
                <w:color w:val="auto"/>
                <w:w w:val="91"/>
              </w:rPr>
              <w:t>(Address of principal executive offices)</w:t>
            </w:r>
          </w:p>
        </w:tc>
      </w:tr>
      <w:tr>
        <w:trPr>
          <w:trHeight w:val="213"/>
        </w:trPr>
        <w:tc>
          <w:tcPr>
            <w:tcW w:w="3820" w:type="dxa"/>
            <w:vAlign w:val="bottom"/>
          </w:tcPr>
          <w:p>
            <w:pPr>
              <w:spacing w:after="0"/>
              <w:rPr>
                <w:sz w:val="18"/>
                <w:szCs w:val="18"/>
                <w:color w:val="auto"/>
              </w:rPr>
            </w:pPr>
          </w:p>
        </w:tc>
        <w:tc>
          <w:tcPr>
            <w:tcW w:w="2440" w:type="dxa"/>
            <w:vAlign w:val="bottom"/>
            <w:gridSpan w:val="3"/>
          </w:tcPr>
          <w:p>
            <w:pPr>
              <w:jc w:val="center"/>
              <w:ind w:left="1258"/>
              <w:spacing w:after="0"/>
              <w:rPr>
                <w:sz w:val="20"/>
                <w:szCs w:val="20"/>
                <w:color w:val="auto"/>
              </w:rPr>
            </w:pPr>
            <w:r>
              <w:rPr>
                <w:rFonts w:ascii="Arial" w:cs="Arial" w:eastAsia="Arial" w:hAnsi="Arial"/>
                <w:sz w:val="16"/>
                <w:szCs w:val="16"/>
                <w:b w:val="1"/>
                <w:bCs w:val="1"/>
                <w:color w:val="auto"/>
                <w:w w:val="93"/>
              </w:rPr>
              <w:t>(845) 802-7900</w:t>
            </w:r>
          </w:p>
        </w:tc>
        <w:tc>
          <w:tcPr>
            <w:tcW w:w="34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342"/>
        </w:trPr>
        <w:tc>
          <w:tcPr>
            <w:tcW w:w="3820" w:type="dxa"/>
            <w:vAlign w:val="bottom"/>
          </w:tcPr>
          <w:p>
            <w:pPr>
              <w:spacing w:after="0"/>
              <w:rPr>
                <w:sz w:val="24"/>
                <w:szCs w:val="24"/>
                <w:color w:val="auto"/>
              </w:rPr>
            </w:pPr>
          </w:p>
        </w:tc>
        <w:tc>
          <w:tcPr>
            <w:tcW w:w="6680" w:type="dxa"/>
            <w:vAlign w:val="bottom"/>
            <w:gridSpan w:val="5"/>
          </w:tcPr>
          <w:p>
            <w:pPr>
              <w:jc w:val="center"/>
              <w:ind w:right="2880"/>
              <w:spacing w:after="0"/>
              <w:rPr>
                <w:sz w:val="20"/>
                <w:szCs w:val="20"/>
                <w:color w:val="auto"/>
              </w:rPr>
            </w:pPr>
            <w:r>
              <w:rPr>
                <w:rFonts w:ascii="Arial" w:cs="Arial" w:eastAsia="Arial" w:hAnsi="Arial"/>
                <w:sz w:val="16"/>
                <w:szCs w:val="16"/>
                <w:b w:val="1"/>
                <w:bCs w:val="1"/>
                <w:color w:val="auto"/>
                <w:w w:val="91"/>
              </w:rPr>
              <w:t>(Registrant’s telephone number, including area code)</w:t>
            </w:r>
          </w:p>
        </w:tc>
      </w:tr>
      <w:tr>
        <w:trPr>
          <w:trHeight w:val="342"/>
        </w:trPr>
        <w:tc>
          <w:tcPr>
            <w:tcW w:w="3820" w:type="dxa"/>
            <w:vAlign w:val="bottom"/>
          </w:tcPr>
          <w:p>
            <w:pPr>
              <w:spacing w:after="0"/>
              <w:rPr>
                <w:sz w:val="20"/>
                <w:szCs w:val="20"/>
                <w:color w:val="auto"/>
              </w:rPr>
            </w:pPr>
            <w:r>
              <w:rPr>
                <w:rFonts w:ascii="Arial" w:cs="Arial" w:eastAsia="Arial" w:hAnsi="Arial"/>
                <w:sz w:val="16"/>
                <w:szCs w:val="16"/>
                <w:color w:val="auto"/>
                <w:w w:val="93"/>
              </w:rPr>
              <w:t>Securities registered pursuant to Section 12(b) of the Act:</w:t>
            </w: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11"/>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25"/>
        </w:trPr>
        <w:tc>
          <w:tcPr>
            <w:tcW w:w="3820" w:type="dxa"/>
            <w:vAlign w:val="bottom"/>
            <w:tcBorders>
              <w:top w:val="single" w:sz="8" w:color="auto"/>
              <w:left w:val="single" w:sz="8" w:color="auto"/>
              <w:bottom w:val="single" w:sz="8" w:color="auto"/>
            </w:tcBorders>
          </w:tcPr>
          <w:p>
            <w:pPr>
              <w:ind w:left="1420"/>
              <w:spacing w:after="0"/>
              <w:rPr>
                <w:sz w:val="20"/>
                <w:szCs w:val="20"/>
                <w:color w:val="auto"/>
              </w:rPr>
            </w:pPr>
            <w:r>
              <w:rPr>
                <w:rFonts w:ascii="Arial" w:cs="Arial" w:eastAsia="Arial" w:hAnsi="Arial"/>
                <w:sz w:val="16"/>
                <w:szCs w:val="16"/>
                <w:color w:val="auto"/>
              </w:rPr>
              <w:t>Title of each class</w:t>
            </w:r>
          </w:p>
        </w:tc>
        <w:tc>
          <w:tcPr>
            <w:tcW w:w="200" w:type="dxa"/>
            <w:vAlign w:val="bottom"/>
            <w:tcBorders>
              <w:top w:val="single" w:sz="8" w:color="auto"/>
              <w:bottom w:val="single" w:sz="8" w:color="auto"/>
              <w:right w:val="single" w:sz="8" w:color="auto"/>
            </w:tcBorders>
          </w:tcPr>
          <w:p>
            <w:pPr>
              <w:spacing w:after="0"/>
              <w:rPr>
                <w:sz w:val="19"/>
                <w:szCs w:val="19"/>
                <w:color w:val="auto"/>
              </w:rPr>
            </w:pPr>
          </w:p>
        </w:tc>
        <w:tc>
          <w:tcPr>
            <w:tcW w:w="18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Trading Symbol(s)</w:t>
            </w:r>
          </w:p>
        </w:tc>
        <w:tc>
          <w:tcPr>
            <w:tcW w:w="400" w:type="dxa"/>
            <w:vAlign w:val="bottom"/>
            <w:tcBorders>
              <w:top w:val="single" w:sz="8" w:color="auto"/>
              <w:bottom w:val="single" w:sz="8" w:color="auto"/>
            </w:tcBorders>
          </w:tcPr>
          <w:p>
            <w:pPr>
              <w:spacing w:after="0"/>
              <w:rPr>
                <w:sz w:val="19"/>
                <w:szCs w:val="19"/>
                <w:color w:val="auto"/>
              </w:rPr>
            </w:pPr>
          </w:p>
        </w:tc>
        <w:tc>
          <w:tcPr>
            <w:tcW w:w="3480" w:type="dxa"/>
            <w:vAlign w:val="bottom"/>
            <w:tcBorders>
              <w:top w:val="single" w:sz="8" w:color="auto"/>
              <w:bottom w:val="single" w:sz="8" w:color="auto"/>
              <w:right w:val="single" w:sz="8" w:color="auto"/>
            </w:tcBorders>
          </w:tcPr>
          <w:p>
            <w:pPr>
              <w:jc w:val="center"/>
              <w:ind w:right="398"/>
              <w:spacing w:after="0"/>
              <w:rPr>
                <w:sz w:val="20"/>
                <w:szCs w:val="20"/>
                <w:color w:val="auto"/>
              </w:rPr>
            </w:pPr>
            <w:r>
              <w:rPr>
                <w:rFonts w:ascii="Arial" w:cs="Arial" w:eastAsia="Arial" w:hAnsi="Arial"/>
                <w:sz w:val="16"/>
                <w:szCs w:val="16"/>
                <w:color w:val="auto"/>
                <w:w w:val="92"/>
              </w:rPr>
              <w:t>Name of each exchange on which registered</w:t>
            </w:r>
          </w:p>
        </w:tc>
        <w:tc>
          <w:tcPr>
            <w:tcW w:w="760" w:type="dxa"/>
            <w:vAlign w:val="bottom"/>
          </w:tcPr>
          <w:p>
            <w:pPr>
              <w:spacing w:after="0"/>
              <w:rPr>
                <w:sz w:val="19"/>
                <w:szCs w:val="19"/>
                <w:color w:val="auto"/>
              </w:rPr>
            </w:pPr>
          </w:p>
        </w:tc>
      </w:tr>
      <w:tr>
        <w:trPr>
          <w:trHeight w:val="191"/>
        </w:trPr>
        <w:tc>
          <w:tcPr>
            <w:tcW w:w="38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Common Stock, $0.01 par value per share</w:t>
            </w:r>
          </w:p>
        </w:tc>
        <w:tc>
          <w:tcPr>
            <w:tcW w:w="200" w:type="dxa"/>
            <w:vAlign w:val="bottom"/>
            <w:tcBorders>
              <w:bottom w:val="single" w:sz="8" w:color="auto"/>
              <w:right w:val="single" w:sz="8" w:color="auto"/>
            </w:tcBorders>
          </w:tcPr>
          <w:p>
            <w:pPr>
              <w:spacing w:after="0"/>
              <w:rPr>
                <w:sz w:val="16"/>
                <w:szCs w:val="16"/>
                <w:color w:val="auto"/>
              </w:rPr>
            </w:pP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KINS</w:t>
            </w:r>
          </w:p>
        </w:tc>
        <w:tc>
          <w:tcPr>
            <w:tcW w:w="400" w:type="dxa"/>
            <w:vAlign w:val="bottom"/>
            <w:tcBorders>
              <w:bottom w:val="single" w:sz="8" w:color="auto"/>
            </w:tcBorders>
          </w:tcPr>
          <w:p>
            <w:pPr>
              <w:spacing w:after="0"/>
              <w:rPr>
                <w:sz w:val="16"/>
                <w:szCs w:val="16"/>
                <w:color w:val="auto"/>
              </w:rPr>
            </w:pPr>
          </w:p>
        </w:tc>
        <w:tc>
          <w:tcPr>
            <w:tcW w:w="3480" w:type="dxa"/>
            <w:vAlign w:val="bottom"/>
            <w:tcBorders>
              <w:bottom w:val="single" w:sz="8" w:color="auto"/>
              <w:right w:val="single" w:sz="8" w:color="auto"/>
            </w:tcBorders>
          </w:tcPr>
          <w:p>
            <w:pPr>
              <w:jc w:val="center"/>
              <w:ind w:right="398"/>
              <w:spacing w:after="0"/>
              <w:rPr>
                <w:sz w:val="20"/>
                <w:szCs w:val="20"/>
                <w:color w:val="auto"/>
              </w:rPr>
            </w:pPr>
            <w:r>
              <w:rPr>
                <w:rFonts w:ascii="Arial" w:cs="Arial" w:eastAsia="Arial" w:hAnsi="Arial"/>
                <w:sz w:val="16"/>
                <w:szCs w:val="16"/>
                <w:color w:val="auto"/>
                <w:w w:val="93"/>
              </w:rPr>
              <w:t>Nasdaq Capital Market</w:t>
            </w:r>
          </w:p>
        </w:tc>
        <w:tc>
          <w:tcPr>
            <w:tcW w:w="760" w:type="dxa"/>
            <w:vAlign w:val="bottom"/>
          </w:tcPr>
          <w:p>
            <w:pPr>
              <w:spacing w:after="0"/>
              <w:rPr>
                <w:sz w:val="16"/>
                <w:szCs w:val="16"/>
                <w:color w:val="auto"/>
              </w:rPr>
            </w:pPr>
          </w:p>
        </w:tc>
      </w:tr>
    </w:tbl>
    <w:p>
      <w:pPr>
        <w:spacing w:after="0" w:line="194" w:lineRule="exact"/>
        <w:rPr>
          <w:sz w:val="24"/>
          <w:szCs w:val="24"/>
          <w:color w:val="auto"/>
        </w:rPr>
      </w:pPr>
    </w:p>
    <w:p>
      <w:pPr>
        <w:jc w:val="both"/>
        <w:spacing w:after="0" w:line="20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ind w:right="240"/>
        <w:spacing w:after="0" w:line="209"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77" w:lineRule="exact"/>
        <w:rPr>
          <w:sz w:val="24"/>
          <w:szCs w:val="24"/>
          <w:color w:val="auto"/>
        </w:rPr>
      </w:pPr>
    </w:p>
    <w:p>
      <w:pPr>
        <w:ind w:right="220"/>
        <w:spacing w:after="0" w:line="29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00" w:type="dxa"/>
            <w:vAlign w:val="bottom"/>
          </w:tcPr>
          <w:p>
            <w:pPr>
              <w:ind w:left="640"/>
              <w:spacing w:after="0" w:line="161" w:lineRule="exact"/>
              <w:rPr>
                <w:sz w:val="20"/>
                <w:szCs w:val="20"/>
                <w:color w:val="auto"/>
              </w:rPr>
            </w:pPr>
            <w:r>
              <w:rPr>
                <w:rFonts w:ascii="MS PGothic" w:cs="MS PGothic" w:eastAsia="MS PGothic" w:hAnsi="MS PGothic"/>
                <w:sz w:val="16"/>
                <w:szCs w:val="16"/>
                <w:color w:val="auto"/>
              </w:rPr>
              <w:t>☐</w:t>
            </w:r>
          </w:p>
        </w:tc>
        <w:tc>
          <w:tcPr>
            <w:tcW w:w="4980" w:type="dxa"/>
            <w:vAlign w:val="bottom"/>
          </w:tcPr>
          <w:p>
            <w:pPr>
              <w:ind w:left="2600"/>
              <w:spacing w:after="0"/>
              <w:rPr>
                <w:sz w:val="20"/>
                <w:szCs w:val="20"/>
                <w:color w:val="auto"/>
              </w:rPr>
            </w:pPr>
            <w:r>
              <w:rPr>
                <w:rFonts w:ascii="Arial" w:cs="Arial" w:eastAsia="Arial" w:hAnsi="Arial"/>
                <w:sz w:val="16"/>
                <w:szCs w:val="16"/>
                <w:color w:val="auto"/>
              </w:rPr>
              <w:t>Accelerated filer</w:t>
            </w:r>
          </w:p>
        </w:tc>
        <w:tc>
          <w:tcPr>
            <w:tcW w:w="74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03"/>
        </w:trPr>
        <w:tc>
          <w:tcPr>
            <w:tcW w:w="2120" w:type="dxa"/>
            <w:vAlign w:val="bottom"/>
          </w:tcPr>
          <w:p>
            <w:pPr>
              <w:spacing w:after="0"/>
              <w:rPr>
                <w:sz w:val="20"/>
                <w:szCs w:val="20"/>
                <w:color w:val="auto"/>
              </w:rPr>
            </w:pPr>
            <w:r>
              <w:rPr>
                <w:rFonts w:ascii="Arial" w:cs="Arial" w:eastAsia="Arial" w:hAnsi="Arial"/>
                <w:sz w:val="16"/>
                <w:szCs w:val="16"/>
                <w:color w:val="auto"/>
              </w:rPr>
              <w:t>Non-accelerated filer</w:t>
            </w:r>
          </w:p>
        </w:tc>
        <w:tc>
          <w:tcPr>
            <w:tcW w:w="3400" w:type="dxa"/>
            <w:vAlign w:val="bottom"/>
          </w:tcPr>
          <w:p>
            <w:pPr>
              <w:ind w:left="640"/>
              <w:spacing w:after="0" w:line="161" w:lineRule="exact"/>
              <w:rPr>
                <w:sz w:val="20"/>
                <w:szCs w:val="20"/>
                <w:color w:val="auto"/>
              </w:rPr>
            </w:pPr>
            <w:r>
              <w:rPr>
                <w:rFonts w:ascii="MS PGothic" w:cs="MS PGothic" w:eastAsia="MS PGothic" w:hAnsi="MS PGothic"/>
                <w:sz w:val="16"/>
                <w:szCs w:val="16"/>
                <w:color w:val="auto"/>
              </w:rPr>
              <w:t>☐</w:t>
            </w:r>
          </w:p>
        </w:tc>
        <w:tc>
          <w:tcPr>
            <w:tcW w:w="4980" w:type="dxa"/>
            <w:vAlign w:val="bottom"/>
          </w:tcPr>
          <w:p>
            <w:pPr>
              <w:ind w:left="2600"/>
              <w:spacing w:after="0"/>
              <w:rPr>
                <w:sz w:val="20"/>
                <w:szCs w:val="20"/>
                <w:color w:val="auto"/>
              </w:rPr>
            </w:pPr>
            <w:r>
              <w:rPr>
                <w:rFonts w:ascii="Arial" w:cs="Arial" w:eastAsia="Arial" w:hAnsi="Arial"/>
                <w:sz w:val="16"/>
                <w:szCs w:val="16"/>
                <w:color w:val="auto"/>
              </w:rPr>
              <w:t>Smaller reporting company</w:t>
            </w:r>
          </w:p>
        </w:tc>
        <w:tc>
          <w:tcPr>
            <w:tcW w:w="74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9"/>
        </w:trPr>
        <w:tc>
          <w:tcPr>
            <w:tcW w:w="212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4980" w:type="dxa"/>
            <w:vAlign w:val="bottom"/>
          </w:tcPr>
          <w:p>
            <w:pPr>
              <w:ind w:left="2600"/>
              <w:spacing w:after="0"/>
              <w:rPr>
                <w:sz w:val="20"/>
                <w:szCs w:val="20"/>
                <w:color w:val="auto"/>
              </w:rPr>
            </w:pPr>
            <w:r>
              <w:rPr>
                <w:rFonts w:ascii="Arial" w:cs="Arial" w:eastAsia="Arial" w:hAnsi="Arial"/>
                <w:sz w:val="16"/>
                <w:szCs w:val="16"/>
                <w:color w:val="auto"/>
              </w:rPr>
              <w:t>Emerging growth company</w:t>
            </w:r>
          </w:p>
        </w:tc>
        <w:tc>
          <w:tcPr>
            <w:tcW w:w="74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316" w:lineRule="exact"/>
        <w:rPr>
          <w:sz w:val="24"/>
          <w:szCs w:val="24"/>
          <w:color w:val="auto"/>
        </w:rPr>
      </w:pPr>
    </w:p>
    <w:p>
      <w:pPr>
        <w:ind w:right="600"/>
        <w:spacing w:after="0" w:line="216"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8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51" w:lineRule="exact"/>
        <w:rPr>
          <w:sz w:val="24"/>
          <w:szCs w:val="24"/>
          <w:color w:val="auto"/>
        </w:rPr>
      </w:pPr>
    </w:p>
    <w:p>
      <w:pPr>
        <w:spacing w:after="0"/>
        <w:rPr>
          <w:sz w:val="20"/>
          <w:szCs w:val="20"/>
          <w:color w:val="auto"/>
        </w:rPr>
      </w:pPr>
      <w:r>
        <w:rPr>
          <w:rFonts w:ascii="Arial" w:cs="Arial" w:eastAsia="Arial" w:hAnsi="Arial"/>
          <w:sz w:val="16"/>
          <w:szCs w:val="16"/>
          <w:color w:val="auto"/>
        </w:rPr>
        <w:t>As of November 12, 2019, there were 10,785,069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146050</wp:posOffset>
            </wp:positionV>
            <wp:extent cx="72548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487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218440</wp:posOffset>
            </wp:positionV>
            <wp:extent cx="7254875" cy="32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4875" cy="323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427355</wp:posOffset>
            </wp:positionV>
            <wp:extent cx="72548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887"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t>KINGSTONE COMPANIES, INC.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INDEX</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380" w:type="dxa"/>
            <w:vAlign w:val="bottom"/>
          </w:tcPr>
          <w:p>
            <w:pPr>
              <w:spacing w:after="0"/>
              <w:rPr>
                <w:sz w:val="19"/>
                <w:szCs w:val="19"/>
                <w:color w:val="auto"/>
              </w:rPr>
            </w:pPr>
          </w:p>
        </w:tc>
        <w:tc>
          <w:tcPr>
            <w:tcW w:w="106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rPr>
              <w:t>PAGE</w:t>
            </w:r>
          </w:p>
        </w:tc>
      </w:tr>
      <w:tr>
        <w:trPr>
          <w:trHeight w:val="203"/>
        </w:trPr>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3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83"/>
        </w:trPr>
        <w:tc>
          <w:tcPr>
            <w:tcW w:w="2980" w:type="dxa"/>
            <w:vAlign w:val="bottom"/>
            <w:tcBorders>
              <w:bottom w:val="single" w:sz="8" w:color="0000EE"/>
            </w:tcBorders>
            <w:gridSpan w:val="5"/>
            <w:shd w:val="clear" w:color="auto" w:fill="CCEEFF"/>
          </w:tcPr>
          <w:p>
            <w:pPr>
              <w:spacing w:after="0" w:line="165" w:lineRule="exact"/>
              <w:rPr>
                <w:rFonts w:ascii="Arial" w:cs="Arial" w:eastAsia="Arial" w:hAnsi="Arial"/>
                <w:sz w:val="16"/>
                <w:szCs w:val="16"/>
                <w:b w:val="1"/>
                <w:bCs w:val="1"/>
                <w:color w:val="0000EE"/>
              </w:rPr>
            </w:pPr>
            <w:hyperlink w:anchor="page4">
              <w:r>
                <w:rPr>
                  <w:rFonts w:ascii="Arial" w:cs="Arial" w:eastAsia="Arial" w:hAnsi="Arial"/>
                  <w:sz w:val="16"/>
                  <w:szCs w:val="16"/>
                  <w:b w:val="1"/>
                  <w:bCs w:val="1"/>
                  <w:color w:val="0000EE"/>
                </w:rPr>
                <w:t>PART I — FINANCIAL INFORMATION</w:t>
              </w:r>
            </w:hyperlink>
          </w:p>
        </w:tc>
        <w:tc>
          <w:tcPr>
            <w:tcW w:w="73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line="165" w:lineRule="exact"/>
              <w:rPr>
                <w:sz w:val="20"/>
                <w:szCs w:val="20"/>
                <w:color w:val="auto"/>
              </w:rPr>
            </w:pPr>
            <w:r>
              <w:rPr>
                <w:rFonts w:ascii="Arial" w:cs="Arial" w:eastAsia="Arial" w:hAnsi="Arial"/>
                <w:sz w:val="16"/>
                <w:szCs w:val="16"/>
                <w:color w:val="auto"/>
              </w:rPr>
              <w:t>2</w:t>
            </w:r>
          </w:p>
        </w:tc>
      </w:tr>
      <w:tr>
        <w:trPr>
          <w:trHeight w:val="174"/>
        </w:trPr>
        <w:tc>
          <w:tcPr>
            <w:tcW w:w="900" w:type="dxa"/>
            <w:vAlign w:val="bottom"/>
            <w:gridSpan w:val="3"/>
          </w:tcPr>
          <w:p>
            <w:pPr>
              <w:spacing w:after="0" w:line="165" w:lineRule="exact"/>
              <w:rPr>
                <w:rFonts w:ascii="Arial" w:cs="Arial" w:eastAsia="Arial" w:hAnsi="Arial"/>
                <w:sz w:val="16"/>
                <w:szCs w:val="16"/>
                <w:color w:val="0000EE"/>
              </w:rPr>
            </w:pPr>
            <w:hyperlink w:anchor="page4">
              <w:r>
                <w:rPr>
                  <w:rFonts w:ascii="Arial" w:cs="Arial" w:eastAsia="Arial" w:hAnsi="Arial"/>
                  <w:sz w:val="16"/>
                  <w:szCs w:val="16"/>
                  <w:color w:val="0000EE"/>
                </w:rPr>
                <w:t xml:space="preserve">Item 1 </w:t>
              </w:r>
            </w:hyperlink>
            <w:r>
              <w:rPr>
                <w:rFonts w:ascii="Arial" w:cs="Arial" w:eastAsia="Arial" w:hAnsi="Arial"/>
                <w:sz w:val="16"/>
                <w:szCs w:val="16"/>
                <w:color w:val="000000"/>
              </w:rPr>
              <w:t>—</w:t>
            </w:r>
          </w:p>
        </w:tc>
        <w:tc>
          <w:tcPr>
            <w:tcW w:w="9460" w:type="dxa"/>
            <w:vAlign w:val="bottom"/>
            <w:gridSpan w:val="3"/>
          </w:tcPr>
          <w:p>
            <w:pPr>
              <w:ind w:left="160"/>
              <w:spacing w:after="0" w:line="165" w:lineRule="exact"/>
              <w:rPr>
                <w:sz w:val="20"/>
                <w:szCs w:val="20"/>
                <w:color w:val="auto"/>
              </w:rPr>
            </w:pPr>
            <w:r>
              <w:rPr>
                <w:rFonts w:ascii="Arial" w:cs="Arial" w:eastAsia="Arial" w:hAnsi="Arial"/>
                <w:sz w:val="16"/>
                <w:szCs w:val="16"/>
                <w:color w:val="auto"/>
              </w:rPr>
              <w:t>Financial Statements</w:t>
            </w:r>
          </w:p>
        </w:tc>
        <w:tc>
          <w:tcPr>
            <w:tcW w:w="1060" w:type="dxa"/>
            <w:vAlign w:val="bottom"/>
          </w:tcPr>
          <w:p>
            <w:pPr>
              <w:jc w:val="right"/>
              <w:spacing w:after="0" w:line="165" w:lineRule="exact"/>
              <w:rPr>
                <w:sz w:val="20"/>
                <w:szCs w:val="20"/>
                <w:color w:val="auto"/>
              </w:rPr>
            </w:pPr>
            <w:r>
              <w:rPr>
                <w:rFonts w:ascii="Arial" w:cs="Arial" w:eastAsia="Arial" w:hAnsi="Arial"/>
                <w:sz w:val="16"/>
                <w:szCs w:val="16"/>
                <w:color w:val="auto"/>
              </w:rPr>
              <w:t>2</w:t>
            </w:r>
          </w:p>
        </w:tc>
      </w:tr>
      <w:tr>
        <w:trPr>
          <w:trHeight w:val="212"/>
        </w:trPr>
        <w:tc>
          <w:tcPr>
            <w:tcW w:w="420" w:type="dxa"/>
            <w:vAlign w:val="bottom"/>
            <w:tcBorders>
              <w:top w:val="single" w:sz="8" w:color="0000EE"/>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6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Condensed Consolidated Balance Sheets at September 30, 2019 (Unaudited) and December 31, 2018</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194"/>
        </w:trPr>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60" w:type="dxa"/>
            <w:vAlign w:val="bottom"/>
            <w:gridSpan w:val="3"/>
          </w:tcPr>
          <w:p>
            <w:pPr>
              <w:ind w:left="160"/>
              <w:spacing w:after="0"/>
              <w:rPr>
                <w:sz w:val="20"/>
                <w:szCs w:val="20"/>
                <w:color w:val="auto"/>
              </w:rPr>
            </w:pPr>
            <w:r>
              <w:rPr>
                <w:rFonts w:ascii="Arial" w:cs="Arial" w:eastAsia="Arial" w:hAnsi="Arial"/>
                <w:sz w:val="16"/>
                <w:szCs w:val="16"/>
                <w:color w:val="auto"/>
                <w:w w:val="98"/>
              </w:rPr>
              <w:t>Condensed Consolidated Statements of Operations and Comprehensive Income (Loss) for the three months and nine months ended</w:t>
            </w:r>
          </w:p>
        </w:tc>
        <w:tc>
          <w:tcPr>
            <w:tcW w:w="1060" w:type="dxa"/>
            <w:vAlign w:val="bottom"/>
          </w:tcPr>
          <w:p>
            <w:pPr>
              <w:spacing w:after="0"/>
              <w:rPr>
                <w:sz w:val="16"/>
                <w:szCs w:val="16"/>
                <w:color w:val="auto"/>
              </w:rPr>
            </w:pPr>
          </w:p>
        </w:tc>
      </w:tr>
      <w:tr>
        <w:trPr>
          <w:trHeight w:val="210"/>
        </w:trPr>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60" w:type="dxa"/>
            <w:vAlign w:val="bottom"/>
            <w:gridSpan w:val="3"/>
          </w:tcPr>
          <w:p>
            <w:pPr>
              <w:ind w:left="160"/>
              <w:spacing w:after="0"/>
              <w:rPr>
                <w:sz w:val="20"/>
                <w:szCs w:val="20"/>
                <w:color w:val="auto"/>
              </w:rPr>
            </w:pPr>
            <w:r>
              <w:rPr>
                <w:rFonts w:ascii="Arial" w:cs="Arial" w:eastAsia="Arial" w:hAnsi="Arial"/>
                <w:sz w:val="16"/>
                <w:szCs w:val="16"/>
                <w:color w:val="auto"/>
              </w:rPr>
              <w:t>September 30, 2019 (Unaudited) and 2018 (Unaudited)</w:t>
            </w:r>
          </w:p>
        </w:tc>
        <w:tc>
          <w:tcPr>
            <w:tcW w:w="10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195"/>
        </w:trPr>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46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w w:val="93"/>
              </w:rPr>
              <w:t>Condensed Consolidated Statements of Stockholders’ Equity for the three months and nine months ended September 30, 2019 (Unaudited)</w:t>
            </w:r>
          </w:p>
        </w:tc>
        <w:tc>
          <w:tcPr>
            <w:tcW w:w="1060" w:type="dxa"/>
            <w:vAlign w:val="bottom"/>
            <w:shd w:val="clear" w:color="auto" w:fill="CCEEFF"/>
          </w:tcPr>
          <w:p>
            <w:pPr>
              <w:spacing w:after="0"/>
              <w:rPr>
                <w:sz w:val="16"/>
                <w:szCs w:val="16"/>
                <w:color w:val="auto"/>
              </w:rPr>
            </w:pPr>
          </w:p>
        </w:tc>
      </w:tr>
      <w:tr>
        <w:trPr>
          <w:trHeight w:val="211"/>
        </w:trPr>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6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and 2018 (Unaudited)</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03"/>
        </w:trPr>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60" w:type="dxa"/>
            <w:vAlign w:val="bottom"/>
            <w:gridSpan w:val="3"/>
          </w:tcPr>
          <w:p>
            <w:pPr>
              <w:ind w:left="160"/>
              <w:spacing w:after="0"/>
              <w:rPr>
                <w:sz w:val="20"/>
                <w:szCs w:val="20"/>
                <w:color w:val="auto"/>
              </w:rPr>
            </w:pPr>
            <w:r>
              <w:rPr>
                <w:rFonts w:ascii="Arial" w:cs="Arial" w:eastAsia="Arial" w:hAnsi="Arial"/>
                <w:sz w:val="16"/>
                <w:szCs w:val="16"/>
                <w:color w:val="auto"/>
                <w:w w:val="96"/>
              </w:rPr>
              <w:t>Condensed Consolidated Statements of Cash Flows for the nine months ended September 30, 2019 (Unaudited) and 2018 (Unaudited)</w:t>
            </w:r>
          </w:p>
        </w:tc>
        <w:tc>
          <w:tcPr>
            <w:tcW w:w="106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03"/>
        </w:trPr>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6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Notes to Condensed Consolidated Financial Statements (Unaudited)</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165"/>
        </w:trPr>
        <w:tc>
          <w:tcPr>
            <w:tcW w:w="900" w:type="dxa"/>
            <w:vAlign w:val="bottom"/>
            <w:gridSpan w:val="3"/>
          </w:tcPr>
          <w:p>
            <w:pPr>
              <w:spacing w:after="0" w:line="165" w:lineRule="exact"/>
              <w:rPr>
                <w:rFonts w:ascii="Arial" w:cs="Arial" w:eastAsia="Arial" w:hAnsi="Arial"/>
                <w:sz w:val="16"/>
                <w:szCs w:val="16"/>
                <w:color w:val="0000EE"/>
              </w:rPr>
            </w:pPr>
            <w:hyperlink w:anchor="page39">
              <w:r>
                <w:rPr>
                  <w:rFonts w:ascii="Arial" w:cs="Arial" w:eastAsia="Arial" w:hAnsi="Arial"/>
                  <w:sz w:val="16"/>
                  <w:szCs w:val="16"/>
                  <w:color w:val="0000EE"/>
                </w:rPr>
                <w:t xml:space="preserve">Item 2 </w:t>
              </w:r>
            </w:hyperlink>
            <w:r>
              <w:rPr>
                <w:rFonts w:ascii="Arial" w:cs="Arial" w:eastAsia="Arial" w:hAnsi="Arial"/>
                <w:sz w:val="16"/>
                <w:szCs w:val="16"/>
                <w:color w:val="000000"/>
              </w:rPr>
              <w:t>—</w:t>
            </w:r>
          </w:p>
        </w:tc>
        <w:tc>
          <w:tcPr>
            <w:tcW w:w="9460" w:type="dxa"/>
            <w:vAlign w:val="bottom"/>
            <w:gridSpan w:val="3"/>
          </w:tcPr>
          <w:p>
            <w:pPr>
              <w:ind w:left="160"/>
              <w:spacing w:after="0" w:line="165" w:lineRule="exact"/>
              <w:rPr>
                <w:sz w:val="20"/>
                <w:szCs w:val="20"/>
                <w:color w:val="auto"/>
              </w:rPr>
            </w:pPr>
            <w:r>
              <w:rPr>
                <w:rFonts w:ascii="Arial" w:cs="Arial" w:eastAsia="Arial" w:hAnsi="Arial"/>
                <w:sz w:val="16"/>
                <w:szCs w:val="16"/>
                <w:color w:val="auto"/>
              </w:rPr>
              <w:t>Management’s Discussion and Analysis of Financial Condition and Results of Operations</w:t>
            </w:r>
          </w:p>
        </w:tc>
        <w:tc>
          <w:tcPr>
            <w:tcW w:w="1060" w:type="dxa"/>
            <w:vAlign w:val="bottom"/>
          </w:tcPr>
          <w:p>
            <w:pPr>
              <w:jc w:val="right"/>
              <w:spacing w:after="0" w:line="165" w:lineRule="exact"/>
              <w:rPr>
                <w:sz w:val="20"/>
                <w:szCs w:val="20"/>
                <w:color w:val="auto"/>
              </w:rPr>
            </w:pPr>
            <w:r>
              <w:rPr>
                <w:rFonts w:ascii="Arial" w:cs="Arial" w:eastAsia="Arial" w:hAnsi="Arial"/>
                <w:sz w:val="16"/>
                <w:szCs w:val="16"/>
                <w:color w:val="auto"/>
              </w:rPr>
              <w:t>37</w:t>
            </w:r>
          </w:p>
        </w:tc>
      </w:tr>
      <w:tr>
        <w:trPr>
          <w:trHeight w:val="29"/>
        </w:trPr>
        <w:tc>
          <w:tcPr>
            <w:tcW w:w="42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74"/>
        </w:trPr>
        <w:tc>
          <w:tcPr>
            <w:tcW w:w="900" w:type="dxa"/>
            <w:vAlign w:val="bottom"/>
            <w:gridSpan w:val="3"/>
            <w:shd w:val="clear" w:color="auto" w:fill="CCEEFF"/>
          </w:tcPr>
          <w:p>
            <w:pPr>
              <w:spacing w:after="0" w:line="174" w:lineRule="exact"/>
              <w:rPr>
                <w:rFonts w:ascii="Arial" w:cs="Arial" w:eastAsia="Arial" w:hAnsi="Arial"/>
                <w:sz w:val="16"/>
                <w:szCs w:val="16"/>
                <w:color w:val="0000EE"/>
              </w:rPr>
            </w:pPr>
            <w:hyperlink w:anchor="page69">
              <w:r>
                <w:rPr>
                  <w:rFonts w:ascii="Arial" w:cs="Arial" w:eastAsia="Arial" w:hAnsi="Arial"/>
                  <w:sz w:val="16"/>
                  <w:szCs w:val="16"/>
                  <w:color w:val="0000EE"/>
                </w:rPr>
                <w:t xml:space="preserve">Item 3 </w:t>
              </w:r>
            </w:hyperlink>
            <w:r>
              <w:rPr>
                <w:rFonts w:ascii="Arial" w:cs="Arial" w:eastAsia="Arial" w:hAnsi="Arial"/>
                <w:sz w:val="16"/>
                <w:szCs w:val="16"/>
                <w:color w:val="000000"/>
              </w:rPr>
              <w:t>—</w:t>
            </w:r>
          </w:p>
        </w:tc>
        <w:tc>
          <w:tcPr>
            <w:tcW w:w="9460" w:type="dxa"/>
            <w:vAlign w:val="bottom"/>
            <w:gridSpan w:val="3"/>
            <w:shd w:val="clear" w:color="auto" w:fill="CCEEFF"/>
          </w:tcPr>
          <w:p>
            <w:pPr>
              <w:ind w:left="160"/>
              <w:spacing w:after="0" w:line="174" w:lineRule="exact"/>
              <w:rPr>
                <w:sz w:val="20"/>
                <w:szCs w:val="20"/>
                <w:color w:val="auto"/>
              </w:rPr>
            </w:pPr>
            <w:r>
              <w:rPr>
                <w:rFonts w:ascii="Arial" w:cs="Arial" w:eastAsia="Arial" w:hAnsi="Arial"/>
                <w:sz w:val="16"/>
                <w:szCs w:val="16"/>
                <w:color w:val="auto"/>
              </w:rPr>
              <w:t>Quantitative and Qualitative Disclosures About Market Risk</w:t>
            </w:r>
          </w:p>
        </w:tc>
        <w:tc>
          <w:tcPr>
            <w:tcW w:w="1060" w:type="dxa"/>
            <w:vAlign w:val="bottom"/>
            <w:shd w:val="clear" w:color="auto" w:fill="CCEEFF"/>
          </w:tcPr>
          <w:p>
            <w:pPr>
              <w:jc w:val="right"/>
              <w:spacing w:after="0" w:line="174" w:lineRule="exact"/>
              <w:rPr>
                <w:sz w:val="20"/>
                <w:szCs w:val="20"/>
                <w:color w:val="auto"/>
              </w:rPr>
            </w:pPr>
            <w:r>
              <w:rPr>
                <w:rFonts w:ascii="Arial" w:cs="Arial" w:eastAsia="Arial" w:hAnsi="Arial"/>
                <w:sz w:val="16"/>
                <w:szCs w:val="16"/>
                <w:color w:val="auto"/>
              </w:rPr>
              <w:t>66</w:t>
            </w:r>
          </w:p>
        </w:tc>
      </w:tr>
      <w:tr>
        <w:trPr>
          <w:trHeight w:val="38"/>
        </w:trPr>
        <w:tc>
          <w:tcPr>
            <w:tcW w:w="420" w:type="dxa"/>
            <w:vAlign w:val="bottom"/>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8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73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r>
      <w:tr>
        <w:trPr>
          <w:trHeight w:val="174"/>
        </w:trPr>
        <w:tc>
          <w:tcPr>
            <w:tcW w:w="900" w:type="dxa"/>
            <w:vAlign w:val="bottom"/>
            <w:gridSpan w:val="3"/>
          </w:tcPr>
          <w:p>
            <w:pPr>
              <w:spacing w:after="0" w:line="165" w:lineRule="exact"/>
              <w:rPr>
                <w:rFonts w:ascii="Arial" w:cs="Arial" w:eastAsia="Arial" w:hAnsi="Arial"/>
                <w:sz w:val="16"/>
                <w:szCs w:val="16"/>
                <w:color w:val="0000EE"/>
              </w:rPr>
            </w:pPr>
            <w:hyperlink w:anchor="page69">
              <w:r>
                <w:rPr>
                  <w:rFonts w:ascii="Arial" w:cs="Arial" w:eastAsia="Arial" w:hAnsi="Arial"/>
                  <w:sz w:val="16"/>
                  <w:szCs w:val="16"/>
                  <w:color w:val="0000EE"/>
                </w:rPr>
                <w:t xml:space="preserve">Item 4 </w:t>
              </w:r>
            </w:hyperlink>
            <w:r>
              <w:rPr>
                <w:rFonts w:ascii="Arial" w:cs="Arial" w:eastAsia="Arial" w:hAnsi="Arial"/>
                <w:sz w:val="16"/>
                <w:szCs w:val="16"/>
                <w:color w:val="000000"/>
              </w:rPr>
              <w:t>—</w:t>
            </w:r>
          </w:p>
        </w:tc>
        <w:tc>
          <w:tcPr>
            <w:tcW w:w="9460" w:type="dxa"/>
            <w:vAlign w:val="bottom"/>
            <w:gridSpan w:val="3"/>
          </w:tcPr>
          <w:p>
            <w:pPr>
              <w:ind w:left="160"/>
              <w:spacing w:after="0" w:line="165" w:lineRule="exact"/>
              <w:rPr>
                <w:sz w:val="20"/>
                <w:szCs w:val="20"/>
                <w:color w:val="auto"/>
              </w:rPr>
            </w:pPr>
            <w:r>
              <w:rPr>
                <w:rFonts w:ascii="Arial" w:cs="Arial" w:eastAsia="Arial" w:hAnsi="Arial"/>
                <w:sz w:val="16"/>
                <w:szCs w:val="16"/>
                <w:color w:val="auto"/>
              </w:rPr>
              <w:t>Controls and Procedures</w:t>
            </w:r>
          </w:p>
        </w:tc>
        <w:tc>
          <w:tcPr>
            <w:tcW w:w="1060" w:type="dxa"/>
            <w:vAlign w:val="bottom"/>
          </w:tcPr>
          <w:p>
            <w:pPr>
              <w:jc w:val="right"/>
              <w:spacing w:after="0" w:line="165" w:lineRule="exact"/>
              <w:rPr>
                <w:sz w:val="20"/>
                <w:szCs w:val="20"/>
                <w:color w:val="auto"/>
              </w:rPr>
            </w:pPr>
            <w:r>
              <w:rPr>
                <w:rFonts w:ascii="Arial" w:cs="Arial" w:eastAsia="Arial" w:hAnsi="Arial"/>
                <w:sz w:val="16"/>
                <w:szCs w:val="16"/>
                <w:color w:val="auto"/>
              </w:rPr>
              <w:t>66</w:t>
            </w:r>
          </w:p>
        </w:tc>
      </w:tr>
      <w:tr>
        <w:trPr>
          <w:trHeight w:val="212"/>
        </w:trPr>
        <w:tc>
          <w:tcPr>
            <w:tcW w:w="420" w:type="dxa"/>
            <w:vAlign w:val="bottom"/>
            <w:tcBorders>
              <w:top w:val="single" w:sz="8" w:color="0000EE"/>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174"/>
        </w:trPr>
        <w:tc>
          <w:tcPr>
            <w:tcW w:w="2700" w:type="dxa"/>
            <w:vAlign w:val="bottom"/>
            <w:tcBorders>
              <w:bottom w:val="single" w:sz="8" w:color="0000EE"/>
            </w:tcBorders>
            <w:gridSpan w:val="4"/>
          </w:tcPr>
          <w:p>
            <w:pPr>
              <w:spacing w:after="0" w:line="165" w:lineRule="exact"/>
              <w:rPr>
                <w:rFonts w:ascii="Arial" w:cs="Arial" w:eastAsia="Arial" w:hAnsi="Arial"/>
                <w:sz w:val="16"/>
                <w:szCs w:val="16"/>
                <w:b w:val="1"/>
                <w:bCs w:val="1"/>
                <w:color w:val="0000EE"/>
              </w:rPr>
            </w:pPr>
            <w:hyperlink w:anchor="page70">
              <w:r>
                <w:rPr>
                  <w:rFonts w:ascii="Arial" w:cs="Arial" w:eastAsia="Arial" w:hAnsi="Arial"/>
                  <w:sz w:val="16"/>
                  <w:szCs w:val="16"/>
                  <w:b w:val="1"/>
                  <w:bCs w:val="1"/>
                  <w:color w:val="0000EE"/>
                </w:rPr>
                <w:t>PART II — OTHER INFORMATION</w:t>
              </w:r>
            </w:hyperlink>
          </w:p>
        </w:tc>
        <w:tc>
          <w:tcPr>
            <w:tcW w:w="7660" w:type="dxa"/>
            <w:vAlign w:val="bottom"/>
            <w:gridSpan w:val="2"/>
          </w:tcPr>
          <w:p>
            <w:pPr>
              <w:spacing w:after="0"/>
              <w:rPr>
                <w:sz w:val="15"/>
                <w:szCs w:val="15"/>
                <w:color w:val="auto"/>
              </w:rPr>
            </w:pPr>
          </w:p>
        </w:tc>
        <w:tc>
          <w:tcPr>
            <w:tcW w:w="1060" w:type="dxa"/>
            <w:vAlign w:val="bottom"/>
          </w:tcPr>
          <w:p>
            <w:pPr>
              <w:jc w:val="right"/>
              <w:spacing w:after="0" w:line="165" w:lineRule="exact"/>
              <w:rPr>
                <w:sz w:val="20"/>
                <w:szCs w:val="20"/>
                <w:color w:val="auto"/>
              </w:rPr>
            </w:pPr>
            <w:r>
              <w:rPr>
                <w:rFonts w:ascii="Arial" w:cs="Arial" w:eastAsia="Arial" w:hAnsi="Arial"/>
                <w:sz w:val="16"/>
                <w:szCs w:val="16"/>
                <w:color w:val="auto"/>
              </w:rPr>
              <w:t>67</w:t>
            </w:r>
          </w:p>
        </w:tc>
      </w:tr>
      <w:tr>
        <w:trPr>
          <w:trHeight w:val="174"/>
        </w:trPr>
        <w:tc>
          <w:tcPr>
            <w:tcW w:w="900" w:type="dxa"/>
            <w:vAlign w:val="bottom"/>
            <w:gridSpan w:val="3"/>
            <w:shd w:val="clear" w:color="auto" w:fill="CCEEFF"/>
          </w:tcPr>
          <w:p>
            <w:pPr>
              <w:spacing w:after="0" w:line="174" w:lineRule="exact"/>
              <w:rPr>
                <w:rFonts w:ascii="Arial" w:cs="Arial" w:eastAsia="Arial" w:hAnsi="Arial"/>
                <w:sz w:val="16"/>
                <w:szCs w:val="16"/>
                <w:color w:val="0000EE"/>
              </w:rPr>
            </w:pPr>
            <w:hyperlink w:anchor="page70">
              <w:r>
                <w:rPr>
                  <w:rFonts w:ascii="Arial" w:cs="Arial" w:eastAsia="Arial" w:hAnsi="Arial"/>
                  <w:sz w:val="16"/>
                  <w:szCs w:val="16"/>
                  <w:color w:val="0000EE"/>
                </w:rPr>
                <w:t xml:space="preserve">Item 1 </w:t>
              </w:r>
            </w:hyperlink>
            <w:r>
              <w:rPr>
                <w:rFonts w:ascii="Arial" w:cs="Arial" w:eastAsia="Arial" w:hAnsi="Arial"/>
                <w:sz w:val="16"/>
                <w:szCs w:val="16"/>
                <w:color w:val="000000"/>
              </w:rPr>
              <w:t>—</w:t>
            </w:r>
          </w:p>
        </w:tc>
        <w:tc>
          <w:tcPr>
            <w:tcW w:w="9460" w:type="dxa"/>
            <w:vAlign w:val="bottom"/>
            <w:gridSpan w:val="3"/>
            <w:shd w:val="clear" w:color="auto" w:fill="CCEEFF"/>
          </w:tcPr>
          <w:p>
            <w:pPr>
              <w:ind w:left="160"/>
              <w:spacing w:after="0" w:line="174" w:lineRule="exact"/>
              <w:rPr>
                <w:sz w:val="20"/>
                <w:szCs w:val="20"/>
                <w:color w:val="auto"/>
              </w:rPr>
            </w:pPr>
            <w:r>
              <w:rPr>
                <w:rFonts w:ascii="Arial" w:cs="Arial" w:eastAsia="Arial" w:hAnsi="Arial"/>
                <w:sz w:val="16"/>
                <w:szCs w:val="16"/>
                <w:color w:val="auto"/>
              </w:rPr>
              <w:t>Legal Proceedings</w:t>
            </w:r>
          </w:p>
        </w:tc>
        <w:tc>
          <w:tcPr>
            <w:tcW w:w="1060" w:type="dxa"/>
            <w:vAlign w:val="bottom"/>
            <w:shd w:val="clear" w:color="auto" w:fill="CCEEFF"/>
          </w:tcPr>
          <w:p>
            <w:pPr>
              <w:jc w:val="right"/>
              <w:spacing w:after="0" w:line="174" w:lineRule="exact"/>
              <w:rPr>
                <w:sz w:val="20"/>
                <w:szCs w:val="20"/>
                <w:color w:val="auto"/>
              </w:rPr>
            </w:pPr>
            <w:r>
              <w:rPr>
                <w:rFonts w:ascii="Arial" w:cs="Arial" w:eastAsia="Arial" w:hAnsi="Arial"/>
                <w:sz w:val="16"/>
                <w:szCs w:val="16"/>
                <w:color w:val="auto"/>
              </w:rPr>
              <w:t>67</w:t>
            </w:r>
          </w:p>
        </w:tc>
      </w:tr>
      <w:tr>
        <w:trPr>
          <w:trHeight w:val="38"/>
        </w:trPr>
        <w:tc>
          <w:tcPr>
            <w:tcW w:w="420" w:type="dxa"/>
            <w:vAlign w:val="bottom"/>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8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73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r>
      <w:tr>
        <w:trPr>
          <w:trHeight w:val="165"/>
        </w:trPr>
        <w:tc>
          <w:tcPr>
            <w:tcW w:w="900" w:type="dxa"/>
            <w:vAlign w:val="bottom"/>
            <w:gridSpan w:val="3"/>
          </w:tcPr>
          <w:p>
            <w:pPr>
              <w:spacing w:after="0" w:line="165" w:lineRule="exact"/>
              <w:rPr>
                <w:rFonts w:ascii="Arial" w:cs="Arial" w:eastAsia="Arial" w:hAnsi="Arial"/>
                <w:sz w:val="16"/>
                <w:szCs w:val="16"/>
                <w:color w:val="0000EE"/>
              </w:rPr>
            </w:pPr>
            <w:hyperlink w:anchor="page70">
              <w:r>
                <w:rPr>
                  <w:rFonts w:ascii="Arial" w:cs="Arial" w:eastAsia="Arial" w:hAnsi="Arial"/>
                  <w:sz w:val="16"/>
                  <w:szCs w:val="16"/>
                  <w:color w:val="0000EE"/>
                </w:rPr>
                <w:t xml:space="preserve">Item 1A </w:t>
              </w:r>
            </w:hyperlink>
            <w:r>
              <w:rPr>
                <w:rFonts w:ascii="Arial" w:cs="Arial" w:eastAsia="Arial" w:hAnsi="Arial"/>
                <w:sz w:val="16"/>
                <w:szCs w:val="16"/>
                <w:color w:val="000000"/>
              </w:rPr>
              <w:t>—</w:t>
            </w:r>
          </w:p>
        </w:tc>
        <w:tc>
          <w:tcPr>
            <w:tcW w:w="9460" w:type="dxa"/>
            <w:vAlign w:val="bottom"/>
            <w:gridSpan w:val="3"/>
          </w:tcPr>
          <w:p>
            <w:pPr>
              <w:ind w:left="160"/>
              <w:spacing w:after="0" w:line="165" w:lineRule="exact"/>
              <w:rPr>
                <w:sz w:val="20"/>
                <w:szCs w:val="20"/>
                <w:color w:val="auto"/>
              </w:rPr>
            </w:pPr>
            <w:r>
              <w:rPr>
                <w:rFonts w:ascii="Arial" w:cs="Arial" w:eastAsia="Arial" w:hAnsi="Arial"/>
                <w:sz w:val="16"/>
                <w:szCs w:val="16"/>
                <w:color w:val="auto"/>
              </w:rPr>
              <w:t>Risk Factors</w:t>
            </w:r>
          </w:p>
        </w:tc>
        <w:tc>
          <w:tcPr>
            <w:tcW w:w="1060" w:type="dxa"/>
            <w:vAlign w:val="bottom"/>
          </w:tcPr>
          <w:p>
            <w:pPr>
              <w:jc w:val="right"/>
              <w:spacing w:after="0" w:line="165" w:lineRule="exact"/>
              <w:rPr>
                <w:sz w:val="20"/>
                <w:szCs w:val="20"/>
                <w:color w:val="auto"/>
              </w:rPr>
            </w:pPr>
            <w:r>
              <w:rPr>
                <w:rFonts w:ascii="Arial" w:cs="Arial" w:eastAsia="Arial" w:hAnsi="Arial"/>
                <w:sz w:val="16"/>
                <w:szCs w:val="16"/>
                <w:color w:val="auto"/>
              </w:rPr>
              <w:t>67</w:t>
            </w:r>
          </w:p>
        </w:tc>
      </w:tr>
      <w:tr>
        <w:trPr>
          <w:trHeight w:val="29"/>
        </w:trPr>
        <w:tc>
          <w:tcPr>
            <w:tcW w:w="4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74"/>
        </w:trPr>
        <w:tc>
          <w:tcPr>
            <w:tcW w:w="900" w:type="dxa"/>
            <w:vAlign w:val="bottom"/>
            <w:gridSpan w:val="3"/>
            <w:shd w:val="clear" w:color="auto" w:fill="CCEEFF"/>
          </w:tcPr>
          <w:p>
            <w:pPr>
              <w:spacing w:after="0" w:line="174" w:lineRule="exact"/>
              <w:rPr>
                <w:rFonts w:ascii="Arial" w:cs="Arial" w:eastAsia="Arial" w:hAnsi="Arial"/>
                <w:sz w:val="16"/>
                <w:szCs w:val="16"/>
                <w:color w:val="0000EE"/>
              </w:rPr>
            </w:pPr>
            <w:hyperlink w:anchor="page70">
              <w:r>
                <w:rPr>
                  <w:rFonts w:ascii="Arial" w:cs="Arial" w:eastAsia="Arial" w:hAnsi="Arial"/>
                  <w:sz w:val="16"/>
                  <w:szCs w:val="16"/>
                  <w:color w:val="0000EE"/>
                </w:rPr>
                <w:t xml:space="preserve">Item 2 </w:t>
              </w:r>
            </w:hyperlink>
            <w:r>
              <w:rPr>
                <w:rFonts w:ascii="Arial" w:cs="Arial" w:eastAsia="Arial" w:hAnsi="Arial"/>
                <w:sz w:val="16"/>
                <w:szCs w:val="16"/>
                <w:color w:val="000000"/>
              </w:rPr>
              <w:t>—</w:t>
            </w:r>
          </w:p>
        </w:tc>
        <w:tc>
          <w:tcPr>
            <w:tcW w:w="9460" w:type="dxa"/>
            <w:vAlign w:val="bottom"/>
            <w:gridSpan w:val="3"/>
            <w:shd w:val="clear" w:color="auto" w:fill="CCEEFF"/>
          </w:tcPr>
          <w:p>
            <w:pPr>
              <w:ind w:left="160"/>
              <w:spacing w:after="0" w:line="174" w:lineRule="exact"/>
              <w:rPr>
                <w:sz w:val="20"/>
                <w:szCs w:val="20"/>
                <w:color w:val="auto"/>
              </w:rPr>
            </w:pPr>
            <w:r>
              <w:rPr>
                <w:rFonts w:ascii="Arial" w:cs="Arial" w:eastAsia="Arial" w:hAnsi="Arial"/>
                <w:sz w:val="16"/>
                <w:szCs w:val="16"/>
                <w:color w:val="auto"/>
              </w:rPr>
              <w:t>Unregistered Sales of Equity Securities and Use of Proceeds</w:t>
            </w:r>
          </w:p>
        </w:tc>
        <w:tc>
          <w:tcPr>
            <w:tcW w:w="1060" w:type="dxa"/>
            <w:vAlign w:val="bottom"/>
            <w:shd w:val="clear" w:color="auto" w:fill="CCEEFF"/>
          </w:tcPr>
          <w:p>
            <w:pPr>
              <w:jc w:val="right"/>
              <w:spacing w:after="0" w:line="174" w:lineRule="exact"/>
              <w:rPr>
                <w:sz w:val="20"/>
                <w:szCs w:val="20"/>
                <w:color w:val="auto"/>
              </w:rPr>
            </w:pPr>
            <w:r>
              <w:rPr>
                <w:rFonts w:ascii="Arial" w:cs="Arial" w:eastAsia="Arial" w:hAnsi="Arial"/>
                <w:sz w:val="16"/>
                <w:szCs w:val="16"/>
                <w:color w:val="auto"/>
              </w:rPr>
              <w:t>67</w:t>
            </w:r>
          </w:p>
        </w:tc>
      </w:tr>
      <w:tr>
        <w:trPr>
          <w:trHeight w:val="38"/>
        </w:trPr>
        <w:tc>
          <w:tcPr>
            <w:tcW w:w="420" w:type="dxa"/>
            <w:vAlign w:val="bottom"/>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8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73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r>
      <w:tr>
        <w:trPr>
          <w:trHeight w:val="165"/>
        </w:trPr>
        <w:tc>
          <w:tcPr>
            <w:tcW w:w="900" w:type="dxa"/>
            <w:vAlign w:val="bottom"/>
            <w:gridSpan w:val="3"/>
          </w:tcPr>
          <w:p>
            <w:pPr>
              <w:spacing w:after="0" w:line="165" w:lineRule="exact"/>
              <w:rPr>
                <w:rFonts w:ascii="Arial" w:cs="Arial" w:eastAsia="Arial" w:hAnsi="Arial"/>
                <w:sz w:val="16"/>
                <w:szCs w:val="16"/>
                <w:color w:val="0000EE"/>
              </w:rPr>
            </w:pPr>
            <w:hyperlink w:anchor="page70">
              <w:r>
                <w:rPr>
                  <w:rFonts w:ascii="Arial" w:cs="Arial" w:eastAsia="Arial" w:hAnsi="Arial"/>
                  <w:sz w:val="16"/>
                  <w:szCs w:val="16"/>
                  <w:color w:val="0000EE"/>
                </w:rPr>
                <w:t xml:space="preserve">Item 3 </w:t>
              </w:r>
            </w:hyperlink>
            <w:r>
              <w:rPr>
                <w:rFonts w:ascii="Arial" w:cs="Arial" w:eastAsia="Arial" w:hAnsi="Arial"/>
                <w:sz w:val="16"/>
                <w:szCs w:val="16"/>
                <w:color w:val="000000"/>
              </w:rPr>
              <w:t>—</w:t>
            </w:r>
          </w:p>
        </w:tc>
        <w:tc>
          <w:tcPr>
            <w:tcW w:w="9460" w:type="dxa"/>
            <w:vAlign w:val="bottom"/>
            <w:gridSpan w:val="3"/>
          </w:tcPr>
          <w:p>
            <w:pPr>
              <w:ind w:left="160"/>
              <w:spacing w:after="0" w:line="165" w:lineRule="exact"/>
              <w:rPr>
                <w:sz w:val="20"/>
                <w:szCs w:val="20"/>
                <w:color w:val="auto"/>
              </w:rPr>
            </w:pPr>
            <w:r>
              <w:rPr>
                <w:rFonts w:ascii="Arial" w:cs="Arial" w:eastAsia="Arial" w:hAnsi="Arial"/>
                <w:sz w:val="16"/>
                <w:szCs w:val="16"/>
                <w:color w:val="auto"/>
              </w:rPr>
              <w:t>Defaults Upon Senior Securities</w:t>
            </w:r>
          </w:p>
        </w:tc>
        <w:tc>
          <w:tcPr>
            <w:tcW w:w="1060" w:type="dxa"/>
            <w:vAlign w:val="bottom"/>
          </w:tcPr>
          <w:p>
            <w:pPr>
              <w:jc w:val="right"/>
              <w:spacing w:after="0" w:line="165" w:lineRule="exact"/>
              <w:rPr>
                <w:sz w:val="20"/>
                <w:szCs w:val="20"/>
                <w:color w:val="auto"/>
              </w:rPr>
            </w:pPr>
            <w:r>
              <w:rPr>
                <w:rFonts w:ascii="Arial" w:cs="Arial" w:eastAsia="Arial" w:hAnsi="Arial"/>
                <w:sz w:val="16"/>
                <w:szCs w:val="16"/>
                <w:color w:val="auto"/>
              </w:rPr>
              <w:t>67</w:t>
            </w:r>
          </w:p>
        </w:tc>
      </w:tr>
      <w:tr>
        <w:trPr>
          <w:trHeight w:val="29"/>
        </w:trPr>
        <w:tc>
          <w:tcPr>
            <w:tcW w:w="42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74"/>
        </w:trPr>
        <w:tc>
          <w:tcPr>
            <w:tcW w:w="900" w:type="dxa"/>
            <w:vAlign w:val="bottom"/>
            <w:gridSpan w:val="3"/>
            <w:shd w:val="clear" w:color="auto" w:fill="CCEEFF"/>
          </w:tcPr>
          <w:p>
            <w:pPr>
              <w:spacing w:after="0" w:line="174" w:lineRule="exact"/>
              <w:rPr>
                <w:rFonts w:ascii="Arial" w:cs="Arial" w:eastAsia="Arial" w:hAnsi="Arial"/>
                <w:sz w:val="16"/>
                <w:szCs w:val="16"/>
                <w:color w:val="0000EE"/>
              </w:rPr>
            </w:pPr>
            <w:hyperlink w:anchor="page70">
              <w:r>
                <w:rPr>
                  <w:rFonts w:ascii="Arial" w:cs="Arial" w:eastAsia="Arial" w:hAnsi="Arial"/>
                  <w:sz w:val="16"/>
                  <w:szCs w:val="16"/>
                  <w:color w:val="0000EE"/>
                </w:rPr>
                <w:t xml:space="preserve">Item 4 </w:t>
              </w:r>
            </w:hyperlink>
            <w:r>
              <w:rPr>
                <w:rFonts w:ascii="Arial" w:cs="Arial" w:eastAsia="Arial" w:hAnsi="Arial"/>
                <w:sz w:val="16"/>
                <w:szCs w:val="16"/>
                <w:color w:val="000000"/>
              </w:rPr>
              <w:t>—</w:t>
            </w:r>
          </w:p>
        </w:tc>
        <w:tc>
          <w:tcPr>
            <w:tcW w:w="9460" w:type="dxa"/>
            <w:vAlign w:val="bottom"/>
            <w:gridSpan w:val="3"/>
            <w:shd w:val="clear" w:color="auto" w:fill="CCEEFF"/>
          </w:tcPr>
          <w:p>
            <w:pPr>
              <w:ind w:left="160"/>
              <w:spacing w:after="0" w:line="174" w:lineRule="exact"/>
              <w:rPr>
                <w:sz w:val="20"/>
                <w:szCs w:val="20"/>
                <w:color w:val="auto"/>
              </w:rPr>
            </w:pPr>
            <w:r>
              <w:rPr>
                <w:rFonts w:ascii="Arial" w:cs="Arial" w:eastAsia="Arial" w:hAnsi="Arial"/>
                <w:sz w:val="16"/>
                <w:szCs w:val="16"/>
                <w:color w:val="auto"/>
              </w:rPr>
              <w:t>Mine Safety Disclosures</w:t>
            </w:r>
          </w:p>
        </w:tc>
        <w:tc>
          <w:tcPr>
            <w:tcW w:w="1060" w:type="dxa"/>
            <w:vAlign w:val="bottom"/>
            <w:shd w:val="clear" w:color="auto" w:fill="CCEEFF"/>
          </w:tcPr>
          <w:p>
            <w:pPr>
              <w:jc w:val="right"/>
              <w:spacing w:after="0" w:line="174" w:lineRule="exact"/>
              <w:rPr>
                <w:sz w:val="20"/>
                <w:szCs w:val="20"/>
                <w:color w:val="auto"/>
              </w:rPr>
            </w:pPr>
            <w:r>
              <w:rPr>
                <w:rFonts w:ascii="Arial" w:cs="Arial" w:eastAsia="Arial" w:hAnsi="Arial"/>
                <w:sz w:val="16"/>
                <w:szCs w:val="16"/>
                <w:color w:val="auto"/>
              </w:rPr>
              <w:t>67</w:t>
            </w:r>
          </w:p>
        </w:tc>
      </w:tr>
      <w:tr>
        <w:trPr>
          <w:trHeight w:val="38"/>
        </w:trPr>
        <w:tc>
          <w:tcPr>
            <w:tcW w:w="420" w:type="dxa"/>
            <w:vAlign w:val="bottom"/>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8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73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r>
      <w:tr>
        <w:trPr>
          <w:trHeight w:val="165"/>
        </w:trPr>
        <w:tc>
          <w:tcPr>
            <w:tcW w:w="900" w:type="dxa"/>
            <w:vAlign w:val="bottom"/>
            <w:gridSpan w:val="3"/>
          </w:tcPr>
          <w:p>
            <w:pPr>
              <w:spacing w:after="0" w:line="165" w:lineRule="exact"/>
              <w:rPr>
                <w:rFonts w:ascii="Arial" w:cs="Arial" w:eastAsia="Arial" w:hAnsi="Arial"/>
                <w:sz w:val="16"/>
                <w:szCs w:val="16"/>
                <w:color w:val="0000EE"/>
              </w:rPr>
            </w:pPr>
            <w:hyperlink w:anchor="page70">
              <w:r>
                <w:rPr>
                  <w:rFonts w:ascii="Arial" w:cs="Arial" w:eastAsia="Arial" w:hAnsi="Arial"/>
                  <w:sz w:val="16"/>
                  <w:szCs w:val="16"/>
                  <w:color w:val="0000EE"/>
                </w:rPr>
                <w:t xml:space="preserve">Item 5 </w:t>
              </w:r>
            </w:hyperlink>
            <w:r>
              <w:rPr>
                <w:rFonts w:ascii="Arial" w:cs="Arial" w:eastAsia="Arial" w:hAnsi="Arial"/>
                <w:sz w:val="16"/>
                <w:szCs w:val="16"/>
                <w:color w:val="000000"/>
              </w:rPr>
              <w:t>—</w:t>
            </w:r>
          </w:p>
        </w:tc>
        <w:tc>
          <w:tcPr>
            <w:tcW w:w="9460" w:type="dxa"/>
            <w:vAlign w:val="bottom"/>
            <w:gridSpan w:val="3"/>
          </w:tcPr>
          <w:p>
            <w:pPr>
              <w:ind w:left="160"/>
              <w:spacing w:after="0" w:line="165" w:lineRule="exact"/>
              <w:rPr>
                <w:sz w:val="20"/>
                <w:szCs w:val="20"/>
                <w:color w:val="auto"/>
              </w:rPr>
            </w:pPr>
            <w:r>
              <w:rPr>
                <w:rFonts w:ascii="Arial" w:cs="Arial" w:eastAsia="Arial" w:hAnsi="Arial"/>
                <w:sz w:val="16"/>
                <w:szCs w:val="16"/>
                <w:color w:val="auto"/>
              </w:rPr>
              <w:t>Other Information</w:t>
            </w:r>
          </w:p>
        </w:tc>
        <w:tc>
          <w:tcPr>
            <w:tcW w:w="1060" w:type="dxa"/>
            <w:vAlign w:val="bottom"/>
          </w:tcPr>
          <w:p>
            <w:pPr>
              <w:jc w:val="right"/>
              <w:spacing w:after="0" w:line="165" w:lineRule="exact"/>
              <w:rPr>
                <w:sz w:val="20"/>
                <w:szCs w:val="20"/>
                <w:color w:val="auto"/>
              </w:rPr>
            </w:pPr>
            <w:r>
              <w:rPr>
                <w:rFonts w:ascii="Arial" w:cs="Arial" w:eastAsia="Arial" w:hAnsi="Arial"/>
                <w:sz w:val="16"/>
                <w:szCs w:val="16"/>
                <w:color w:val="auto"/>
              </w:rPr>
              <w:t>67</w:t>
            </w:r>
          </w:p>
        </w:tc>
      </w:tr>
      <w:tr>
        <w:trPr>
          <w:trHeight w:val="29"/>
        </w:trPr>
        <w:tc>
          <w:tcPr>
            <w:tcW w:w="42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74"/>
        </w:trPr>
        <w:tc>
          <w:tcPr>
            <w:tcW w:w="900" w:type="dxa"/>
            <w:vAlign w:val="bottom"/>
            <w:gridSpan w:val="3"/>
            <w:shd w:val="clear" w:color="auto" w:fill="CCEEFF"/>
          </w:tcPr>
          <w:p>
            <w:pPr>
              <w:spacing w:after="0" w:line="174" w:lineRule="exact"/>
              <w:rPr>
                <w:rFonts w:ascii="Arial" w:cs="Arial" w:eastAsia="Arial" w:hAnsi="Arial"/>
                <w:sz w:val="16"/>
                <w:szCs w:val="16"/>
                <w:color w:val="0000EE"/>
              </w:rPr>
            </w:pPr>
            <w:hyperlink w:anchor="page71">
              <w:r>
                <w:rPr>
                  <w:rFonts w:ascii="Arial" w:cs="Arial" w:eastAsia="Arial" w:hAnsi="Arial"/>
                  <w:sz w:val="16"/>
                  <w:szCs w:val="16"/>
                  <w:color w:val="0000EE"/>
                </w:rPr>
                <w:t xml:space="preserve">Item 6 </w:t>
              </w:r>
            </w:hyperlink>
            <w:r>
              <w:rPr>
                <w:rFonts w:ascii="Arial" w:cs="Arial" w:eastAsia="Arial" w:hAnsi="Arial"/>
                <w:sz w:val="16"/>
                <w:szCs w:val="16"/>
                <w:color w:val="000000"/>
              </w:rPr>
              <w:t>—</w:t>
            </w:r>
          </w:p>
        </w:tc>
        <w:tc>
          <w:tcPr>
            <w:tcW w:w="9460" w:type="dxa"/>
            <w:vAlign w:val="bottom"/>
            <w:gridSpan w:val="3"/>
            <w:shd w:val="clear" w:color="auto" w:fill="CCEEFF"/>
          </w:tcPr>
          <w:p>
            <w:pPr>
              <w:ind w:left="160"/>
              <w:spacing w:after="0" w:line="174" w:lineRule="exact"/>
              <w:rPr>
                <w:sz w:val="20"/>
                <w:szCs w:val="20"/>
                <w:color w:val="auto"/>
              </w:rPr>
            </w:pPr>
            <w:r>
              <w:rPr>
                <w:rFonts w:ascii="Arial" w:cs="Arial" w:eastAsia="Arial" w:hAnsi="Arial"/>
                <w:sz w:val="16"/>
                <w:szCs w:val="16"/>
                <w:color w:val="auto"/>
              </w:rPr>
              <w:t>Exhibits</w:t>
            </w:r>
          </w:p>
        </w:tc>
        <w:tc>
          <w:tcPr>
            <w:tcW w:w="1060" w:type="dxa"/>
            <w:vAlign w:val="bottom"/>
            <w:shd w:val="clear" w:color="auto" w:fill="CCEEFF"/>
          </w:tcPr>
          <w:p>
            <w:pPr>
              <w:jc w:val="right"/>
              <w:spacing w:after="0" w:line="174" w:lineRule="exact"/>
              <w:rPr>
                <w:sz w:val="20"/>
                <w:szCs w:val="20"/>
                <w:color w:val="auto"/>
              </w:rPr>
            </w:pPr>
            <w:r>
              <w:rPr>
                <w:rFonts w:ascii="Arial" w:cs="Arial" w:eastAsia="Arial" w:hAnsi="Arial"/>
                <w:sz w:val="16"/>
                <w:szCs w:val="16"/>
                <w:color w:val="auto"/>
              </w:rPr>
              <w:t>67</w:t>
            </w:r>
          </w:p>
        </w:tc>
      </w:tr>
      <w:tr>
        <w:trPr>
          <w:trHeight w:val="38"/>
        </w:trPr>
        <w:tc>
          <w:tcPr>
            <w:tcW w:w="420" w:type="dxa"/>
            <w:vAlign w:val="bottom"/>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8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73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r>
      <w:tr>
        <w:trPr>
          <w:trHeight w:val="209"/>
        </w:trPr>
        <w:tc>
          <w:tcPr>
            <w:tcW w:w="900" w:type="dxa"/>
            <w:vAlign w:val="bottom"/>
            <w:gridSpan w:val="3"/>
          </w:tcPr>
          <w:p>
            <w:pPr>
              <w:spacing w:after="0"/>
              <w:rPr>
                <w:sz w:val="20"/>
                <w:szCs w:val="20"/>
                <w:color w:val="auto"/>
              </w:rPr>
            </w:pPr>
            <w:r>
              <w:rPr>
                <w:rFonts w:ascii="Arial" w:cs="Arial" w:eastAsia="Arial" w:hAnsi="Arial"/>
                <w:sz w:val="16"/>
                <w:szCs w:val="16"/>
                <w:color w:val="auto"/>
              </w:rPr>
              <w:t>Signatures</w:t>
            </w:r>
          </w:p>
        </w:tc>
        <w:tc>
          <w:tcPr>
            <w:tcW w:w="1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99"/>
        </w:trPr>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32" w:right="23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u w:val="single" w:color="auto"/>
          <w:color w:val="auto"/>
        </w:rPr>
        <w:t>Forward-Looking Statements</w:t>
      </w:r>
    </w:p>
    <w:p>
      <w:pPr>
        <w:spacing w:after="0" w:line="162"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This Quarterly Report contains forward-looking statements within the meaning of the Private Securities Litigation Reform Act of 1995. The events described in forward-looking statements contained in this Quarterly Report may not occur. Generally, these statements relate to business plans or strategies, projected or anticipated results or other consequences of our plans or strategies, projected or anticipated results from acquisitions to be made by us, or projections involving anticipated revenues, earnings, costs or other aspects of our operating results. The words “may,” “will,” “expect,” “believe,” “anticipate,” “project,” “plan,” “intend,” “estimate,” and “continue,” and their opposites and similar expressions are intended to identify forward-looking statements. We caution you that these statements are not guarantees of future performance or events and are subject to a number of uncertainties, risks and other influences, many of which are beyond our control, which may influence the accuracy of the statements and the projections upon which the statements are based. Factors which may cause actual results and outcomes to differ materially from those contained in the forward-looking statements include, but are not limited to the risks and uncertainties discussed in Part I Item 1A of our Annual Report on Form 10-K for the year ended December 31, 2018.</w:t>
      </w:r>
    </w:p>
    <w:p>
      <w:pPr>
        <w:spacing w:after="0" w:line="11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Any one or more of these uncertainties, risks and other influences could materially affect our results of operations and whether forward-looking statements made by us ultimately prove to be accurate. Our actual results, performance and achievements could differ materially from those expressed or implied in these forward-looking statements. We undertake no obligation to publicly update or revise any forward-looking statements, whether from new information, future events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201930</wp:posOffset>
            </wp:positionV>
            <wp:extent cx="72548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532"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4"/>
        </w:trPr>
        <w:tc>
          <w:tcPr>
            <w:tcW w:w="15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940" w:type="dxa"/>
            <w:vAlign w:val="bottom"/>
            <w:gridSpan w:val="5"/>
          </w:tcPr>
          <w:p>
            <w:pPr>
              <w:jc w:val="right"/>
              <w:ind w:right="1743"/>
              <w:spacing w:after="0"/>
              <w:rPr>
                <w:sz w:val="20"/>
                <w:szCs w:val="20"/>
                <w:color w:val="auto"/>
              </w:rPr>
            </w:pPr>
            <w:r>
              <w:rPr>
                <w:rFonts w:ascii="Arial" w:cs="Arial" w:eastAsia="Arial" w:hAnsi="Arial"/>
                <w:sz w:val="16"/>
                <w:szCs w:val="16"/>
                <w:b w:val="1"/>
                <w:bCs w:val="1"/>
                <w:color w:val="auto"/>
              </w:rPr>
              <w:t>PART I. FINANCIAL INFORMATION</w:t>
            </w: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322"/>
        </w:trPr>
        <w:tc>
          <w:tcPr>
            <w:tcW w:w="1520" w:type="dxa"/>
            <w:vAlign w:val="bottom"/>
          </w:tcPr>
          <w:p>
            <w:pPr>
              <w:spacing w:after="0"/>
              <w:rPr>
                <w:sz w:val="20"/>
                <w:szCs w:val="20"/>
                <w:color w:val="auto"/>
              </w:rPr>
            </w:pPr>
            <w:r>
              <w:rPr>
                <w:rFonts w:ascii="Arial" w:cs="Arial" w:eastAsia="Arial" w:hAnsi="Arial"/>
                <w:sz w:val="16"/>
                <w:szCs w:val="16"/>
                <w:b w:val="1"/>
                <w:bCs w:val="1"/>
                <w:color w:val="auto"/>
              </w:rPr>
              <w:t>Item 1.</w:t>
            </w:r>
          </w:p>
        </w:tc>
        <w:tc>
          <w:tcPr>
            <w:tcW w:w="3420" w:type="dxa"/>
            <w:vAlign w:val="bottom"/>
            <w:gridSpan w:val="2"/>
          </w:tcPr>
          <w:p>
            <w:pPr>
              <w:spacing w:after="0"/>
              <w:rPr>
                <w:sz w:val="20"/>
                <w:szCs w:val="20"/>
                <w:color w:val="auto"/>
              </w:rPr>
            </w:pPr>
            <w:r>
              <w:rPr>
                <w:rFonts w:ascii="Arial" w:cs="Arial" w:eastAsia="Arial" w:hAnsi="Arial"/>
                <w:sz w:val="16"/>
                <w:szCs w:val="16"/>
                <w:b w:val="1"/>
                <w:bCs w:val="1"/>
                <w:color w:val="auto"/>
              </w:rPr>
              <w:t>Financial Statements</w:t>
            </w:r>
            <w:r>
              <w:rPr>
                <w:rFonts w:ascii="Arial" w:cs="Arial" w:eastAsia="Arial" w:hAnsi="Arial"/>
                <w:sz w:val="16"/>
                <w:szCs w:val="16"/>
                <w:color w:val="auto"/>
              </w:rPr>
              <w:t>.</w:t>
            </w:r>
          </w:p>
        </w:tc>
        <w:tc>
          <w:tcPr>
            <w:tcW w:w="17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83"/>
        </w:trPr>
        <w:tc>
          <w:tcPr>
            <w:tcW w:w="1520" w:type="dxa"/>
            <w:vAlign w:val="bottom"/>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9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780" w:type="dxa"/>
            <w:vAlign w:val="bottom"/>
            <w:gridSpan w:val="9"/>
          </w:tcPr>
          <w:p>
            <w:pPr>
              <w:jc w:val="right"/>
              <w:ind w:right="440"/>
              <w:spacing w:after="0"/>
              <w:rPr>
                <w:sz w:val="20"/>
                <w:szCs w:val="20"/>
                <w:color w:val="auto"/>
              </w:rPr>
            </w:pPr>
            <w:r>
              <w:rPr>
                <w:rFonts w:ascii="Arial" w:cs="Arial" w:eastAsia="Arial" w:hAnsi="Arial"/>
                <w:sz w:val="16"/>
                <w:szCs w:val="16"/>
                <w:b w:val="1"/>
                <w:bCs w:val="1"/>
                <w:color w:val="auto"/>
              </w:rPr>
              <w:t>KINGSTONE COMPANIES, INC. AND SUBSIDIARIES</w:t>
            </w:r>
          </w:p>
        </w:tc>
      </w:tr>
      <w:tr>
        <w:trPr>
          <w:trHeight w:val="236"/>
        </w:trPr>
        <w:tc>
          <w:tcPr>
            <w:tcW w:w="664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color w:val="auto"/>
              </w:rPr>
              <w:t>Condensed Consolidated Balance Sheets</w:t>
            </w:r>
          </w:p>
        </w:tc>
        <w:tc>
          <w:tcPr>
            <w:tcW w:w="4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r>
      <w:tr>
        <w:trPr>
          <w:trHeight w:val="245"/>
        </w:trPr>
        <w:tc>
          <w:tcPr>
            <w:tcW w:w="15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September 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December 31,</w:t>
            </w:r>
          </w:p>
        </w:tc>
      </w:tr>
      <w:tr>
        <w:trPr>
          <w:trHeight w:val="217"/>
        </w:trPr>
        <w:tc>
          <w:tcPr>
            <w:tcW w:w="15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8"/>
                <w:szCs w:val="18"/>
                <w:color w:val="auto"/>
              </w:rPr>
            </w:pPr>
          </w:p>
        </w:tc>
      </w:tr>
      <w:tr>
        <w:trPr>
          <w:trHeight w:val="225"/>
        </w:trPr>
        <w:tc>
          <w:tcPr>
            <w:tcW w:w="15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6"/>
                <w:szCs w:val="16"/>
                <w:color w:val="auto"/>
                <w:w w:val="96"/>
              </w:rPr>
              <w:t>(unaudited)</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8"/>
        </w:trPr>
        <w:tc>
          <w:tcPr>
            <w:tcW w:w="1520" w:type="dxa"/>
            <w:vAlign w:val="bottom"/>
          </w:tcPr>
          <w:p>
            <w:pPr>
              <w:ind w:left="40"/>
              <w:spacing w:after="0"/>
              <w:rPr>
                <w:sz w:val="20"/>
                <w:szCs w:val="20"/>
                <w:color w:val="auto"/>
              </w:rPr>
            </w:pPr>
            <w:r>
              <w:rPr>
                <w:rFonts w:ascii="Arial" w:cs="Arial" w:eastAsia="Arial" w:hAnsi="Arial"/>
                <w:sz w:val="16"/>
                <w:szCs w:val="16"/>
                <w:b w:val="1"/>
                <w:bCs w:val="1"/>
                <w:color w:val="auto"/>
              </w:rPr>
              <w:t>Asset</w:t>
            </w:r>
            <w:r>
              <w:rPr>
                <w:rFonts w:ascii="Arial" w:cs="Arial" w:eastAsia="Arial" w:hAnsi="Arial"/>
                <w:sz w:val="16"/>
                <w:szCs w:val="16"/>
                <w:color w:val="auto"/>
              </w:rPr>
              <w:t>s</w:t>
            </w:r>
          </w:p>
        </w:tc>
        <w:tc>
          <w:tcPr>
            <w:tcW w:w="14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9"/>
        </w:trPr>
        <w:tc>
          <w:tcPr>
            <w:tcW w:w="6640" w:type="dxa"/>
            <w:vAlign w:val="bottom"/>
            <w:gridSpan w:val="4"/>
          </w:tcPr>
          <w:p>
            <w:pPr>
              <w:ind w:left="160"/>
              <w:spacing w:after="0"/>
              <w:rPr>
                <w:sz w:val="20"/>
                <w:szCs w:val="20"/>
                <w:color w:val="auto"/>
              </w:rPr>
            </w:pPr>
            <w:r>
              <w:rPr>
                <w:rFonts w:ascii="Arial" w:cs="Arial" w:eastAsia="Arial" w:hAnsi="Arial"/>
                <w:sz w:val="16"/>
                <w:szCs w:val="16"/>
                <w:color w:val="auto"/>
              </w:rPr>
              <w:t>Fixed-maturity securities, held-to-maturity, at amortized cost (fair value of</w:t>
            </w:r>
          </w:p>
        </w:tc>
        <w:tc>
          <w:tcPr>
            <w:tcW w:w="4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04"/>
        </w:trPr>
        <w:tc>
          <w:tcPr>
            <w:tcW w:w="6640" w:type="dxa"/>
            <w:vAlign w:val="bottom"/>
            <w:gridSpan w:val="4"/>
            <w:shd w:val="clear" w:color="auto" w:fill="CCEEFF"/>
          </w:tcPr>
          <w:p>
            <w:pPr>
              <w:ind w:left="420"/>
              <w:spacing w:after="0"/>
              <w:rPr>
                <w:sz w:val="20"/>
                <w:szCs w:val="20"/>
                <w:color w:val="auto"/>
              </w:rPr>
            </w:pPr>
            <w:r>
              <w:rPr>
                <w:rFonts w:ascii="Arial" w:cs="Arial" w:eastAsia="Arial" w:hAnsi="Arial"/>
                <w:sz w:val="16"/>
                <w:szCs w:val="16"/>
                <w:color w:val="auto"/>
              </w:rPr>
              <w:t>$4,127,384 at September 30, 2019 and $4,426,416 at December 31, 2018)</w:t>
            </w:r>
          </w:p>
        </w:tc>
        <w:tc>
          <w:tcPr>
            <w:tcW w:w="2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3,825,505</w:t>
            </w:r>
          </w:p>
        </w:tc>
        <w:tc>
          <w:tcPr>
            <w:tcW w:w="1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4,222,855</w:t>
            </w:r>
          </w:p>
        </w:tc>
      </w:tr>
      <w:tr>
        <w:trPr>
          <w:trHeight w:val="227"/>
        </w:trPr>
        <w:tc>
          <w:tcPr>
            <w:tcW w:w="6640" w:type="dxa"/>
            <w:vAlign w:val="bottom"/>
            <w:gridSpan w:val="4"/>
          </w:tcPr>
          <w:p>
            <w:pPr>
              <w:ind w:left="140"/>
              <w:spacing w:after="0"/>
              <w:rPr>
                <w:sz w:val="20"/>
                <w:szCs w:val="20"/>
                <w:color w:val="auto"/>
              </w:rPr>
            </w:pPr>
            <w:r>
              <w:rPr>
                <w:rFonts w:ascii="Arial" w:cs="Arial" w:eastAsia="Arial" w:hAnsi="Arial"/>
                <w:sz w:val="16"/>
                <w:szCs w:val="16"/>
                <w:color w:val="auto"/>
              </w:rPr>
              <w:t>Fixed-maturity securities, available-for-sale, at fair value (amortized cost of</w:t>
            </w:r>
          </w:p>
        </w:tc>
        <w:tc>
          <w:tcPr>
            <w:tcW w:w="4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04"/>
        </w:trPr>
        <w:tc>
          <w:tcPr>
            <w:tcW w:w="6640" w:type="dxa"/>
            <w:vAlign w:val="bottom"/>
            <w:gridSpan w:val="4"/>
            <w:shd w:val="clear" w:color="auto" w:fill="CCEEFF"/>
          </w:tcPr>
          <w:p>
            <w:pPr>
              <w:ind w:left="420"/>
              <w:spacing w:after="0"/>
              <w:rPr>
                <w:sz w:val="20"/>
                <w:szCs w:val="20"/>
                <w:color w:val="auto"/>
              </w:rPr>
            </w:pPr>
            <w:r>
              <w:rPr>
                <w:rFonts w:ascii="Arial" w:cs="Arial" w:eastAsia="Arial" w:hAnsi="Arial"/>
                <w:sz w:val="16"/>
                <w:szCs w:val="16"/>
                <w:color w:val="auto"/>
              </w:rPr>
              <w:t>$160,601,004 at September 30, 2019 and $155,431,261 at December 31, 2018)</w:t>
            </w:r>
          </w:p>
        </w:tc>
        <w:tc>
          <w:tcPr>
            <w:tcW w:w="4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166,220,711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151,777,516</w:t>
            </w:r>
          </w:p>
        </w:tc>
      </w:tr>
      <w:tr>
        <w:trPr>
          <w:trHeight w:val="227"/>
        </w:trPr>
        <w:tc>
          <w:tcPr>
            <w:tcW w:w="6640" w:type="dxa"/>
            <w:vAlign w:val="bottom"/>
            <w:gridSpan w:val="4"/>
          </w:tcPr>
          <w:p>
            <w:pPr>
              <w:ind w:left="140"/>
              <w:spacing w:after="0"/>
              <w:rPr>
                <w:sz w:val="20"/>
                <w:szCs w:val="20"/>
                <w:color w:val="auto"/>
              </w:rPr>
            </w:pPr>
            <w:r>
              <w:rPr>
                <w:rFonts w:ascii="Arial" w:cs="Arial" w:eastAsia="Arial" w:hAnsi="Arial"/>
                <w:sz w:val="16"/>
                <w:szCs w:val="16"/>
                <w:color w:val="auto"/>
              </w:rPr>
              <w:t>Equity securities, at fair value (cost of $22,070,565 at September 30, 2019 and</w:t>
            </w:r>
          </w:p>
        </w:tc>
        <w:tc>
          <w:tcPr>
            <w:tcW w:w="4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04"/>
        </w:trPr>
        <w:tc>
          <w:tcPr>
            <w:tcW w:w="6640" w:type="dxa"/>
            <w:vAlign w:val="bottom"/>
            <w:gridSpan w:val="4"/>
            <w:shd w:val="clear" w:color="auto" w:fill="CCEEFF"/>
          </w:tcPr>
          <w:p>
            <w:pPr>
              <w:ind w:left="380"/>
              <w:spacing w:after="0"/>
              <w:rPr>
                <w:sz w:val="20"/>
                <w:szCs w:val="20"/>
                <w:color w:val="auto"/>
              </w:rPr>
            </w:pPr>
            <w:r>
              <w:rPr>
                <w:rFonts w:ascii="Arial" w:cs="Arial" w:eastAsia="Arial" w:hAnsi="Arial"/>
                <w:sz w:val="16"/>
                <w:szCs w:val="16"/>
                <w:color w:val="auto"/>
              </w:rPr>
              <w:t>$18,305,986 at December 31, 2018)</w:t>
            </w:r>
          </w:p>
        </w:tc>
        <w:tc>
          <w:tcPr>
            <w:tcW w:w="4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23,499,199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16,572,616</w:t>
            </w:r>
          </w:p>
        </w:tc>
      </w:tr>
      <w:tr>
        <w:trPr>
          <w:trHeight w:val="203"/>
        </w:trPr>
        <w:tc>
          <w:tcPr>
            <w:tcW w:w="1520" w:type="dxa"/>
            <w:vAlign w:val="bottom"/>
          </w:tcPr>
          <w:p>
            <w:pPr>
              <w:ind w:left="160"/>
              <w:spacing w:after="0"/>
              <w:rPr>
                <w:sz w:val="20"/>
                <w:szCs w:val="20"/>
                <w:color w:val="auto"/>
              </w:rPr>
            </w:pPr>
            <w:r>
              <w:rPr>
                <w:rFonts w:ascii="Arial" w:cs="Arial" w:eastAsia="Arial" w:hAnsi="Arial"/>
                <w:sz w:val="16"/>
                <w:szCs w:val="16"/>
                <w:color w:val="auto"/>
              </w:rPr>
              <w:t>Other investments</w:t>
            </w:r>
          </w:p>
        </w:tc>
        <w:tc>
          <w:tcPr>
            <w:tcW w:w="14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2,425,904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1,855,225</w:t>
            </w:r>
          </w:p>
        </w:tc>
      </w:tr>
      <w:tr>
        <w:trPr>
          <w:trHeight w:val="25"/>
        </w:trPr>
        <w:tc>
          <w:tcPr>
            <w:tcW w:w="15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03"/>
        </w:trPr>
        <w:tc>
          <w:tcPr>
            <w:tcW w:w="15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Total investments</w:t>
            </w:r>
          </w:p>
        </w:tc>
        <w:tc>
          <w:tcPr>
            <w:tcW w:w="148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195,971,319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174,428,212</w:t>
            </w:r>
          </w:p>
        </w:tc>
      </w:tr>
      <w:tr>
        <w:trPr>
          <w:trHeight w:val="203"/>
        </w:trPr>
        <w:tc>
          <w:tcPr>
            <w:tcW w:w="6640" w:type="dxa"/>
            <w:vAlign w:val="bottom"/>
            <w:gridSpan w:val="4"/>
          </w:tcPr>
          <w:p>
            <w:pPr>
              <w:ind w:left="160"/>
              <w:spacing w:after="0"/>
              <w:rPr>
                <w:sz w:val="20"/>
                <w:szCs w:val="20"/>
                <w:color w:val="auto"/>
              </w:rPr>
            </w:pPr>
            <w:r>
              <w:rPr>
                <w:rFonts w:ascii="Arial" w:cs="Arial" w:eastAsia="Arial" w:hAnsi="Arial"/>
                <w:sz w:val="16"/>
                <w:szCs w:val="16"/>
                <w:color w:val="auto"/>
              </w:rPr>
              <w:t>Cash and cash equivalents</w:t>
            </w:r>
          </w:p>
        </w:tc>
        <w:tc>
          <w:tcPr>
            <w:tcW w:w="4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25,639,050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21,138,403</w:t>
            </w:r>
          </w:p>
        </w:tc>
      </w:tr>
      <w:tr>
        <w:trPr>
          <w:trHeight w:val="203"/>
        </w:trPr>
        <w:tc>
          <w:tcPr>
            <w:tcW w:w="6640" w:type="dxa"/>
            <w:vAlign w:val="bottom"/>
            <w:gridSpan w:val="4"/>
            <w:shd w:val="clear" w:color="auto" w:fill="CCEEFF"/>
          </w:tcPr>
          <w:p>
            <w:pPr>
              <w:ind w:left="160"/>
              <w:spacing w:after="0"/>
              <w:rPr>
                <w:sz w:val="20"/>
                <w:szCs w:val="20"/>
                <w:color w:val="auto"/>
              </w:rPr>
            </w:pPr>
            <w:r>
              <w:rPr>
                <w:rFonts w:ascii="Arial" w:cs="Arial" w:eastAsia="Arial" w:hAnsi="Arial"/>
                <w:sz w:val="16"/>
                <w:szCs w:val="16"/>
                <w:color w:val="auto"/>
              </w:rPr>
              <w:t>Premiums receivable, net</w:t>
            </w:r>
          </w:p>
        </w:tc>
        <w:tc>
          <w:tcPr>
            <w:tcW w:w="4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14,352,521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13,961,599</w:t>
            </w:r>
          </w:p>
        </w:tc>
      </w:tr>
      <w:tr>
        <w:trPr>
          <w:trHeight w:val="203"/>
        </w:trPr>
        <w:tc>
          <w:tcPr>
            <w:tcW w:w="6640" w:type="dxa"/>
            <w:vAlign w:val="bottom"/>
            <w:gridSpan w:val="4"/>
          </w:tcPr>
          <w:p>
            <w:pPr>
              <w:ind w:left="160"/>
              <w:spacing w:after="0"/>
              <w:rPr>
                <w:sz w:val="20"/>
                <w:szCs w:val="20"/>
                <w:color w:val="auto"/>
              </w:rPr>
            </w:pPr>
            <w:r>
              <w:rPr>
                <w:rFonts w:ascii="Arial" w:cs="Arial" w:eastAsia="Arial" w:hAnsi="Arial"/>
                <w:sz w:val="16"/>
                <w:szCs w:val="16"/>
                <w:color w:val="auto"/>
              </w:rPr>
              <w:t>Reinsurance receivables, net</w:t>
            </w:r>
          </w:p>
        </w:tc>
        <w:tc>
          <w:tcPr>
            <w:tcW w:w="4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26,580,449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26,367,115</w:t>
            </w:r>
          </w:p>
        </w:tc>
      </w:tr>
      <w:tr>
        <w:trPr>
          <w:trHeight w:val="203"/>
        </w:trPr>
        <w:tc>
          <w:tcPr>
            <w:tcW w:w="6640" w:type="dxa"/>
            <w:vAlign w:val="bottom"/>
            <w:gridSpan w:val="4"/>
            <w:shd w:val="clear" w:color="auto" w:fill="CCEEFF"/>
          </w:tcPr>
          <w:p>
            <w:pPr>
              <w:ind w:left="160"/>
              <w:spacing w:after="0"/>
              <w:rPr>
                <w:sz w:val="20"/>
                <w:szCs w:val="20"/>
                <w:color w:val="auto"/>
              </w:rPr>
            </w:pPr>
            <w:r>
              <w:rPr>
                <w:rFonts w:ascii="Arial" w:cs="Arial" w:eastAsia="Arial" w:hAnsi="Arial"/>
                <w:sz w:val="16"/>
                <w:szCs w:val="16"/>
                <w:color w:val="auto"/>
              </w:rPr>
              <w:t>Deferred policy acquisition costs</w:t>
            </w:r>
          </w:p>
        </w:tc>
        <w:tc>
          <w:tcPr>
            <w:tcW w:w="4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20,491,568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17,907,737</w:t>
            </w:r>
          </w:p>
        </w:tc>
      </w:tr>
      <w:tr>
        <w:trPr>
          <w:trHeight w:val="203"/>
        </w:trPr>
        <w:tc>
          <w:tcPr>
            <w:tcW w:w="6640" w:type="dxa"/>
            <w:vAlign w:val="bottom"/>
            <w:gridSpan w:val="4"/>
          </w:tcPr>
          <w:p>
            <w:pPr>
              <w:ind w:left="160"/>
              <w:spacing w:after="0"/>
              <w:rPr>
                <w:sz w:val="20"/>
                <w:szCs w:val="20"/>
                <w:color w:val="auto"/>
              </w:rPr>
            </w:pPr>
            <w:r>
              <w:rPr>
                <w:rFonts w:ascii="Arial" w:cs="Arial" w:eastAsia="Arial" w:hAnsi="Arial"/>
                <w:sz w:val="16"/>
                <w:szCs w:val="16"/>
                <w:color w:val="auto"/>
              </w:rPr>
              <w:t>Intangible assets, net</w:t>
            </w:r>
          </w:p>
        </w:tc>
        <w:tc>
          <w:tcPr>
            <w:tcW w:w="4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500,000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670,000</w:t>
            </w:r>
          </w:p>
        </w:tc>
      </w:tr>
      <w:tr>
        <w:trPr>
          <w:trHeight w:val="203"/>
        </w:trPr>
        <w:tc>
          <w:tcPr>
            <w:tcW w:w="6640" w:type="dxa"/>
            <w:vAlign w:val="bottom"/>
            <w:gridSpan w:val="4"/>
            <w:shd w:val="clear" w:color="auto" w:fill="CCEEFF"/>
          </w:tcPr>
          <w:p>
            <w:pPr>
              <w:ind w:left="160"/>
              <w:spacing w:after="0"/>
              <w:rPr>
                <w:sz w:val="20"/>
                <w:szCs w:val="20"/>
                <w:color w:val="auto"/>
              </w:rPr>
            </w:pPr>
            <w:r>
              <w:rPr>
                <w:rFonts w:ascii="Arial" w:cs="Arial" w:eastAsia="Arial" w:hAnsi="Arial"/>
                <w:sz w:val="16"/>
                <w:szCs w:val="16"/>
                <w:color w:val="auto"/>
              </w:rPr>
              <w:t>Property and equipment, net</w:t>
            </w:r>
          </w:p>
        </w:tc>
        <w:tc>
          <w:tcPr>
            <w:tcW w:w="4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7,582,210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6,056,929</w:t>
            </w:r>
          </w:p>
        </w:tc>
      </w:tr>
      <w:tr>
        <w:trPr>
          <w:trHeight w:val="203"/>
        </w:trPr>
        <w:tc>
          <w:tcPr>
            <w:tcW w:w="6640" w:type="dxa"/>
            <w:vAlign w:val="bottom"/>
            <w:gridSpan w:val="4"/>
          </w:tcPr>
          <w:p>
            <w:pPr>
              <w:ind w:left="160"/>
              <w:spacing w:after="0"/>
              <w:rPr>
                <w:sz w:val="20"/>
                <w:szCs w:val="20"/>
                <w:color w:val="auto"/>
              </w:rPr>
            </w:pPr>
            <w:r>
              <w:rPr>
                <w:rFonts w:ascii="Arial" w:cs="Arial" w:eastAsia="Arial" w:hAnsi="Arial"/>
                <w:sz w:val="16"/>
                <w:szCs w:val="16"/>
                <w:color w:val="auto"/>
              </w:rPr>
              <w:t>Deferred income taxes, net</w:t>
            </w:r>
          </w:p>
        </w:tc>
        <w:tc>
          <w:tcPr>
            <w:tcW w:w="4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540,295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354,233</w:t>
            </w:r>
          </w:p>
        </w:tc>
      </w:tr>
      <w:tr>
        <w:trPr>
          <w:trHeight w:val="203"/>
        </w:trPr>
        <w:tc>
          <w:tcPr>
            <w:tcW w:w="15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 assets</w:t>
            </w:r>
          </w:p>
        </w:tc>
        <w:tc>
          <w:tcPr>
            <w:tcW w:w="148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6,762,909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5,867,850</w:t>
            </w:r>
          </w:p>
        </w:tc>
      </w:tr>
      <w:tr>
        <w:trPr>
          <w:trHeight w:val="25"/>
        </w:trPr>
        <w:tc>
          <w:tcPr>
            <w:tcW w:w="15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03"/>
        </w:trPr>
        <w:tc>
          <w:tcPr>
            <w:tcW w:w="1520" w:type="dxa"/>
            <w:vAlign w:val="bottom"/>
          </w:tcPr>
          <w:p>
            <w:pPr>
              <w:ind w:left="40"/>
              <w:spacing w:after="0"/>
              <w:rPr>
                <w:sz w:val="20"/>
                <w:szCs w:val="20"/>
                <w:color w:val="auto"/>
              </w:rPr>
            </w:pPr>
            <w:r>
              <w:rPr>
                <w:rFonts w:ascii="Arial" w:cs="Arial" w:eastAsia="Arial" w:hAnsi="Arial"/>
                <w:sz w:val="16"/>
                <w:szCs w:val="16"/>
                <w:b w:val="1"/>
                <w:bCs w:val="1"/>
                <w:color w:val="auto"/>
              </w:rPr>
              <w:t>Total assets</w:t>
            </w:r>
          </w:p>
        </w:tc>
        <w:tc>
          <w:tcPr>
            <w:tcW w:w="14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180" w:type="dxa"/>
            <w:vAlign w:val="bottom"/>
            <w:gridSpan w:val="2"/>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298,420,321</w:t>
            </w:r>
          </w:p>
        </w:tc>
        <w:tc>
          <w:tcPr>
            <w:tcW w:w="160" w:type="dxa"/>
            <w:vAlign w:val="bottom"/>
          </w:tcPr>
          <w:p>
            <w:pPr>
              <w:spacing w:after="0"/>
              <w:rPr>
                <w:sz w:val="17"/>
                <w:szCs w:val="17"/>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266,752,078</w:t>
            </w:r>
          </w:p>
        </w:tc>
      </w:tr>
      <w:tr>
        <w:trPr>
          <w:trHeight w:val="20"/>
        </w:trPr>
        <w:tc>
          <w:tcPr>
            <w:tcW w:w="1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3"/>
        </w:trPr>
        <w:tc>
          <w:tcPr>
            <w:tcW w:w="15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03"/>
        </w:trPr>
        <w:tc>
          <w:tcPr>
            <w:tcW w:w="1520" w:type="dxa"/>
            <w:vAlign w:val="bottom"/>
          </w:tcPr>
          <w:p>
            <w:pPr>
              <w:ind w:left="40"/>
              <w:spacing w:after="0"/>
              <w:rPr>
                <w:sz w:val="20"/>
                <w:szCs w:val="20"/>
                <w:color w:val="auto"/>
              </w:rPr>
            </w:pPr>
            <w:r>
              <w:rPr>
                <w:rFonts w:ascii="Arial" w:cs="Arial" w:eastAsia="Arial" w:hAnsi="Arial"/>
                <w:sz w:val="16"/>
                <w:szCs w:val="16"/>
                <w:b w:val="1"/>
                <w:bCs w:val="1"/>
                <w:color w:val="auto"/>
              </w:rPr>
              <w:t>Liabilitie</w:t>
            </w:r>
            <w:r>
              <w:rPr>
                <w:rFonts w:ascii="Arial" w:cs="Arial" w:eastAsia="Arial" w:hAnsi="Arial"/>
                <w:sz w:val="16"/>
                <w:szCs w:val="16"/>
                <w:color w:val="auto"/>
              </w:rPr>
              <w:t>s</w:t>
            </w:r>
          </w:p>
        </w:tc>
        <w:tc>
          <w:tcPr>
            <w:tcW w:w="14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6640" w:type="dxa"/>
            <w:vAlign w:val="bottom"/>
            <w:gridSpan w:val="4"/>
            <w:shd w:val="clear" w:color="auto" w:fill="CCEEFF"/>
          </w:tcPr>
          <w:p>
            <w:pPr>
              <w:ind w:left="160"/>
              <w:spacing w:after="0"/>
              <w:rPr>
                <w:sz w:val="20"/>
                <w:szCs w:val="20"/>
                <w:color w:val="auto"/>
              </w:rPr>
            </w:pPr>
            <w:r>
              <w:rPr>
                <w:rFonts w:ascii="Arial" w:cs="Arial" w:eastAsia="Arial" w:hAnsi="Arial"/>
                <w:sz w:val="16"/>
                <w:szCs w:val="16"/>
                <w:color w:val="auto"/>
              </w:rPr>
              <w:t>Loss and loss adjustment expense reserves</w:t>
            </w:r>
          </w:p>
        </w:tc>
        <w:tc>
          <w:tcPr>
            <w:tcW w:w="2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77,409,423</w:t>
            </w:r>
          </w:p>
        </w:tc>
        <w:tc>
          <w:tcPr>
            <w:tcW w:w="1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56,197,106</w:t>
            </w:r>
          </w:p>
        </w:tc>
      </w:tr>
      <w:tr>
        <w:trPr>
          <w:trHeight w:val="203"/>
        </w:trPr>
        <w:tc>
          <w:tcPr>
            <w:tcW w:w="1520" w:type="dxa"/>
            <w:vAlign w:val="bottom"/>
          </w:tcPr>
          <w:p>
            <w:pPr>
              <w:ind w:left="160"/>
              <w:spacing w:after="0"/>
              <w:rPr>
                <w:sz w:val="20"/>
                <w:szCs w:val="20"/>
                <w:color w:val="auto"/>
              </w:rPr>
            </w:pPr>
            <w:r>
              <w:rPr>
                <w:rFonts w:ascii="Arial" w:cs="Arial" w:eastAsia="Arial" w:hAnsi="Arial"/>
                <w:sz w:val="16"/>
                <w:szCs w:val="16"/>
                <w:color w:val="auto"/>
                <w:w w:val="92"/>
              </w:rPr>
              <w:t>Unearned premiums</w:t>
            </w:r>
          </w:p>
        </w:tc>
        <w:tc>
          <w:tcPr>
            <w:tcW w:w="14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90,068,683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79,032,131</w:t>
            </w:r>
          </w:p>
        </w:tc>
      </w:tr>
      <w:tr>
        <w:trPr>
          <w:trHeight w:val="203"/>
        </w:trPr>
        <w:tc>
          <w:tcPr>
            <w:tcW w:w="152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7"/>
              </w:rPr>
              <w:t>Advance premiums</w:t>
            </w:r>
          </w:p>
        </w:tc>
        <w:tc>
          <w:tcPr>
            <w:tcW w:w="148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3,737,491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2,107,629</w:t>
            </w:r>
          </w:p>
        </w:tc>
      </w:tr>
      <w:tr>
        <w:trPr>
          <w:trHeight w:val="203"/>
        </w:trPr>
        <w:tc>
          <w:tcPr>
            <w:tcW w:w="6640" w:type="dxa"/>
            <w:vAlign w:val="bottom"/>
            <w:gridSpan w:val="4"/>
          </w:tcPr>
          <w:p>
            <w:pPr>
              <w:ind w:left="160"/>
              <w:spacing w:after="0"/>
              <w:rPr>
                <w:sz w:val="20"/>
                <w:szCs w:val="20"/>
                <w:color w:val="auto"/>
              </w:rPr>
            </w:pPr>
            <w:r>
              <w:rPr>
                <w:rFonts w:ascii="Arial" w:cs="Arial" w:eastAsia="Arial" w:hAnsi="Arial"/>
                <w:sz w:val="16"/>
                <w:szCs w:val="16"/>
                <w:color w:val="auto"/>
              </w:rPr>
              <w:t>Reinsurance balances payable</w:t>
            </w:r>
          </w:p>
        </w:tc>
        <w:tc>
          <w:tcPr>
            <w:tcW w:w="4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809,836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1,933,376</w:t>
            </w:r>
          </w:p>
        </w:tc>
      </w:tr>
      <w:tr>
        <w:trPr>
          <w:trHeight w:val="203"/>
        </w:trPr>
        <w:tc>
          <w:tcPr>
            <w:tcW w:w="6640" w:type="dxa"/>
            <w:vAlign w:val="bottom"/>
            <w:gridSpan w:val="4"/>
            <w:shd w:val="clear" w:color="auto" w:fill="CCEEFF"/>
          </w:tcPr>
          <w:p>
            <w:pPr>
              <w:ind w:left="160"/>
              <w:spacing w:after="0"/>
              <w:rPr>
                <w:sz w:val="20"/>
                <w:szCs w:val="20"/>
                <w:color w:val="auto"/>
              </w:rPr>
            </w:pPr>
            <w:r>
              <w:rPr>
                <w:rFonts w:ascii="Arial" w:cs="Arial" w:eastAsia="Arial" w:hAnsi="Arial"/>
                <w:sz w:val="16"/>
                <w:szCs w:val="16"/>
                <w:color w:val="auto"/>
              </w:rPr>
              <w:t>Deferred ceding commission revenue</w:t>
            </w:r>
          </w:p>
        </w:tc>
        <w:tc>
          <w:tcPr>
            <w:tcW w:w="4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1,828,872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2,686,677</w:t>
            </w:r>
          </w:p>
        </w:tc>
      </w:tr>
      <w:tr>
        <w:trPr>
          <w:trHeight w:val="203"/>
        </w:trPr>
        <w:tc>
          <w:tcPr>
            <w:tcW w:w="6640" w:type="dxa"/>
            <w:vAlign w:val="bottom"/>
            <w:gridSpan w:val="4"/>
          </w:tcPr>
          <w:p>
            <w:pPr>
              <w:ind w:left="160"/>
              <w:spacing w:after="0"/>
              <w:rPr>
                <w:sz w:val="20"/>
                <w:szCs w:val="20"/>
                <w:color w:val="auto"/>
              </w:rPr>
            </w:pPr>
            <w:r>
              <w:rPr>
                <w:rFonts w:ascii="Arial" w:cs="Arial" w:eastAsia="Arial" w:hAnsi="Arial"/>
                <w:sz w:val="16"/>
                <w:szCs w:val="16"/>
                <w:color w:val="auto"/>
              </w:rPr>
              <w:t>Accounts payable, accrued expenses and other liabilities</w:t>
            </w:r>
          </w:p>
        </w:tc>
        <w:tc>
          <w:tcPr>
            <w:tcW w:w="4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8,403,012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6,819,231</w:t>
            </w:r>
          </w:p>
        </w:tc>
      </w:tr>
      <w:tr>
        <w:trPr>
          <w:trHeight w:val="203"/>
        </w:trPr>
        <w:tc>
          <w:tcPr>
            <w:tcW w:w="6640" w:type="dxa"/>
            <w:vAlign w:val="bottom"/>
            <w:gridSpan w:val="4"/>
            <w:shd w:val="clear" w:color="auto" w:fill="CCEEFF"/>
          </w:tcPr>
          <w:p>
            <w:pPr>
              <w:ind w:left="160"/>
              <w:spacing w:after="0"/>
              <w:rPr>
                <w:sz w:val="20"/>
                <w:szCs w:val="20"/>
                <w:color w:val="auto"/>
              </w:rPr>
            </w:pPr>
            <w:r>
              <w:rPr>
                <w:rFonts w:ascii="Arial" w:cs="Arial" w:eastAsia="Arial" w:hAnsi="Arial"/>
                <w:sz w:val="16"/>
                <w:szCs w:val="16"/>
                <w:color w:val="auto"/>
              </w:rPr>
              <w:t>Income taxes payable</w:t>
            </w:r>
          </w:p>
        </w:tc>
        <w:tc>
          <w:tcPr>
            <w:tcW w:w="4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15,035</w:t>
            </w:r>
          </w:p>
        </w:tc>
      </w:tr>
      <w:tr>
        <w:trPr>
          <w:trHeight w:val="203"/>
        </w:trPr>
        <w:tc>
          <w:tcPr>
            <w:tcW w:w="1520" w:type="dxa"/>
            <w:vAlign w:val="bottom"/>
          </w:tcPr>
          <w:p>
            <w:pPr>
              <w:ind w:left="160"/>
              <w:spacing w:after="0"/>
              <w:rPr>
                <w:sz w:val="20"/>
                <w:szCs w:val="20"/>
                <w:color w:val="auto"/>
              </w:rPr>
            </w:pPr>
            <w:r>
              <w:rPr>
                <w:rFonts w:ascii="Arial" w:cs="Arial" w:eastAsia="Arial" w:hAnsi="Arial"/>
                <w:sz w:val="16"/>
                <w:szCs w:val="16"/>
                <w:color w:val="auto"/>
                <w:w w:val="95"/>
              </w:rPr>
              <w:t>Long-term debt, net</w:t>
            </w:r>
          </w:p>
        </w:tc>
        <w:tc>
          <w:tcPr>
            <w:tcW w:w="14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29,427,386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29,295,251</w:t>
            </w:r>
          </w:p>
        </w:tc>
      </w:tr>
      <w:tr>
        <w:trPr>
          <w:trHeight w:val="25"/>
        </w:trPr>
        <w:tc>
          <w:tcPr>
            <w:tcW w:w="15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08"/>
        </w:trPr>
        <w:tc>
          <w:tcPr>
            <w:tcW w:w="15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w:t>
            </w:r>
            <w:r>
              <w:rPr>
                <w:rFonts w:ascii="Arial" w:cs="Arial" w:eastAsia="Arial" w:hAnsi="Arial"/>
                <w:sz w:val="16"/>
                <w:szCs w:val="16"/>
                <w:color w:val="auto"/>
              </w:rPr>
              <w:t>s</w:t>
            </w:r>
          </w:p>
        </w:tc>
        <w:tc>
          <w:tcPr>
            <w:tcW w:w="14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211,684,703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178,086,436</w:t>
            </w:r>
          </w:p>
        </w:tc>
      </w:tr>
      <w:tr>
        <w:trPr>
          <w:trHeight w:val="203"/>
        </w:trPr>
        <w:tc>
          <w:tcPr>
            <w:tcW w:w="3000" w:type="dxa"/>
            <w:vAlign w:val="bottom"/>
            <w:tcBorders>
              <w:top w:val="single" w:sz="8" w:color="CCEEFF"/>
            </w:tcBorders>
            <w:gridSpan w:val="2"/>
          </w:tcPr>
          <w:p>
            <w:pPr>
              <w:spacing w:after="0"/>
              <w:rPr>
                <w:sz w:val="17"/>
                <w:szCs w:val="17"/>
                <w:color w:val="auto"/>
              </w:rPr>
            </w:pPr>
          </w:p>
        </w:tc>
        <w:tc>
          <w:tcPr>
            <w:tcW w:w="1940" w:type="dxa"/>
            <w:vAlign w:val="bottom"/>
            <w:tcBorders>
              <w:top w:val="single" w:sz="8" w:color="CCEEFF"/>
            </w:tcBorders>
          </w:tcPr>
          <w:p>
            <w:pPr>
              <w:spacing w:after="0"/>
              <w:rPr>
                <w:sz w:val="17"/>
                <w:szCs w:val="17"/>
                <w:color w:val="auto"/>
              </w:rPr>
            </w:pPr>
          </w:p>
        </w:tc>
        <w:tc>
          <w:tcPr>
            <w:tcW w:w="170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17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r>
      <w:tr>
        <w:trPr>
          <w:trHeight w:val="203"/>
        </w:trPr>
        <w:tc>
          <w:tcPr>
            <w:tcW w:w="6640" w:type="dxa"/>
            <w:vAlign w:val="bottom"/>
            <w:gridSpan w:val="4"/>
            <w:shd w:val="clear" w:color="auto" w:fill="CCEEFF"/>
          </w:tcPr>
          <w:p>
            <w:pPr>
              <w:ind w:left="40"/>
              <w:spacing w:after="0"/>
              <w:rPr>
                <w:sz w:val="20"/>
                <w:szCs w:val="20"/>
                <w:color w:val="auto"/>
              </w:rPr>
            </w:pPr>
            <w:r>
              <w:rPr>
                <w:rFonts w:ascii="Arial" w:cs="Arial" w:eastAsia="Arial" w:hAnsi="Arial"/>
                <w:sz w:val="16"/>
                <w:szCs w:val="16"/>
                <w:b w:val="1"/>
                <w:bCs w:val="1"/>
                <w:color w:val="auto"/>
              </w:rPr>
              <w:t>Commitments and Contingencies (Note 11)</w:t>
            </w:r>
          </w:p>
        </w:tc>
        <w:tc>
          <w:tcPr>
            <w:tcW w:w="4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15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w w:val="92"/>
              </w:rPr>
              <w:t>Stockholders' Equity</w:t>
            </w:r>
          </w:p>
        </w:tc>
        <w:tc>
          <w:tcPr>
            <w:tcW w:w="148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6640" w:type="dxa"/>
            <w:vAlign w:val="bottom"/>
            <w:gridSpan w:val="4"/>
          </w:tcPr>
          <w:p>
            <w:pPr>
              <w:ind w:left="160"/>
              <w:spacing w:after="0"/>
              <w:rPr>
                <w:sz w:val="20"/>
                <w:szCs w:val="20"/>
                <w:color w:val="auto"/>
              </w:rPr>
            </w:pPr>
            <w:r>
              <w:rPr>
                <w:rFonts w:ascii="Arial" w:cs="Arial" w:eastAsia="Arial" w:hAnsi="Arial"/>
                <w:sz w:val="16"/>
                <w:szCs w:val="16"/>
                <w:color w:val="auto"/>
              </w:rPr>
              <w:t>Preferred stock, $.01 par value; authorized 2,500,000 shares</w:t>
            </w:r>
          </w:p>
        </w:tc>
        <w:tc>
          <w:tcPr>
            <w:tcW w:w="4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203"/>
        </w:trPr>
        <w:tc>
          <w:tcPr>
            <w:tcW w:w="6640" w:type="dxa"/>
            <w:vAlign w:val="bottom"/>
            <w:gridSpan w:val="4"/>
            <w:shd w:val="clear" w:color="auto" w:fill="CCEEFF"/>
          </w:tcPr>
          <w:p>
            <w:pPr>
              <w:ind w:left="340"/>
              <w:spacing w:after="0"/>
              <w:rPr>
                <w:sz w:val="20"/>
                <w:szCs w:val="20"/>
                <w:color w:val="auto"/>
              </w:rPr>
            </w:pPr>
            <w:r>
              <w:rPr>
                <w:rFonts w:ascii="Arial" w:cs="Arial" w:eastAsia="Arial" w:hAnsi="Arial"/>
                <w:sz w:val="16"/>
                <w:szCs w:val="16"/>
                <w:color w:val="auto"/>
                <w:w w:val="99"/>
              </w:rPr>
              <w:t>Common stock, $.01 par value; authorized 20,000,000 shares; issued 11,811,011 shares</w:t>
            </w:r>
          </w:p>
        </w:tc>
        <w:tc>
          <w:tcPr>
            <w:tcW w:w="4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27"/>
        </w:trPr>
        <w:tc>
          <w:tcPr>
            <w:tcW w:w="6640" w:type="dxa"/>
            <w:vAlign w:val="bottom"/>
            <w:gridSpan w:val="4"/>
          </w:tcPr>
          <w:p>
            <w:pPr>
              <w:ind w:left="660"/>
              <w:spacing w:after="0"/>
              <w:rPr>
                <w:sz w:val="20"/>
                <w:szCs w:val="20"/>
                <w:color w:val="auto"/>
              </w:rPr>
            </w:pPr>
            <w:r>
              <w:rPr>
                <w:rFonts w:ascii="Arial" w:cs="Arial" w:eastAsia="Arial" w:hAnsi="Arial"/>
                <w:sz w:val="16"/>
                <w:szCs w:val="16"/>
                <w:color w:val="auto"/>
              </w:rPr>
              <w:t>at September 30, 2019 and 11,775,148 at December 31, 2018; outstanding</w:t>
            </w:r>
          </w:p>
        </w:tc>
        <w:tc>
          <w:tcPr>
            <w:tcW w:w="4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04"/>
        </w:trPr>
        <w:tc>
          <w:tcPr>
            <w:tcW w:w="6640" w:type="dxa"/>
            <w:vAlign w:val="bottom"/>
            <w:gridSpan w:val="4"/>
            <w:shd w:val="clear" w:color="auto" w:fill="CCEEFF"/>
          </w:tcPr>
          <w:p>
            <w:pPr>
              <w:ind w:left="600"/>
              <w:spacing w:after="0"/>
              <w:rPr>
                <w:sz w:val="20"/>
                <w:szCs w:val="20"/>
                <w:color w:val="auto"/>
              </w:rPr>
            </w:pPr>
            <w:r>
              <w:rPr>
                <w:rFonts w:ascii="Arial" w:cs="Arial" w:eastAsia="Arial" w:hAnsi="Arial"/>
                <w:sz w:val="16"/>
                <w:szCs w:val="16"/>
                <w:color w:val="auto"/>
                <w:w w:val="95"/>
              </w:rPr>
              <w:t>10,783,572 shares at September 30, 2019 and 10,747,709 shares at December 31, 2018</w:t>
            </w:r>
          </w:p>
        </w:tc>
        <w:tc>
          <w:tcPr>
            <w:tcW w:w="4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118,110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117,751</w:t>
            </w:r>
          </w:p>
        </w:tc>
      </w:tr>
      <w:tr>
        <w:trPr>
          <w:trHeight w:val="203"/>
        </w:trPr>
        <w:tc>
          <w:tcPr>
            <w:tcW w:w="6640" w:type="dxa"/>
            <w:vAlign w:val="bottom"/>
            <w:gridSpan w:val="4"/>
          </w:tcPr>
          <w:p>
            <w:pPr>
              <w:ind w:left="160"/>
              <w:spacing w:after="0"/>
              <w:rPr>
                <w:sz w:val="20"/>
                <w:szCs w:val="20"/>
                <w:color w:val="auto"/>
              </w:rPr>
            </w:pPr>
            <w:r>
              <w:rPr>
                <w:rFonts w:ascii="Arial" w:cs="Arial" w:eastAsia="Arial" w:hAnsi="Arial"/>
                <w:sz w:val="16"/>
                <w:szCs w:val="16"/>
                <w:color w:val="auto"/>
              </w:rPr>
              <w:t>Capital in excess of par</w:t>
            </w:r>
          </w:p>
        </w:tc>
        <w:tc>
          <w:tcPr>
            <w:tcW w:w="4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68,755,776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67,763,940</w:t>
            </w:r>
          </w:p>
        </w:tc>
      </w:tr>
      <w:tr>
        <w:trPr>
          <w:trHeight w:val="203"/>
        </w:trPr>
        <w:tc>
          <w:tcPr>
            <w:tcW w:w="6640" w:type="dxa"/>
            <w:vAlign w:val="bottom"/>
            <w:gridSpan w:val="4"/>
            <w:shd w:val="clear" w:color="auto" w:fill="CCEEFF"/>
          </w:tcPr>
          <w:p>
            <w:pPr>
              <w:ind w:left="160"/>
              <w:spacing w:after="0"/>
              <w:rPr>
                <w:sz w:val="20"/>
                <w:szCs w:val="20"/>
                <w:color w:val="auto"/>
              </w:rPr>
            </w:pPr>
            <w:r>
              <w:rPr>
                <w:rFonts w:ascii="Arial" w:cs="Arial" w:eastAsia="Arial" w:hAnsi="Arial"/>
                <w:sz w:val="16"/>
                <w:szCs w:val="16"/>
                <w:color w:val="auto"/>
              </w:rPr>
              <w:t>Accumulated other comprehensive income (loss)</w:t>
            </w:r>
          </w:p>
        </w:tc>
        <w:tc>
          <w:tcPr>
            <w:tcW w:w="4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4,441,716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(2,884,313)</w:t>
            </w:r>
          </w:p>
        </w:tc>
      </w:tr>
      <w:tr>
        <w:trPr>
          <w:trHeight w:val="203"/>
        </w:trPr>
        <w:tc>
          <w:tcPr>
            <w:tcW w:w="1520" w:type="dxa"/>
            <w:vAlign w:val="bottom"/>
          </w:tcPr>
          <w:p>
            <w:pPr>
              <w:ind w:left="160"/>
              <w:spacing w:after="0"/>
              <w:rPr>
                <w:sz w:val="20"/>
                <w:szCs w:val="20"/>
                <w:color w:val="auto"/>
              </w:rPr>
            </w:pPr>
            <w:r>
              <w:rPr>
                <w:rFonts w:ascii="Arial" w:cs="Arial" w:eastAsia="Arial" w:hAnsi="Arial"/>
                <w:sz w:val="16"/>
                <w:szCs w:val="16"/>
                <w:color w:val="auto"/>
              </w:rPr>
              <w:t>Retained earnings</w:t>
            </w:r>
          </w:p>
        </w:tc>
        <w:tc>
          <w:tcPr>
            <w:tcW w:w="14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16,132,568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26,380,816</w:t>
            </w:r>
          </w:p>
        </w:tc>
      </w:tr>
      <w:tr>
        <w:trPr>
          <w:trHeight w:val="25"/>
        </w:trPr>
        <w:tc>
          <w:tcPr>
            <w:tcW w:w="15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03"/>
        </w:trPr>
        <w:tc>
          <w:tcPr>
            <w:tcW w:w="15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89,448,170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91,378,194</w:t>
            </w:r>
          </w:p>
        </w:tc>
      </w:tr>
      <w:tr>
        <w:trPr>
          <w:trHeight w:val="203"/>
        </w:trPr>
        <w:tc>
          <w:tcPr>
            <w:tcW w:w="6640" w:type="dxa"/>
            <w:vAlign w:val="bottom"/>
            <w:gridSpan w:val="4"/>
          </w:tcPr>
          <w:p>
            <w:pPr>
              <w:ind w:left="160"/>
              <w:spacing w:after="0"/>
              <w:rPr>
                <w:sz w:val="20"/>
                <w:szCs w:val="20"/>
                <w:color w:val="auto"/>
              </w:rPr>
            </w:pPr>
            <w:r>
              <w:rPr>
                <w:rFonts w:ascii="Arial" w:cs="Arial" w:eastAsia="Arial" w:hAnsi="Arial"/>
                <w:sz w:val="16"/>
                <w:szCs w:val="16"/>
                <w:color w:val="auto"/>
              </w:rPr>
              <w:t>Treasury stock, at cost, 1,027,439 shares at September 30, 2019</w:t>
            </w:r>
          </w:p>
        </w:tc>
        <w:tc>
          <w:tcPr>
            <w:tcW w:w="4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6640" w:type="dxa"/>
            <w:vAlign w:val="bottom"/>
            <w:gridSpan w:val="4"/>
            <w:shd w:val="clear" w:color="auto" w:fill="CCEEFF"/>
          </w:tcPr>
          <w:p>
            <w:pPr>
              <w:ind w:left="380"/>
              <w:spacing w:after="0"/>
              <w:rPr>
                <w:sz w:val="20"/>
                <w:szCs w:val="20"/>
                <w:color w:val="auto"/>
              </w:rPr>
            </w:pPr>
            <w:r>
              <w:rPr>
                <w:rFonts w:ascii="Arial" w:cs="Arial" w:eastAsia="Arial" w:hAnsi="Arial"/>
                <w:sz w:val="16"/>
                <w:szCs w:val="16"/>
                <w:color w:val="auto"/>
              </w:rPr>
              <w:t>and at December 31, 2018</w:t>
            </w:r>
          </w:p>
        </w:tc>
        <w:tc>
          <w:tcPr>
            <w:tcW w:w="4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(2,712,552)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(2,712,552)</w:t>
            </w:r>
          </w:p>
        </w:tc>
      </w:tr>
      <w:tr>
        <w:trPr>
          <w:trHeight w:val="25"/>
        </w:trPr>
        <w:tc>
          <w:tcPr>
            <w:tcW w:w="15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08"/>
        </w:trPr>
        <w:tc>
          <w:tcPr>
            <w:tcW w:w="6640" w:type="dxa"/>
            <w:vAlign w:val="bottom"/>
            <w:gridSpan w:val="4"/>
          </w:tcPr>
          <w:p>
            <w:pPr>
              <w:ind w:left="40"/>
              <w:spacing w:after="0"/>
              <w:rPr>
                <w:sz w:val="20"/>
                <w:szCs w:val="20"/>
                <w:color w:val="auto"/>
              </w:rPr>
            </w:pPr>
            <w:r>
              <w:rPr>
                <w:rFonts w:ascii="Arial" w:cs="Arial" w:eastAsia="Arial" w:hAnsi="Arial"/>
                <w:sz w:val="16"/>
                <w:szCs w:val="16"/>
                <w:b w:val="1"/>
                <w:bCs w:val="1"/>
                <w:color w:val="auto"/>
              </w:rPr>
              <w:t>Total stockholders' equity</w:t>
            </w:r>
          </w:p>
        </w:tc>
        <w:tc>
          <w:tcPr>
            <w:tcW w:w="4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86,735,618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88,665,642</w:t>
            </w:r>
          </w:p>
        </w:tc>
      </w:tr>
      <w:tr>
        <w:trPr>
          <w:trHeight w:val="203"/>
        </w:trPr>
        <w:tc>
          <w:tcPr>
            <w:tcW w:w="3000" w:type="dxa"/>
            <w:vAlign w:val="bottom"/>
            <w:gridSpan w:val="2"/>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6640" w:type="dxa"/>
            <w:vAlign w:val="bottom"/>
            <w:gridSpan w:val="4"/>
          </w:tcPr>
          <w:p>
            <w:pPr>
              <w:ind w:left="40"/>
              <w:spacing w:after="0"/>
              <w:rPr>
                <w:sz w:val="20"/>
                <w:szCs w:val="20"/>
                <w:color w:val="auto"/>
              </w:rPr>
            </w:pPr>
            <w:r>
              <w:rPr>
                <w:rFonts w:ascii="Arial" w:cs="Arial" w:eastAsia="Arial" w:hAnsi="Arial"/>
                <w:sz w:val="16"/>
                <w:szCs w:val="16"/>
                <w:b w:val="1"/>
                <w:bCs w:val="1"/>
                <w:color w:val="auto"/>
              </w:rPr>
              <w:t>Total liabilities and stockholders' equity</w:t>
            </w:r>
          </w:p>
        </w:tc>
        <w:tc>
          <w:tcPr>
            <w:tcW w:w="23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298,420,321</w:t>
            </w:r>
          </w:p>
        </w:tc>
        <w:tc>
          <w:tcPr>
            <w:tcW w:w="160" w:type="dxa"/>
            <w:vAlign w:val="bottom"/>
          </w:tcPr>
          <w:p>
            <w:pPr>
              <w:spacing w:after="0"/>
              <w:rPr>
                <w:sz w:val="17"/>
                <w:szCs w:val="17"/>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266,752,078</w:t>
            </w:r>
          </w:p>
        </w:tc>
      </w:tr>
      <w:tr>
        <w:trPr>
          <w:trHeight w:val="20"/>
        </w:trPr>
        <w:tc>
          <w:tcPr>
            <w:tcW w:w="1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ind w:left="40"/>
        <w:spacing w:after="0"/>
        <w:rPr>
          <w:sz w:val="20"/>
          <w:szCs w:val="20"/>
          <w:color w:val="auto"/>
        </w:rPr>
      </w:pPr>
      <w:r>
        <w:rPr>
          <w:rFonts w:ascii="Arial" w:cs="Arial" w:eastAsia="Arial" w:hAnsi="Arial"/>
          <w:sz w:val="16"/>
          <w:szCs w:val="16"/>
          <w:b w:val="1"/>
          <w:bCs w:val="1"/>
          <w:color w:val="auto"/>
        </w:rPr>
        <w:t>____________________________________________________________________________________________________</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526" w:right="239" w:bottom="1440" w:gutter="0" w:footer="0" w:header="0"/>
        </w:sectPr>
      </w:pPr>
    </w:p>
    <w:bookmarkStart w:id="4" w:name="page5"/>
    <w:bookmarkEnd w:id="4"/>
    <w:p>
      <w:pPr>
        <w:ind w:left="6780"/>
        <w:spacing w:after="0"/>
        <w:rPr>
          <w:sz w:val="20"/>
          <w:szCs w:val="20"/>
          <w:color w:val="auto"/>
        </w:rPr>
      </w:pPr>
      <w:r>
        <w:rPr>
          <w:rFonts w:ascii="Arial" w:cs="Arial" w:eastAsia="Arial" w:hAnsi="Arial"/>
          <w:sz w:val="16"/>
          <w:szCs w:val="16"/>
          <w:b w:val="1"/>
          <w:bCs w:val="1"/>
          <w:color w:val="auto"/>
        </w:rPr>
        <w:t>KINGSTONE COMPANIES, INC. AND SUBSIDIARIES</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Operations and Comprehensive Income (Loss)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19685</wp:posOffset>
            </wp:positionV>
            <wp:extent cx="7254875" cy="15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4875" cy="15875"/>
                    </a:xfrm>
                    <a:prstGeom prst="rect">
                      <a:avLst/>
                    </a:prstGeom>
                    <a:noFill/>
                  </pic:spPr>
                </pic:pic>
              </a:graphicData>
            </a:graphic>
          </wp:anchor>
        </w:drawing>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2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w w:val="99"/>
              </w:rPr>
              <w:t>For the Three Months Ended</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20" w:type="dxa"/>
            <w:vAlign w:val="bottom"/>
            <w:gridSpan w:val="6"/>
          </w:tcPr>
          <w:p>
            <w:pPr>
              <w:ind w:left="220"/>
              <w:spacing w:after="0"/>
              <w:rPr>
                <w:sz w:val="20"/>
                <w:szCs w:val="20"/>
                <w:color w:val="auto"/>
              </w:rPr>
            </w:pPr>
            <w:r>
              <w:rPr>
                <w:rFonts w:ascii="Arial" w:cs="Arial" w:eastAsia="Arial" w:hAnsi="Arial"/>
                <w:sz w:val="14"/>
                <w:szCs w:val="14"/>
                <w:b w:val="1"/>
                <w:bCs w:val="1"/>
                <w:color w:val="auto"/>
              </w:rPr>
              <w:t>For the Nine Months Ended</w:t>
            </w:r>
          </w:p>
        </w:tc>
      </w:tr>
      <w:tr>
        <w:trPr>
          <w:trHeight w:val="217"/>
        </w:trPr>
        <w:tc>
          <w:tcPr>
            <w:tcW w:w="6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33"/>
        </w:trPr>
        <w:tc>
          <w:tcPr>
            <w:tcW w:w="6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20"/>
                <w:szCs w:val="20"/>
                <w:color w:val="auto"/>
              </w:rPr>
            </w:pPr>
          </w:p>
        </w:tc>
      </w:tr>
      <w:tr>
        <w:trPr>
          <w:trHeight w:val="455"/>
        </w:trPr>
        <w:tc>
          <w:tcPr>
            <w:tcW w:w="6100" w:type="dxa"/>
            <w:vAlign w:val="bottom"/>
          </w:tcPr>
          <w:p>
            <w:pPr>
              <w:ind w:left="40"/>
              <w:spacing w:after="0"/>
              <w:rPr>
                <w:sz w:val="20"/>
                <w:szCs w:val="20"/>
                <w:color w:val="auto"/>
              </w:rPr>
            </w:pPr>
            <w:r>
              <w:rPr>
                <w:rFonts w:ascii="Arial" w:cs="Arial" w:eastAsia="Arial" w:hAnsi="Arial"/>
                <w:sz w:val="16"/>
                <w:szCs w:val="16"/>
                <w:b w:val="1"/>
                <w:bCs w:val="1"/>
                <w:color w:val="auto"/>
              </w:rPr>
              <w:t>Revenue</w:t>
            </w:r>
            <w:r>
              <w:rPr>
                <w:rFonts w:ascii="Arial" w:cs="Arial" w:eastAsia="Arial" w:hAnsi="Arial"/>
                <w:sz w:val="16"/>
                <w:szCs w:val="16"/>
                <w:color w:val="auto"/>
              </w:rPr>
              <w:t>s</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4"/>
        </w:trPr>
        <w:tc>
          <w:tcPr>
            <w:tcW w:w="61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premiums earned</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34,220,010</w:t>
            </w:r>
          </w:p>
        </w:tc>
        <w:tc>
          <w:tcPr>
            <w:tcW w:w="1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4"/>
              </w:rPr>
              <w:t>27,533,907</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95,017,178</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2"/>
              </w:rPr>
              <w:t>74,476,138</w:t>
            </w:r>
          </w:p>
        </w:tc>
      </w:tr>
      <w:tr>
        <w:trPr>
          <w:trHeight w:val="203"/>
        </w:trPr>
        <w:tc>
          <w:tcPr>
            <w:tcW w:w="6100" w:type="dxa"/>
            <w:vAlign w:val="bottom"/>
          </w:tcPr>
          <w:p>
            <w:pPr>
              <w:ind w:left="200"/>
              <w:spacing w:after="0"/>
              <w:rPr>
                <w:sz w:val="20"/>
                <w:szCs w:val="20"/>
                <w:color w:val="auto"/>
              </w:rPr>
            </w:pPr>
            <w:r>
              <w:rPr>
                <w:rFonts w:ascii="Arial" w:cs="Arial" w:eastAsia="Arial" w:hAnsi="Arial"/>
                <w:sz w:val="16"/>
                <w:szCs w:val="16"/>
                <w:color w:val="auto"/>
              </w:rPr>
              <w:t>Ceding commission revenue</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1,029,582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1,044,529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2,982,960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4,430,855</w:t>
            </w:r>
          </w:p>
        </w:tc>
      </w:tr>
      <w:tr>
        <w:trPr>
          <w:trHeight w:val="203"/>
        </w:trPr>
        <w:tc>
          <w:tcPr>
            <w:tcW w:w="61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investment income</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1,856,553</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1,602,371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5,200,034</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4,543,226</w:t>
            </w:r>
          </w:p>
        </w:tc>
      </w:tr>
      <w:tr>
        <w:trPr>
          <w:trHeight w:val="203"/>
        </w:trPr>
        <w:tc>
          <w:tcPr>
            <w:tcW w:w="6100" w:type="dxa"/>
            <w:vAlign w:val="bottom"/>
          </w:tcPr>
          <w:p>
            <w:pPr>
              <w:ind w:left="200"/>
              <w:spacing w:after="0"/>
              <w:rPr>
                <w:sz w:val="20"/>
                <w:szCs w:val="20"/>
                <w:color w:val="auto"/>
              </w:rPr>
            </w:pPr>
            <w:r>
              <w:rPr>
                <w:rFonts w:ascii="Arial" w:cs="Arial" w:eastAsia="Arial" w:hAnsi="Arial"/>
                <w:sz w:val="16"/>
                <w:szCs w:val="16"/>
                <w:color w:val="auto"/>
              </w:rPr>
              <w:t>Net gains (losses) on investments</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998,162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352,025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3,712,180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(277,835)</w:t>
            </w:r>
          </w:p>
        </w:tc>
      </w:tr>
      <w:tr>
        <w:trPr>
          <w:trHeight w:val="203"/>
        </w:trPr>
        <w:tc>
          <w:tcPr>
            <w:tcW w:w="61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income</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495,696</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353,077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1,191,569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961,581</w:t>
            </w:r>
          </w:p>
        </w:tc>
      </w:tr>
      <w:tr>
        <w:trPr>
          <w:trHeight w:val="25"/>
        </w:trPr>
        <w:tc>
          <w:tcPr>
            <w:tcW w:w="6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08"/>
        </w:trPr>
        <w:tc>
          <w:tcPr>
            <w:tcW w:w="6100" w:type="dxa"/>
            <w:vAlign w:val="bottom"/>
          </w:tcPr>
          <w:p>
            <w:pPr>
              <w:ind w:left="340"/>
              <w:spacing w:after="0"/>
              <w:rPr>
                <w:sz w:val="20"/>
                <w:szCs w:val="20"/>
                <w:color w:val="auto"/>
              </w:rPr>
            </w:pPr>
            <w:r>
              <w:rPr>
                <w:rFonts w:ascii="Arial" w:cs="Arial" w:eastAsia="Arial" w:hAnsi="Arial"/>
                <w:sz w:val="16"/>
                <w:szCs w:val="16"/>
                <w:color w:val="auto"/>
              </w:rPr>
              <w:t>Total revenues</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38,600,003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4"/>
              </w:rPr>
              <w:t>30,885,909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108,103,921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w w:val="92"/>
              </w:rPr>
              <w:t>84,133,965</w:t>
            </w:r>
          </w:p>
        </w:tc>
      </w:tr>
      <w:tr>
        <w:trPr>
          <w:trHeight w:val="203"/>
        </w:trPr>
        <w:tc>
          <w:tcPr>
            <w:tcW w:w="61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6100" w:type="dxa"/>
            <w:vAlign w:val="bottom"/>
          </w:tcPr>
          <w:p>
            <w:pPr>
              <w:ind w:left="40"/>
              <w:spacing w:after="0"/>
              <w:rPr>
                <w:sz w:val="20"/>
                <w:szCs w:val="20"/>
                <w:color w:val="auto"/>
              </w:rPr>
            </w:pPr>
            <w:r>
              <w:rPr>
                <w:rFonts w:ascii="Arial" w:cs="Arial" w:eastAsia="Arial" w:hAnsi="Arial"/>
                <w:sz w:val="16"/>
                <w:szCs w:val="16"/>
                <w:b w:val="1"/>
                <w:bCs w:val="1"/>
                <w:color w:val="auto"/>
              </w:rPr>
              <w:t>Expense</w:t>
            </w:r>
            <w:r>
              <w:rPr>
                <w:rFonts w:ascii="Arial" w:cs="Arial" w:eastAsia="Arial" w:hAnsi="Arial"/>
                <w:sz w:val="16"/>
                <w:szCs w:val="16"/>
                <w:color w:val="auto"/>
              </w:rPr>
              <w:t>s</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61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Loss and loss adjustment expenses</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24,781,318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4"/>
              </w:rPr>
              <w:t>13,296,708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71,587,850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2"/>
              </w:rPr>
              <w:t>41,739,123</w:t>
            </w:r>
          </w:p>
        </w:tc>
      </w:tr>
      <w:tr>
        <w:trPr>
          <w:trHeight w:val="203"/>
        </w:trPr>
        <w:tc>
          <w:tcPr>
            <w:tcW w:w="6100" w:type="dxa"/>
            <w:vAlign w:val="bottom"/>
          </w:tcPr>
          <w:p>
            <w:pPr>
              <w:ind w:left="200"/>
              <w:spacing w:after="0"/>
              <w:rPr>
                <w:sz w:val="20"/>
                <w:szCs w:val="20"/>
                <w:color w:val="auto"/>
              </w:rPr>
            </w:pPr>
            <w:r>
              <w:rPr>
                <w:rFonts w:ascii="Arial" w:cs="Arial" w:eastAsia="Arial" w:hAnsi="Arial"/>
                <w:sz w:val="16"/>
                <w:szCs w:val="16"/>
                <w:color w:val="auto"/>
              </w:rPr>
              <w:t>Commission expense</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7,779,344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6,594,323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21,931,933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w w:val="92"/>
              </w:rPr>
              <w:t>18,411,460</w:t>
            </w:r>
          </w:p>
        </w:tc>
      </w:tr>
      <w:tr>
        <w:trPr>
          <w:trHeight w:val="203"/>
        </w:trPr>
        <w:tc>
          <w:tcPr>
            <w:tcW w:w="61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underwriting expenses</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6,430,734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5,193,679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17,983,174</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2"/>
              </w:rPr>
              <w:t>15,301,168</w:t>
            </w:r>
          </w:p>
        </w:tc>
      </w:tr>
      <w:tr>
        <w:trPr>
          <w:trHeight w:val="203"/>
        </w:trPr>
        <w:tc>
          <w:tcPr>
            <w:tcW w:w="6100" w:type="dxa"/>
            <w:vAlign w:val="bottom"/>
          </w:tcPr>
          <w:p>
            <w:pPr>
              <w:ind w:left="200"/>
              <w:spacing w:after="0"/>
              <w:rPr>
                <w:sz w:val="20"/>
                <w:szCs w:val="20"/>
                <w:color w:val="auto"/>
              </w:rPr>
            </w:pPr>
            <w:r>
              <w:rPr>
                <w:rFonts w:ascii="Arial" w:cs="Arial" w:eastAsia="Arial" w:hAnsi="Arial"/>
                <w:sz w:val="16"/>
                <w:szCs w:val="16"/>
                <w:color w:val="auto"/>
              </w:rPr>
              <w:t>Other operating expenses</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705,710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683,309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2,774,350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1,773,983</w:t>
            </w:r>
          </w:p>
        </w:tc>
      </w:tr>
      <w:tr>
        <w:trPr>
          <w:trHeight w:val="203"/>
        </w:trPr>
        <w:tc>
          <w:tcPr>
            <w:tcW w:w="61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Depreciation and amortization</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646,201</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440,383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1,876,202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1,273,975</w:t>
            </w:r>
          </w:p>
        </w:tc>
      </w:tr>
      <w:tr>
        <w:trPr>
          <w:trHeight w:val="203"/>
        </w:trPr>
        <w:tc>
          <w:tcPr>
            <w:tcW w:w="6100" w:type="dxa"/>
            <w:vAlign w:val="bottom"/>
          </w:tcPr>
          <w:p>
            <w:pPr>
              <w:ind w:left="20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456,545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456,545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1,369,635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1,365,052</w:t>
            </w:r>
          </w:p>
        </w:tc>
      </w:tr>
      <w:tr>
        <w:trPr>
          <w:trHeight w:val="25"/>
        </w:trPr>
        <w:tc>
          <w:tcPr>
            <w:tcW w:w="6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08"/>
        </w:trPr>
        <w:tc>
          <w:tcPr>
            <w:tcW w:w="6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expenses</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40,799,852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26,664,947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117,523,144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2"/>
              </w:rPr>
              <w:t>79,864,761</w:t>
            </w:r>
          </w:p>
        </w:tc>
      </w:tr>
      <w:tr>
        <w:trPr>
          <w:trHeight w:val="203"/>
        </w:trPr>
        <w:tc>
          <w:tcPr>
            <w:tcW w:w="6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r>
      <w:tr>
        <w:trPr>
          <w:trHeight w:val="203"/>
        </w:trPr>
        <w:tc>
          <w:tcPr>
            <w:tcW w:w="61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(Loss) income before taxes</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(2,199,849)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4,220,962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(9,419,223)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4,269,204</w:t>
            </w:r>
          </w:p>
        </w:tc>
      </w:tr>
      <w:tr>
        <w:trPr>
          <w:trHeight w:val="203"/>
        </w:trPr>
        <w:tc>
          <w:tcPr>
            <w:tcW w:w="6100" w:type="dxa"/>
            <w:vAlign w:val="bottom"/>
          </w:tcPr>
          <w:p>
            <w:pPr>
              <w:ind w:left="200"/>
              <w:spacing w:after="0"/>
              <w:rPr>
                <w:sz w:val="20"/>
                <w:szCs w:val="20"/>
                <w:color w:val="auto"/>
              </w:rPr>
            </w:pPr>
            <w:r>
              <w:rPr>
                <w:rFonts w:ascii="Arial" w:cs="Arial" w:eastAsia="Arial" w:hAnsi="Arial"/>
                <w:sz w:val="16"/>
                <w:szCs w:val="16"/>
                <w:color w:val="auto"/>
              </w:rPr>
              <w:t>Income tax (benefit) expense</w:t>
            </w:r>
          </w:p>
        </w:tc>
        <w:tc>
          <w:tcPr>
            <w:tcW w:w="2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(474,687)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287,232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(1,998,251)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296,111</w:t>
            </w:r>
          </w:p>
        </w:tc>
      </w:tr>
      <w:tr>
        <w:trPr>
          <w:trHeight w:val="25"/>
        </w:trPr>
        <w:tc>
          <w:tcPr>
            <w:tcW w:w="6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08"/>
        </w:trPr>
        <w:tc>
          <w:tcPr>
            <w:tcW w:w="61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Net (loss) income</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(1,725,162)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3,933,730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(7,420,972)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3,973,093</w:t>
            </w:r>
          </w:p>
        </w:tc>
      </w:tr>
      <w:tr>
        <w:trPr>
          <w:trHeight w:val="203"/>
        </w:trPr>
        <w:tc>
          <w:tcPr>
            <w:tcW w:w="6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r>
      <w:tr>
        <w:trPr>
          <w:trHeight w:val="228"/>
        </w:trPr>
        <w:tc>
          <w:tcPr>
            <w:tcW w:w="6100" w:type="dxa"/>
            <w:vAlign w:val="bottom"/>
            <w:shd w:val="clear" w:color="auto" w:fill="CCEEFF"/>
          </w:tcPr>
          <w:p>
            <w:pPr>
              <w:ind w:left="60"/>
              <w:spacing w:after="0"/>
              <w:rPr>
                <w:sz w:val="20"/>
                <w:szCs w:val="20"/>
                <w:color w:val="auto"/>
              </w:rPr>
            </w:pPr>
            <w:r>
              <w:rPr>
                <w:rFonts w:ascii="Arial" w:cs="Arial" w:eastAsia="Arial" w:hAnsi="Arial"/>
                <w:sz w:val="16"/>
                <w:szCs w:val="16"/>
                <w:b w:val="1"/>
                <w:bCs w:val="1"/>
                <w:color w:val="auto"/>
              </w:rPr>
              <w:t>Other comprehensive income (loss), net of tax</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27"/>
        </w:trPr>
        <w:tc>
          <w:tcPr>
            <w:tcW w:w="6100" w:type="dxa"/>
            <w:vAlign w:val="bottom"/>
          </w:tcPr>
          <w:p>
            <w:pPr>
              <w:ind w:left="120"/>
              <w:spacing w:after="0"/>
              <w:rPr>
                <w:sz w:val="20"/>
                <w:szCs w:val="20"/>
                <w:color w:val="auto"/>
              </w:rPr>
            </w:pPr>
            <w:r>
              <w:rPr>
                <w:rFonts w:ascii="Arial" w:cs="Arial" w:eastAsia="Arial" w:hAnsi="Arial"/>
                <w:sz w:val="16"/>
                <w:szCs w:val="16"/>
                <w:color w:val="auto"/>
              </w:rPr>
              <w:t>Gross change in unrealized gains (losses)</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04"/>
        </w:trPr>
        <w:tc>
          <w:tcPr>
            <w:tcW w:w="61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on available-for-sale-securities</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1,323,626</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(242,453)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9,191,817</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7"/>
              </w:rPr>
              <w:t>(4,591,699)</w:t>
            </w:r>
          </w:p>
        </w:tc>
      </w:tr>
      <w:tr>
        <w:trPr>
          <w:trHeight w:val="203"/>
        </w:trPr>
        <w:tc>
          <w:tcPr>
            <w:tcW w:w="6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28"/>
        </w:trPr>
        <w:tc>
          <w:tcPr>
            <w:tcW w:w="6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Reclassification adjustment for losses</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03"/>
        </w:trPr>
        <w:tc>
          <w:tcPr>
            <w:tcW w:w="6100" w:type="dxa"/>
            <w:vAlign w:val="bottom"/>
          </w:tcPr>
          <w:p>
            <w:pPr>
              <w:ind w:left="300"/>
              <w:spacing w:after="0"/>
              <w:rPr>
                <w:sz w:val="20"/>
                <w:szCs w:val="20"/>
                <w:color w:val="auto"/>
              </w:rPr>
            </w:pPr>
            <w:r>
              <w:rPr>
                <w:rFonts w:ascii="Arial" w:cs="Arial" w:eastAsia="Arial" w:hAnsi="Arial"/>
                <w:sz w:val="16"/>
                <w:szCs w:val="16"/>
                <w:color w:val="auto"/>
              </w:rPr>
              <w:t>included in net income</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46,841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131,978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81,636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451,877</w:t>
            </w:r>
          </w:p>
        </w:tc>
      </w:tr>
      <w:tr>
        <w:trPr>
          <w:trHeight w:val="25"/>
        </w:trPr>
        <w:tc>
          <w:tcPr>
            <w:tcW w:w="6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03"/>
        </w:trPr>
        <w:tc>
          <w:tcPr>
            <w:tcW w:w="6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change in unrealized gains (losses)</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1,370,467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(110,475)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9,273,453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7"/>
              </w:rPr>
              <w:t>(4,139,822)</w:t>
            </w:r>
          </w:p>
        </w:tc>
      </w:tr>
      <w:tr>
        <w:trPr>
          <w:trHeight w:val="227"/>
        </w:trPr>
        <w:tc>
          <w:tcPr>
            <w:tcW w:w="6100" w:type="dxa"/>
            <w:vAlign w:val="bottom"/>
          </w:tcPr>
          <w:p>
            <w:pPr>
              <w:ind w:left="120"/>
              <w:spacing w:after="0"/>
              <w:rPr>
                <w:sz w:val="20"/>
                <w:szCs w:val="20"/>
                <w:color w:val="auto"/>
              </w:rPr>
            </w:pPr>
            <w:r>
              <w:rPr>
                <w:rFonts w:ascii="Arial" w:cs="Arial" w:eastAsia="Arial" w:hAnsi="Arial"/>
                <w:sz w:val="16"/>
                <w:szCs w:val="16"/>
                <w:color w:val="auto"/>
              </w:rPr>
              <w:t>Income tax (expense) benefit related to items</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04"/>
        </w:trPr>
        <w:tc>
          <w:tcPr>
            <w:tcW w:w="61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of other comprehensive income (loss)</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(287,798)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12,416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(1,947,424)</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858,377</w:t>
            </w:r>
          </w:p>
        </w:tc>
      </w:tr>
      <w:tr>
        <w:trPr>
          <w:trHeight w:val="25"/>
        </w:trPr>
        <w:tc>
          <w:tcPr>
            <w:tcW w:w="6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08"/>
        </w:trPr>
        <w:tc>
          <w:tcPr>
            <w:tcW w:w="6100" w:type="dxa"/>
            <w:vAlign w:val="bottom"/>
          </w:tcPr>
          <w:p>
            <w:pPr>
              <w:ind w:left="40"/>
              <w:spacing w:after="0"/>
              <w:rPr>
                <w:sz w:val="20"/>
                <w:szCs w:val="20"/>
                <w:color w:val="auto"/>
              </w:rPr>
            </w:pPr>
            <w:r>
              <w:rPr>
                <w:rFonts w:ascii="Arial" w:cs="Arial" w:eastAsia="Arial" w:hAnsi="Arial"/>
                <w:sz w:val="16"/>
                <w:szCs w:val="16"/>
                <w:b w:val="1"/>
                <w:bCs w:val="1"/>
                <w:color w:val="auto"/>
              </w:rPr>
              <w:t>Other comprehensive income (loss), net of tax</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1,082,669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(98,059)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7,326,029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w w:val="97"/>
              </w:rPr>
              <w:t>(3,281,445)</w:t>
            </w:r>
          </w:p>
        </w:tc>
      </w:tr>
      <w:tr>
        <w:trPr>
          <w:trHeight w:val="203"/>
        </w:trPr>
        <w:tc>
          <w:tcPr>
            <w:tcW w:w="61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6100" w:type="dxa"/>
            <w:vAlign w:val="bottom"/>
          </w:tcPr>
          <w:p>
            <w:pPr>
              <w:ind w:left="40"/>
              <w:spacing w:after="0"/>
              <w:rPr>
                <w:sz w:val="20"/>
                <w:szCs w:val="20"/>
                <w:color w:val="auto"/>
              </w:rPr>
            </w:pPr>
            <w:r>
              <w:rPr>
                <w:rFonts w:ascii="Arial" w:cs="Arial" w:eastAsia="Arial" w:hAnsi="Arial"/>
                <w:sz w:val="16"/>
                <w:szCs w:val="16"/>
                <w:b w:val="1"/>
                <w:bCs w:val="1"/>
                <w:color w:val="auto"/>
              </w:rPr>
              <w:t>Comprehensive (loss) income</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(642,493)</w:t>
            </w:r>
          </w:p>
        </w:tc>
        <w:tc>
          <w:tcPr>
            <w:tcW w:w="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3,835,671</w:t>
            </w: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(94,943)</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691,648</w:t>
            </w:r>
          </w:p>
        </w:tc>
      </w:tr>
      <w:tr>
        <w:trPr>
          <w:trHeight w:val="20"/>
        </w:trPr>
        <w:tc>
          <w:tcPr>
            <w:tcW w:w="6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3"/>
        </w:trPr>
        <w:tc>
          <w:tcPr>
            <w:tcW w:w="6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27"/>
        </w:trPr>
        <w:tc>
          <w:tcPr>
            <w:tcW w:w="6100" w:type="dxa"/>
            <w:vAlign w:val="bottom"/>
          </w:tcPr>
          <w:p>
            <w:pPr>
              <w:ind w:left="60"/>
              <w:spacing w:after="0"/>
              <w:rPr>
                <w:sz w:val="20"/>
                <w:szCs w:val="20"/>
                <w:color w:val="auto"/>
              </w:rPr>
            </w:pPr>
            <w:r>
              <w:rPr>
                <w:rFonts w:ascii="Arial" w:cs="Arial" w:eastAsia="Arial" w:hAnsi="Arial"/>
                <w:sz w:val="16"/>
                <w:szCs w:val="16"/>
                <w:b w:val="1"/>
                <w:bCs w:val="1"/>
                <w:color w:val="auto"/>
              </w:rPr>
              <w:t>(Loss) Earnings per common share:</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4"/>
        </w:trPr>
        <w:tc>
          <w:tcPr>
            <w:tcW w:w="61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Basic</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(0.16)</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0.37</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(0.69)</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0.37</w:t>
            </w:r>
          </w:p>
        </w:tc>
      </w:tr>
      <w:tr>
        <w:trPr>
          <w:trHeight w:val="20"/>
        </w:trPr>
        <w:tc>
          <w:tcPr>
            <w:tcW w:w="6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193"/>
        </w:trPr>
        <w:tc>
          <w:tcPr>
            <w:tcW w:w="6100" w:type="dxa"/>
            <w:vAlign w:val="bottom"/>
          </w:tcPr>
          <w:p>
            <w:pPr>
              <w:ind w:left="160"/>
              <w:spacing w:after="0"/>
              <w:rPr>
                <w:sz w:val="20"/>
                <w:szCs w:val="20"/>
                <w:color w:val="auto"/>
              </w:rPr>
            </w:pPr>
            <w:r>
              <w:rPr>
                <w:rFonts w:ascii="Arial" w:cs="Arial" w:eastAsia="Arial" w:hAnsi="Arial"/>
                <w:sz w:val="16"/>
                <w:szCs w:val="16"/>
                <w:color w:val="auto"/>
              </w:rPr>
              <w:t>Diluted</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(0.16)</w:t>
            </w:r>
          </w:p>
        </w:tc>
        <w:tc>
          <w:tcPr>
            <w:tcW w:w="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0.36</w:t>
            </w: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(0.69)</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0.37</w:t>
            </w:r>
          </w:p>
        </w:tc>
      </w:tr>
      <w:tr>
        <w:trPr>
          <w:trHeight w:val="20"/>
        </w:trPr>
        <w:tc>
          <w:tcPr>
            <w:tcW w:w="6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3"/>
        </w:trPr>
        <w:tc>
          <w:tcPr>
            <w:tcW w:w="6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27"/>
        </w:trPr>
        <w:tc>
          <w:tcPr>
            <w:tcW w:w="6100" w:type="dxa"/>
            <w:vAlign w:val="bottom"/>
          </w:tcPr>
          <w:p>
            <w:pPr>
              <w:ind w:left="60"/>
              <w:spacing w:after="0"/>
              <w:rPr>
                <w:sz w:val="20"/>
                <w:szCs w:val="20"/>
                <w:color w:val="auto"/>
              </w:rPr>
            </w:pPr>
            <w:r>
              <w:rPr>
                <w:rFonts w:ascii="Arial" w:cs="Arial" w:eastAsia="Arial" w:hAnsi="Arial"/>
                <w:sz w:val="16"/>
                <w:szCs w:val="16"/>
                <w:b w:val="1"/>
                <w:bCs w:val="1"/>
                <w:color w:val="auto"/>
              </w:rPr>
              <w:t>Weighted average common shares outstanding</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4"/>
        </w:trPr>
        <w:tc>
          <w:tcPr>
            <w:tcW w:w="61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Basic</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10,779,641</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10,681,329</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10,769,817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2"/>
              </w:rPr>
              <w:t>10,672,084</w:t>
            </w:r>
          </w:p>
        </w:tc>
      </w:tr>
      <w:tr>
        <w:trPr>
          <w:trHeight w:val="20"/>
        </w:trPr>
        <w:tc>
          <w:tcPr>
            <w:tcW w:w="6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193"/>
        </w:trPr>
        <w:tc>
          <w:tcPr>
            <w:tcW w:w="6100" w:type="dxa"/>
            <w:vAlign w:val="bottom"/>
          </w:tcPr>
          <w:p>
            <w:pPr>
              <w:ind w:left="160"/>
              <w:spacing w:after="0"/>
              <w:rPr>
                <w:sz w:val="20"/>
                <w:szCs w:val="20"/>
                <w:color w:val="auto"/>
              </w:rPr>
            </w:pPr>
            <w:r>
              <w:rPr>
                <w:rFonts w:ascii="Arial" w:cs="Arial" w:eastAsia="Arial" w:hAnsi="Arial"/>
                <w:sz w:val="16"/>
                <w:szCs w:val="16"/>
                <w:color w:val="auto"/>
              </w:rPr>
              <w:t>Diluted</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10,779,641</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4"/>
              </w:rPr>
              <w:t>10,791,123</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10,769,817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w w:val="92"/>
              </w:rPr>
              <w:t>10,780,590</w:t>
            </w:r>
          </w:p>
        </w:tc>
      </w:tr>
      <w:tr>
        <w:trPr>
          <w:trHeight w:val="20"/>
        </w:trPr>
        <w:tc>
          <w:tcPr>
            <w:tcW w:w="6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3"/>
        </w:trPr>
        <w:tc>
          <w:tcPr>
            <w:tcW w:w="6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03"/>
        </w:trPr>
        <w:tc>
          <w:tcPr>
            <w:tcW w:w="6100" w:type="dxa"/>
            <w:vAlign w:val="bottom"/>
          </w:tcPr>
          <w:p>
            <w:pPr>
              <w:ind w:left="80"/>
              <w:spacing w:after="0"/>
              <w:rPr>
                <w:sz w:val="20"/>
                <w:szCs w:val="20"/>
                <w:color w:val="auto"/>
              </w:rPr>
            </w:pPr>
            <w:r>
              <w:rPr>
                <w:rFonts w:ascii="Arial" w:cs="Arial" w:eastAsia="Arial" w:hAnsi="Arial"/>
                <w:sz w:val="16"/>
                <w:szCs w:val="16"/>
                <w:b w:val="1"/>
                <w:bCs w:val="1"/>
                <w:color w:val="auto"/>
              </w:rPr>
              <w:t>Dividends declared and paid per common share</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0.0625</w:t>
            </w:r>
          </w:p>
        </w:tc>
        <w:tc>
          <w:tcPr>
            <w:tcW w:w="180" w:type="dxa"/>
            <w:vAlign w:val="bottom"/>
          </w:tcPr>
          <w:p>
            <w:pPr>
              <w:spacing w:after="0"/>
              <w:rPr>
                <w:sz w:val="17"/>
                <w:szCs w:val="17"/>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0.1000</w:t>
            </w: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0.2625</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0.3000</w:t>
            </w:r>
          </w:p>
        </w:tc>
      </w:tr>
      <w:tr>
        <w:trPr>
          <w:trHeight w:val="20"/>
        </w:trPr>
        <w:tc>
          <w:tcPr>
            <w:tcW w:w="6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b w:val="1"/>
          <w:bCs w:val="1"/>
          <w:color w:val="auto"/>
        </w:rPr>
        <w:t>____________________________________________________________________________________________________</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5" w:name="page6"/>
    <w:bookmarkEnd w:id="5"/>
    <w:p>
      <w:pPr>
        <w:ind w:left="6720"/>
        <w:spacing w:after="0"/>
        <w:rPr>
          <w:sz w:val="20"/>
          <w:szCs w:val="20"/>
          <w:color w:val="auto"/>
        </w:rPr>
      </w:pPr>
      <w:r>
        <w:rPr>
          <w:rFonts w:ascii="Arial" w:cs="Arial" w:eastAsia="Arial" w:hAnsi="Arial"/>
          <w:sz w:val="16"/>
          <w:szCs w:val="16"/>
          <w:b w:val="1"/>
          <w:bCs w:val="1"/>
          <w:color w:val="auto"/>
        </w:rPr>
        <w:t>KINGSTONE COMPANIES, INC. AND SUBSIDIARIES</w:t>
      </w: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Stockholders' Equity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19685</wp:posOffset>
            </wp:positionV>
            <wp:extent cx="7254875"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4875" cy="1587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months ended September 30,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15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4875" cy="15875"/>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1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5"/>
              </w:rPr>
              <w:t>Accumulated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7"/>
        </w:trPr>
        <w:tc>
          <w:tcPr>
            <w:tcW w:w="1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8"/>
              </w:rPr>
              <w:t>Capital</w:t>
            </w:r>
          </w:p>
        </w:tc>
        <w:tc>
          <w:tcPr>
            <w:tcW w:w="80" w:type="dxa"/>
            <w:vAlign w:val="bottom"/>
          </w:tcPr>
          <w:p>
            <w:pPr>
              <w:spacing w:after="0"/>
              <w:rPr>
                <w:sz w:val="11"/>
                <w:szCs w:val="11"/>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rPr>
              <w:t>Other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70"/>
        </w:trPr>
        <w:tc>
          <w:tcPr>
            <w:tcW w:w="1260" w:type="dxa"/>
            <w:vAlign w:val="bottom"/>
          </w:tcPr>
          <w:p>
            <w:pPr>
              <w:spacing w:after="0"/>
              <w:rPr>
                <w:sz w:val="14"/>
                <w:szCs w:val="14"/>
                <w:color w:val="auto"/>
              </w:rPr>
            </w:pPr>
          </w:p>
        </w:tc>
        <w:tc>
          <w:tcPr>
            <w:tcW w:w="1740" w:type="dxa"/>
            <w:vAlign w:val="bottom"/>
            <w:tcBorders>
              <w:bottom w:val="single" w:sz="8" w:color="auto"/>
            </w:tcBorders>
            <w:gridSpan w:val="4"/>
          </w:tcPr>
          <w:p>
            <w:pPr>
              <w:jc w:val="right"/>
              <w:ind w:right="363"/>
              <w:spacing w:after="0"/>
              <w:rPr>
                <w:sz w:val="20"/>
                <w:szCs w:val="20"/>
                <w:color w:val="auto"/>
              </w:rPr>
            </w:pPr>
            <w:r>
              <w:rPr>
                <w:rFonts w:ascii="Arial" w:cs="Arial" w:eastAsia="Arial" w:hAnsi="Arial"/>
                <w:sz w:val="11"/>
                <w:szCs w:val="11"/>
                <w:b w:val="1"/>
                <w:bCs w:val="1"/>
                <w:color w:val="auto"/>
              </w:rPr>
              <w:t>Preferred Stock</w:t>
            </w:r>
          </w:p>
        </w:tc>
        <w:tc>
          <w:tcPr>
            <w:tcW w:w="1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tcBorders>
              <w:bottom w:val="single" w:sz="8" w:color="auto"/>
            </w:tcBorders>
            <w:gridSpan w:val="4"/>
          </w:tcPr>
          <w:p>
            <w:pPr>
              <w:jc w:val="right"/>
              <w:ind w:right="483"/>
              <w:spacing w:after="0"/>
              <w:rPr>
                <w:sz w:val="20"/>
                <w:szCs w:val="20"/>
                <w:color w:val="auto"/>
              </w:rPr>
            </w:pPr>
            <w:r>
              <w:rPr>
                <w:rFonts w:ascii="Arial" w:cs="Arial" w:eastAsia="Arial" w:hAnsi="Arial"/>
                <w:sz w:val="11"/>
                <w:szCs w:val="11"/>
                <w:b w:val="1"/>
                <w:bCs w:val="1"/>
                <w:color w:val="auto"/>
              </w:rPr>
              <w:t>Common Stock</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86"/>
              </w:rPr>
              <w:t>in Excess</w:t>
            </w:r>
          </w:p>
        </w:tc>
        <w:tc>
          <w:tcPr>
            <w:tcW w:w="1020" w:type="dxa"/>
            <w:vAlign w:val="bottom"/>
            <w:gridSpan w:val="3"/>
          </w:tcPr>
          <w:p>
            <w:pPr>
              <w:jc w:val="center"/>
              <w:ind w:right="200"/>
              <w:spacing w:after="0"/>
              <w:rPr>
                <w:sz w:val="20"/>
                <w:szCs w:val="20"/>
                <w:color w:val="auto"/>
              </w:rPr>
            </w:pPr>
            <w:r>
              <w:rPr>
                <w:rFonts w:ascii="Arial" w:cs="Arial" w:eastAsia="Arial" w:hAnsi="Arial"/>
                <w:sz w:val="11"/>
                <w:szCs w:val="11"/>
                <w:b w:val="1"/>
                <w:bCs w:val="1"/>
                <w:color w:val="auto"/>
                <w:w w:val="89"/>
              </w:rPr>
              <w:t>Comprehensive</w:t>
            </w:r>
          </w:p>
        </w:tc>
        <w:tc>
          <w:tcPr>
            <w:tcW w:w="120" w:type="dxa"/>
            <w:vAlign w:val="bottom"/>
          </w:tcPr>
          <w:p>
            <w:pPr>
              <w:spacing w:after="0"/>
              <w:rPr>
                <w:sz w:val="14"/>
                <w:szCs w:val="14"/>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Retained</w:t>
            </w:r>
          </w:p>
        </w:tc>
        <w:tc>
          <w:tcPr>
            <w:tcW w:w="1860" w:type="dxa"/>
            <w:vAlign w:val="bottom"/>
            <w:tcBorders>
              <w:bottom w:val="single" w:sz="8" w:color="auto"/>
            </w:tcBorders>
            <w:gridSpan w:val="4"/>
          </w:tcPr>
          <w:p>
            <w:pPr>
              <w:jc w:val="right"/>
              <w:ind w:right="503"/>
              <w:spacing w:after="0"/>
              <w:rPr>
                <w:sz w:val="20"/>
                <w:szCs w:val="20"/>
                <w:color w:val="auto"/>
              </w:rPr>
            </w:pPr>
            <w:r>
              <w:rPr>
                <w:rFonts w:ascii="Arial" w:cs="Arial" w:eastAsia="Arial" w:hAnsi="Arial"/>
                <w:sz w:val="11"/>
                <w:szCs w:val="11"/>
                <w:b w:val="1"/>
                <w:bCs w:val="1"/>
                <w:color w:val="auto"/>
              </w:rPr>
              <w:t>Treasury Stock</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12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ind w:left="240"/>
              <w:spacing w:after="0"/>
              <w:rPr>
                <w:sz w:val="20"/>
                <w:szCs w:val="20"/>
                <w:color w:val="auto"/>
              </w:rPr>
            </w:pPr>
            <w:r>
              <w:rPr>
                <w:rFonts w:ascii="Arial" w:cs="Arial" w:eastAsia="Arial" w:hAnsi="Arial"/>
                <w:sz w:val="11"/>
                <w:szCs w:val="11"/>
                <w:b w:val="1"/>
                <w:bCs w:val="1"/>
                <w:color w:val="auto"/>
              </w:rPr>
              <w:t>Shares</w:t>
            </w:r>
          </w:p>
        </w:tc>
        <w:tc>
          <w:tcPr>
            <w:tcW w:w="1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Amount</w:t>
            </w: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1"/>
                <w:szCs w:val="11"/>
                <w:b w:val="1"/>
                <w:bCs w:val="1"/>
                <w:color w:val="auto"/>
              </w:rPr>
              <w:t>Shares</w:t>
            </w: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1"/>
                <w:szCs w:val="11"/>
                <w:b w:val="1"/>
                <w:bCs w:val="1"/>
                <w:color w:val="auto"/>
              </w:rPr>
              <w:t>Amount</w:t>
            </w: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1"/>
                <w:szCs w:val="11"/>
                <w:b w:val="1"/>
                <w:bCs w:val="1"/>
                <w:color w:val="auto"/>
                <w:w w:val="96"/>
              </w:rPr>
              <w:t>of Par</w:t>
            </w: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1"/>
                <w:szCs w:val="11"/>
                <w:b w:val="1"/>
                <w:bCs w:val="1"/>
                <w:color w:val="auto"/>
                <w:w w:val="85"/>
              </w:rPr>
              <w:t>Loss</w:t>
            </w: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1"/>
                <w:szCs w:val="11"/>
                <w:b w:val="1"/>
                <w:bCs w:val="1"/>
                <w:color w:val="auto"/>
              </w:rPr>
              <w:t>Earnings</w:t>
            </w:r>
          </w:p>
        </w:tc>
        <w:tc>
          <w:tcPr>
            <w:tcW w:w="84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b w:val="1"/>
                <w:bCs w:val="1"/>
                <w:color w:val="auto"/>
              </w:rPr>
              <w:t>Shares</w:t>
            </w: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1"/>
                <w:szCs w:val="11"/>
                <w:b w:val="1"/>
                <w:bCs w:val="1"/>
                <w:color w:val="auto"/>
              </w:rPr>
              <w:t>Amount</w:t>
            </w: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1"/>
                <w:szCs w:val="11"/>
                <w:b w:val="1"/>
                <w:bCs w:val="1"/>
                <w:color w:val="auto"/>
              </w:rPr>
              <w:t>Total</w:t>
            </w:r>
          </w:p>
        </w:tc>
      </w:tr>
      <w:tr>
        <w:trPr>
          <w:trHeight w:val="127"/>
        </w:trPr>
        <w:tc>
          <w:tcPr>
            <w:tcW w:w="19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Balance, July 1, 2018</w:t>
            </w:r>
          </w:p>
        </w:tc>
        <w:tc>
          <w:tcPr>
            <w:tcW w:w="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EEFF"/>
          </w:tcPr>
          <w:p>
            <w:pPr>
              <w:jc w:val="right"/>
              <w:ind w:right="583"/>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11,685,904</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116,859</w:t>
            </w: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68,347,784</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(2,496,981)</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25,471,668</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1,024,444</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(2,712,522)</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88,726,808</w:t>
            </w:r>
          </w:p>
        </w:tc>
        <w:tc>
          <w:tcPr>
            <w:tcW w:w="100" w:type="dxa"/>
            <w:vAlign w:val="bottom"/>
            <w:shd w:val="clear" w:color="auto" w:fill="CCEEFF"/>
          </w:tcPr>
          <w:p>
            <w:pPr>
              <w:spacing w:after="0"/>
              <w:rPr>
                <w:sz w:val="11"/>
                <w:szCs w:val="11"/>
                <w:color w:val="auto"/>
              </w:rPr>
            </w:pPr>
          </w:p>
        </w:tc>
      </w:tr>
      <w:tr>
        <w:trPr>
          <w:trHeight w:val="116"/>
        </w:trPr>
        <w:tc>
          <w:tcPr>
            <w:tcW w:w="1940" w:type="dxa"/>
            <w:vAlign w:val="bottom"/>
            <w:gridSpan w:val="2"/>
          </w:tcPr>
          <w:p>
            <w:pPr>
              <w:spacing w:after="0" w:line="116" w:lineRule="exact"/>
              <w:rPr>
                <w:sz w:val="20"/>
                <w:szCs w:val="20"/>
                <w:color w:val="auto"/>
              </w:rPr>
            </w:pPr>
            <w:r>
              <w:rPr>
                <w:rFonts w:ascii="Arial" w:cs="Arial" w:eastAsia="Arial" w:hAnsi="Arial"/>
                <w:sz w:val="11"/>
                <w:szCs w:val="11"/>
                <w:color w:val="auto"/>
              </w:rPr>
              <w:t>Stock-based</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7"/>
        </w:trPr>
        <w:tc>
          <w:tcPr>
            <w:tcW w:w="1940" w:type="dxa"/>
            <w:vAlign w:val="bottom"/>
            <w:gridSpan w:val="2"/>
          </w:tcPr>
          <w:p>
            <w:pPr>
              <w:spacing w:after="0"/>
              <w:rPr>
                <w:sz w:val="20"/>
                <w:szCs w:val="20"/>
                <w:color w:val="auto"/>
              </w:rPr>
            </w:pPr>
            <w:r>
              <w:rPr>
                <w:rFonts w:ascii="Arial" w:cs="Arial" w:eastAsia="Arial" w:hAnsi="Arial"/>
                <w:sz w:val="11"/>
                <w:szCs w:val="11"/>
                <w:color w:val="auto"/>
              </w:rPr>
              <w:t>compensation</w:t>
            </w: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197,335</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197,335</w:t>
            </w:r>
          </w:p>
        </w:tc>
        <w:tc>
          <w:tcPr>
            <w:tcW w:w="100" w:type="dxa"/>
            <w:vAlign w:val="bottom"/>
          </w:tcPr>
          <w:p>
            <w:pPr>
              <w:spacing w:after="0"/>
              <w:rPr>
                <w:sz w:val="11"/>
                <w:szCs w:val="11"/>
                <w:color w:val="auto"/>
              </w:rPr>
            </w:pPr>
          </w:p>
        </w:tc>
      </w:tr>
      <w:tr>
        <w:trPr>
          <w:trHeight w:val="116"/>
        </w:trPr>
        <w:tc>
          <w:tcPr>
            <w:tcW w:w="1940" w:type="dxa"/>
            <w:vAlign w:val="bottom"/>
            <w:gridSpan w:val="2"/>
            <w:shd w:val="clear" w:color="auto" w:fill="CCEEFF"/>
          </w:tcPr>
          <w:p>
            <w:pPr>
              <w:spacing w:after="0" w:line="116" w:lineRule="exact"/>
              <w:rPr>
                <w:sz w:val="20"/>
                <w:szCs w:val="20"/>
                <w:color w:val="auto"/>
              </w:rPr>
            </w:pPr>
            <w:r>
              <w:rPr>
                <w:rFonts w:ascii="Arial" w:cs="Arial" w:eastAsia="Arial" w:hAnsi="Arial"/>
                <w:sz w:val="11"/>
                <w:szCs w:val="11"/>
                <w:color w:val="auto"/>
              </w:rPr>
              <w:t>Vesting of restricted</w:t>
            </w: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7"/>
        </w:trPr>
        <w:tc>
          <w:tcPr>
            <w:tcW w:w="19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stock awards</w:t>
            </w:r>
          </w:p>
        </w:tc>
        <w:tc>
          <w:tcPr>
            <w:tcW w:w="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4,866</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w:t>
            </w: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(48)</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r>
      <w:tr>
        <w:trPr>
          <w:trHeight w:val="116"/>
        </w:trPr>
        <w:tc>
          <w:tcPr>
            <w:tcW w:w="1940" w:type="dxa"/>
            <w:vAlign w:val="bottom"/>
            <w:gridSpan w:val="2"/>
          </w:tcPr>
          <w:p>
            <w:pPr>
              <w:spacing w:after="0" w:line="116" w:lineRule="exact"/>
              <w:rPr>
                <w:sz w:val="20"/>
                <w:szCs w:val="20"/>
                <w:color w:val="auto"/>
              </w:rPr>
            </w:pPr>
            <w:r>
              <w:rPr>
                <w:rFonts w:ascii="Arial" w:cs="Arial" w:eastAsia="Arial" w:hAnsi="Arial"/>
                <w:sz w:val="11"/>
                <w:szCs w:val="11"/>
                <w:color w:val="auto"/>
              </w:rPr>
              <w:t>Share deducted from</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7"/>
        </w:trPr>
        <w:tc>
          <w:tcPr>
            <w:tcW w:w="1940" w:type="dxa"/>
            <w:vAlign w:val="bottom"/>
            <w:gridSpan w:val="2"/>
          </w:tcPr>
          <w:p>
            <w:pPr>
              <w:spacing w:after="0"/>
              <w:rPr>
                <w:sz w:val="20"/>
                <w:szCs w:val="20"/>
                <w:color w:val="auto"/>
              </w:rPr>
            </w:pPr>
            <w:r>
              <w:rPr>
                <w:rFonts w:ascii="Arial" w:cs="Arial" w:eastAsia="Arial" w:hAnsi="Arial"/>
                <w:sz w:val="11"/>
                <w:szCs w:val="11"/>
                <w:color w:val="auto"/>
              </w:rPr>
              <w:t>restricted stock awards</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7"/>
        </w:trPr>
        <w:tc>
          <w:tcPr>
            <w:tcW w:w="1940" w:type="dxa"/>
            <w:vAlign w:val="bottom"/>
            <w:gridSpan w:val="2"/>
          </w:tcPr>
          <w:p>
            <w:pPr>
              <w:spacing w:after="0"/>
              <w:rPr>
                <w:sz w:val="20"/>
                <w:szCs w:val="20"/>
                <w:color w:val="auto"/>
              </w:rPr>
            </w:pPr>
            <w:r>
              <w:rPr>
                <w:rFonts w:ascii="Arial" w:cs="Arial" w:eastAsia="Arial" w:hAnsi="Arial"/>
                <w:sz w:val="11"/>
                <w:szCs w:val="11"/>
                <w:color w:val="auto"/>
              </w:rPr>
              <w:t>for payment of</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7"/>
        </w:trPr>
        <w:tc>
          <w:tcPr>
            <w:tcW w:w="1940" w:type="dxa"/>
            <w:vAlign w:val="bottom"/>
            <w:gridSpan w:val="2"/>
          </w:tcPr>
          <w:p>
            <w:pPr>
              <w:spacing w:after="0"/>
              <w:rPr>
                <w:sz w:val="20"/>
                <w:szCs w:val="20"/>
                <w:color w:val="auto"/>
              </w:rPr>
            </w:pPr>
            <w:r>
              <w:rPr>
                <w:rFonts w:ascii="Arial" w:cs="Arial" w:eastAsia="Arial" w:hAnsi="Arial"/>
                <w:sz w:val="11"/>
                <w:szCs w:val="11"/>
                <w:color w:val="auto"/>
              </w:rPr>
              <w:t>withholding taxes</w:t>
            </w: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1220" w:type="dxa"/>
            <w:vAlign w:val="bottom"/>
            <w:gridSpan w:val="3"/>
          </w:tcPr>
          <w:p>
            <w:pPr>
              <w:jc w:val="right"/>
              <w:ind w:right="160"/>
              <w:spacing w:after="0"/>
              <w:rPr>
                <w:sz w:val="20"/>
                <w:szCs w:val="20"/>
                <w:color w:val="auto"/>
              </w:rPr>
            </w:pPr>
            <w:r>
              <w:rPr>
                <w:rFonts w:ascii="Arial" w:cs="Arial" w:eastAsia="Arial" w:hAnsi="Arial"/>
                <w:sz w:val="11"/>
                <w:szCs w:val="11"/>
                <w:color w:val="auto"/>
              </w:rPr>
              <w:t>(1,059)</w:t>
            </w:r>
          </w:p>
        </w:tc>
        <w:tc>
          <w:tcPr>
            <w:tcW w:w="140" w:type="dxa"/>
            <w:vAlign w:val="bottom"/>
          </w:tcPr>
          <w:p>
            <w:pPr>
              <w:spacing w:after="0"/>
              <w:rPr>
                <w:sz w:val="11"/>
                <w:szCs w:val="11"/>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1"/>
                <w:szCs w:val="11"/>
                <w:color w:val="auto"/>
              </w:rPr>
              <w:t>(11)</w:t>
            </w:r>
          </w:p>
        </w:tc>
        <w:tc>
          <w:tcPr>
            <w:tcW w:w="120" w:type="dxa"/>
            <w:vAlign w:val="bottom"/>
          </w:tcPr>
          <w:p>
            <w:pPr>
              <w:spacing w:after="0"/>
              <w:rPr>
                <w:sz w:val="11"/>
                <w:szCs w:val="11"/>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1"/>
                <w:szCs w:val="11"/>
                <w:color w:val="auto"/>
              </w:rPr>
              <w:t>(18,339)</w:t>
            </w: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1"/>
                <w:szCs w:val="11"/>
                <w:color w:val="auto"/>
              </w:rPr>
              <w:t>(18,350)</w:t>
            </w:r>
          </w:p>
        </w:tc>
      </w:tr>
      <w:tr>
        <w:trPr>
          <w:trHeight w:val="127"/>
        </w:trPr>
        <w:tc>
          <w:tcPr>
            <w:tcW w:w="19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Exercise of stock options</w:t>
            </w:r>
          </w:p>
        </w:tc>
        <w:tc>
          <w:tcPr>
            <w:tcW w:w="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57,596</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576</w:t>
            </w: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26,684</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27,260</w:t>
            </w:r>
          </w:p>
        </w:tc>
        <w:tc>
          <w:tcPr>
            <w:tcW w:w="100" w:type="dxa"/>
            <w:vAlign w:val="bottom"/>
            <w:shd w:val="clear" w:color="auto" w:fill="CCEEFF"/>
          </w:tcPr>
          <w:p>
            <w:pPr>
              <w:spacing w:after="0"/>
              <w:rPr>
                <w:sz w:val="11"/>
                <w:szCs w:val="11"/>
                <w:color w:val="auto"/>
              </w:rPr>
            </w:pPr>
          </w:p>
        </w:tc>
      </w:tr>
      <w:tr>
        <w:trPr>
          <w:trHeight w:val="116"/>
        </w:trPr>
        <w:tc>
          <w:tcPr>
            <w:tcW w:w="1940" w:type="dxa"/>
            <w:vAlign w:val="bottom"/>
            <w:gridSpan w:val="2"/>
          </w:tcPr>
          <w:p>
            <w:pPr>
              <w:spacing w:after="0" w:line="116" w:lineRule="exact"/>
              <w:rPr>
                <w:sz w:val="20"/>
                <w:szCs w:val="20"/>
                <w:color w:val="auto"/>
              </w:rPr>
            </w:pPr>
            <w:r>
              <w:rPr>
                <w:rFonts w:ascii="Arial" w:cs="Arial" w:eastAsia="Arial" w:hAnsi="Arial"/>
                <w:sz w:val="11"/>
                <w:szCs w:val="11"/>
                <w:color w:val="auto"/>
              </w:rPr>
              <w:t>Shares deducted from</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7"/>
        </w:trPr>
        <w:tc>
          <w:tcPr>
            <w:tcW w:w="1940" w:type="dxa"/>
            <w:vAlign w:val="bottom"/>
            <w:gridSpan w:val="2"/>
          </w:tcPr>
          <w:p>
            <w:pPr>
              <w:spacing w:after="0"/>
              <w:rPr>
                <w:sz w:val="20"/>
                <w:szCs w:val="20"/>
                <w:color w:val="auto"/>
              </w:rPr>
            </w:pPr>
            <w:r>
              <w:rPr>
                <w:rFonts w:ascii="Arial" w:cs="Arial" w:eastAsia="Arial" w:hAnsi="Arial"/>
                <w:sz w:val="11"/>
                <w:szCs w:val="11"/>
                <w:color w:val="auto"/>
              </w:rPr>
              <w:t>exercise of stock</w:t>
            </w: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1220" w:type="dxa"/>
            <w:vAlign w:val="bottom"/>
            <w:gridSpan w:val="3"/>
          </w:tcPr>
          <w:p>
            <w:pPr>
              <w:jc w:val="right"/>
              <w:ind w:right="160"/>
              <w:spacing w:after="0"/>
              <w:rPr>
                <w:sz w:val="20"/>
                <w:szCs w:val="20"/>
                <w:color w:val="auto"/>
              </w:rPr>
            </w:pPr>
            <w:r>
              <w:rPr>
                <w:rFonts w:ascii="Arial" w:cs="Arial" w:eastAsia="Arial" w:hAnsi="Arial"/>
                <w:sz w:val="11"/>
                <w:szCs w:val="11"/>
                <w:color w:val="auto"/>
              </w:rPr>
              <w:t>(18,141)</w:t>
            </w:r>
          </w:p>
        </w:tc>
        <w:tc>
          <w:tcPr>
            <w:tcW w:w="140" w:type="dxa"/>
            <w:vAlign w:val="bottom"/>
          </w:tcPr>
          <w:p>
            <w:pPr>
              <w:spacing w:after="0"/>
              <w:rPr>
                <w:sz w:val="11"/>
                <w:szCs w:val="11"/>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1"/>
                <w:szCs w:val="11"/>
                <w:color w:val="auto"/>
              </w:rPr>
              <w:t>(181)</w:t>
            </w:r>
          </w:p>
        </w:tc>
        <w:tc>
          <w:tcPr>
            <w:tcW w:w="120" w:type="dxa"/>
            <w:vAlign w:val="bottom"/>
          </w:tcPr>
          <w:p>
            <w:pPr>
              <w:spacing w:after="0"/>
              <w:rPr>
                <w:sz w:val="11"/>
                <w:szCs w:val="11"/>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1"/>
                <w:szCs w:val="11"/>
                <w:color w:val="auto"/>
              </w:rPr>
              <w:t>(332,702)</w:t>
            </w: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1"/>
                <w:szCs w:val="11"/>
                <w:color w:val="auto"/>
              </w:rPr>
              <w:t>(332,883)</w:t>
            </w:r>
          </w:p>
        </w:tc>
      </w:tr>
      <w:tr>
        <w:trPr>
          <w:trHeight w:val="116"/>
        </w:trPr>
        <w:tc>
          <w:tcPr>
            <w:tcW w:w="1940" w:type="dxa"/>
            <w:vAlign w:val="bottom"/>
            <w:gridSpan w:val="2"/>
            <w:shd w:val="clear" w:color="auto" w:fill="CCEEFF"/>
          </w:tcPr>
          <w:p>
            <w:pPr>
              <w:spacing w:after="0" w:line="116" w:lineRule="exact"/>
              <w:rPr>
                <w:sz w:val="20"/>
                <w:szCs w:val="20"/>
                <w:color w:val="auto"/>
              </w:rPr>
            </w:pPr>
            <w:r>
              <w:rPr>
                <w:rFonts w:ascii="Arial" w:cs="Arial" w:eastAsia="Arial" w:hAnsi="Arial"/>
                <w:sz w:val="11"/>
                <w:szCs w:val="11"/>
                <w:color w:val="auto"/>
              </w:rPr>
              <w:t>Acquisition of treasury</w:t>
            </w: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7"/>
        </w:trPr>
        <w:tc>
          <w:tcPr>
            <w:tcW w:w="19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stock</w:t>
            </w:r>
          </w:p>
        </w:tc>
        <w:tc>
          <w:tcPr>
            <w:tcW w:w="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2,995</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(30)</w:t>
            </w:r>
          </w:p>
        </w:tc>
        <w:tc>
          <w:tcPr>
            <w:tcW w:w="1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(30)</w:t>
            </w:r>
          </w:p>
        </w:tc>
      </w:tr>
      <w:tr>
        <w:trPr>
          <w:trHeight w:val="127"/>
        </w:trPr>
        <w:tc>
          <w:tcPr>
            <w:tcW w:w="1940" w:type="dxa"/>
            <w:vAlign w:val="bottom"/>
            <w:gridSpan w:val="2"/>
          </w:tcPr>
          <w:p>
            <w:pPr>
              <w:spacing w:after="0"/>
              <w:rPr>
                <w:sz w:val="20"/>
                <w:szCs w:val="20"/>
                <w:color w:val="auto"/>
              </w:rPr>
            </w:pPr>
            <w:r>
              <w:rPr>
                <w:rFonts w:ascii="Arial" w:cs="Arial" w:eastAsia="Arial" w:hAnsi="Arial"/>
                <w:sz w:val="11"/>
                <w:szCs w:val="11"/>
                <w:color w:val="auto"/>
              </w:rPr>
              <w:t>Dividends</w:t>
            </w: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1"/>
                <w:szCs w:val="11"/>
                <w:color w:val="auto"/>
              </w:rPr>
              <w:t>(1,070,054)</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1"/>
                <w:szCs w:val="11"/>
                <w:color w:val="auto"/>
              </w:rPr>
              <w:t>(1,070,054)</w:t>
            </w:r>
          </w:p>
        </w:tc>
      </w:tr>
      <w:tr>
        <w:trPr>
          <w:trHeight w:val="127"/>
        </w:trPr>
        <w:tc>
          <w:tcPr>
            <w:tcW w:w="19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3,933,730</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3,933,730</w:t>
            </w:r>
          </w:p>
        </w:tc>
        <w:tc>
          <w:tcPr>
            <w:tcW w:w="100" w:type="dxa"/>
            <w:vAlign w:val="bottom"/>
            <w:shd w:val="clear" w:color="auto" w:fill="CCEEFF"/>
          </w:tcPr>
          <w:p>
            <w:pPr>
              <w:spacing w:after="0"/>
              <w:rPr>
                <w:sz w:val="11"/>
                <w:szCs w:val="11"/>
                <w:color w:val="auto"/>
              </w:rPr>
            </w:pPr>
          </w:p>
        </w:tc>
      </w:tr>
      <w:tr>
        <w:trPr>
          <w:trHeight w:val="116"/>
        </w:trPr>
        <w:tc>
          <w:tcPr>
            <w:tcW w:w="1940" w:type="dxa"/>
            <w:vAlign w:val="bottom"/>
            <w:gridSpan w:val="2"/>
          </w:tcPr>
          <w:p>
            <w:pPr>
              <w:spacing w:after="0" w:line="116" w:lineRule="exact"/>
              <w:rPr>
                <w:sz w:val="20"/>
                <w:szCs w:val="20"/>
                <w:color w:val="auto"/>
              </w:rPr>
            </w:pPr>
            <w:r>
              <w:rPr>
                <w:rFonts w:ascii="Arial" w:cs="Arial" w:eastAsia="Arial" w:hAnsi="Arial"/>
                <w:sz w:val="11"/>
                <w:szCs w:val="11"/>
                <w:color w:val="auto"/>
              </w:rPr>
              <w:t>Change in unrealized</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7"/>
        </w:trPr>
        <w:tc>
          <w:tcPr>
            <w:tcW w:w="1940" w:type="dxa"/>
            <w:vAlign w:val="bottom"/>
            <w:gridSpan w:val="2"/>
          </w:tcPr>
          <w:p>
            <w:pPr>
              <w:spacing w:after="0"/>
              <w:rPr>
                <w:sz w:val="20"/>
                <w:szCs w:val="20"/>
                <w:color w:val="auto"/>
              </w:rPr>
            </w:pPr>
            <w:r>
              <w:rPr>
                <w:rFonts w:ascii="Arial" w:cs="Arial" w:eastAsia="Arial" w:hAnsi="Arial"/>
                <w:sz w:val="11"/>
                <w:szCs w:val="11"/>
                <w:color w:val="auto"/>
              </w:rPr>
              <w:t>losses on available-for-</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2"/>
        </w:trPr>
        <w:tc>
          <w:tcPr>
            <w:tcW w:w="1260" w:type="dxa"/>
            <w:vAlign w:val="bottom"/>
          </w:tcPr>
          <w:p>
            <w:pPr>
              <w:spacing w:after="0"/>
              <w:rPr>
                <w:sz w:val="20"/>
                <w:szCs w:val="20"/>
                <w:color w:val="auto"/>
              </w:rPr>
            </w:pPr>
            <w:r>
              <w:rPr>
                <w:rFonts w:ascii="Arial" w:cs="Arial" w:eastAsia="Arial" w:hAnsi="Arial"/>
                <w:sz w:val="11"/>
                <w:szCs w:val="11"/>
                <w:color w:val="auto"/>
              </w:rPr>
              <w:t>sale securities, net of tax</w:t>
            </w:r>
          </w:p>
        </w:tc>
        <w:tc>
          <w:tcPr>
            <w:tcW w:w="68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(98,059)</w:t>
            </w:r>
          </w:p>
        </w:tc>
        <w:tc>
          <w:tcPr>
            <w:tcW w:w="1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1"/>
                <w:szCs w:val="11"/>
                <w:color w:val="auto"/>
              </w:rPr>
              <w:t>(98,059)</w:t>
            </w:r>
          </w:p>
        </w:tc>
      </w:tr>
      <w:tr>
        <w:trPr>
          <w:trHeight w:val="116"/>
        </w:trPr>
        <w:tc>
          <w:tcPr>
            <w:tcW w:w="1260" w:type="dxa"/>
            <w:vAlign w:val="bottom"/>
            <w:shd w:val="clear" w:color="auto" w:fill="CCEEFF"/>
          </w:tcPr>
          <w:p>
            <w:pPr>
              <w:spacing w:after="0" w:line="116" w:lineRule="exact"/>
              <w:rPr>
                <w:sz w:val="20"/>
                <w:szCs w:val="20"/>
                <w:color w:val="auto"/>
              </w:rPr>
            </w:pPr>
            <w:r>
              <w:rPr>
                <w:rFonts w:ascii="Arial" w:cs="Arial" w:eastAsia="Arial" w:hAnsi="Arial"/>
                <w:sz w:val="11"/>
                <w:szCs w:val="11"/>
                <w:color w:val="auto"/>
              </w:rPr>
              <w:t>Balance, September 30,</w:t>
            </w:r>
          </w:p>
        </w:tc>
        <w:tc>
          <w:tcPr>
            <w:tcW w:w="6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77"/>
        </w:trPr>
        <w:tc>
          <w:tcPr>
            <w:tcW w:w="1260" w:type="dxa"/>
            <w:vAlign w:val="bottom"/>
            <w:shd w:val="clear" w:color="auto" w:fill="CCEEFF"/>
          </w:tcPr>
          <w:p>
            <w:pPr>
              <w:spacing w:after="0"/>
              <w:rPr>
                <w:sz w:val="20"/>
                <w:szCs w:val="20"/>
                <w:color w:val="auto"/>
              </w:rPr>
            </w:pPr>
            <w:r>
              <w:rPr>
                <w:rFonts w:ascii="Arial" w:cs="Arial" w:eastAsia="Arial" w:hAnsi="Arial"/>
                <w:sz w:val="11"/>
                <w:szCs w:val="11"/>
                <w:color w:val="auto"/>
              </w:rPr>
              <w:t>2018</w:t>
            </w: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EEFF"/>
          </w:tcPr>
          <w:p>
            <w:pPr>
              <w:jc w:val="right"/>
              <w:ind w:right="583"/>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11,729,166</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117,291</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68,220,714</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(2,595,040)</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28,335,344</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1,027,439</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(2,712,552)</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91,365,757</w:t>
            </w:r>
          </w:p>
        </w:tc>
        <w:tc>
          <w:tcPr>
            <w:tcW w:w="100" w:type="dxa"/>
            <w:vAlign w:val="bottom"/>
            <w:shd w:val="clear" w:color="auto" w:fill="CCEEFF"/>
          </w:tcPr>
          <w:p>
            <w:pPr>
              <w:spacing w:after="0"/>
              <w:rPr>
                <w:sz w:val="15"/>
                <w:szCs w:val="15"/>
                <w:color w:val="auto"/>
              </w:rPr>
            </w:pPr>
          </w:p>
        </w:tc>
      </w:tr>
      <w:tr>
        <w:trPr>
          <w:trHeight w:val="333"/>
        </w:trPr>
        <w:tc>
          <w:tcPr>
            <w:tcW w:w="1260" w:type="dxa"/>
            <w:vAlign w:val="bottom"/>
            <w:tcBorders>
              <w:top w:val="single" w:sz="8" w:color="CCEEFF"/>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jc w:val="center"/>
              <w:ind w:right="23"/>
              <w:spacing w:after="0"/>
              <w:rPr>
                <w:sz w:val="20"/>
                <w:szCs w:val="20"/>
                <w:color w:val="auto"/>
              </w:rPr>
            </w:pPr>
            <w:r>
              <w:rPr>
                <w:rFonts w:ascii="Arial" w:cs="Arial" w:eastAsia="Arial" w:hAnsi="Arial"/>
                <w:sz w:val="11"/>
                <w:szCs w:val="11"/>
                <w:b w:val="1"/>
                <w:bCs w:val="1"/>
                <w:color w:val="auto"/>
                <w:w w:val="95"/>
              </w:rPr>
              <w:t>Accumulated</w:t>
            </w:r>
          </w:p>
        </w:tc>
        <w:tc>
          <w:tcPr>
            <w:tcW w:w="2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27"/>
        </w:trPr>
        <w:tc>
          <w:tcPr>
            <w:tcW w:w="1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8"/>
              </w:rPr>
              <w:t>Capital</w:t>
            </w:r>
          </w:p>
        </w:tc>
        <w:tc>
          <w:tcPr>
            <w:tcW w:w="80" w:type="dxa"/>
            <w:vAlign w:val="bottom"/>
          </w:tcPr>
          <w:p>
            <w:pPr>
              <w:spacing w:after="0"/>
              <w:rPr>
                <w:sz w:val="11"/>
                <w:szCs w:val="11"/>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rPr>
              <w:t>Other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70"/>
        </w:trPr>
        <w:tc>
          <w:tcPr>
            <w:tcW w:w="1260" w:type="dxa"/>
            <w:vAlign w:val="bottom"/>
          </w:tcPr>
          <w:p>
            <w:pPr>
              <w:spacing w:after="0"/>
              <w:rPr>
                <w:sz w:val="14"/>
                <w:szCs w:val="14"/>
                <w:color w:val="auto"/>
              </w:rPr>
            </w:pPr>
          </w:p>
        </w:tc>
        <w:tc>
          <w:tcPr>
            <w:tcW w:w="1740" w:type="dxa"/>
            <w:vAlign w:val="bottom"/>
            <w:tcBorders>
              <w:bottom w:val="single" w:sz="8" w:color="auto"/>
            </w:tcBorders>
            <w:gridSpan w:val="4"/>
          </w:tcPr>
          <w:p>
            <w:pPr>
              <w:jc w:val="right"/>
              <w:ind w:right="363"/>
              <w:spacing w:after="0"/>
              <w:rPr>
                <w:sz w:val="20"/>
                <w:szCs w:val="20"/>
                <w:color w:val="auto"/>
              </w:rPr>
            </w:pPr>
            <w:r>
              <w:rPr>
                <w:rFonts w:ascii="Arial" w:cs="Arial" w:eastAsia="Arial" w:hAnsi="Arial"/>
                <w:sz w:val="11"/>
                <w:szCs w:val="11"/>
                <w:b w:val="1"/>
                <w:bCs w:val="1"/>
                <w:color w:val="auto"/>
              </w:rPr>
              <w:t>Preferred Stock</w:t>
            </w:r>
          </w:p>
        </w:tc>
        <w:tc>
          <w:tcPr>
            <w:tcW w:w="1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tcBorders>
              <w:bottom w:val="single" w:sz="8" w:color="auto"/>
            </w:tcBorders>
            <w:gridSpan w:val="4"/>
          </w:tcPr>
          <w:p>
            <w:pPr>
              <w:jc w:val="right"/>
              <w:ind w:right="483"/>
              <w:spacing w:after="0"/>
              <w:rPr>
                <w:sz w:val="20"/>
                <w:szCs w:val="20"/>
                <w:color w:val="auto"/>
              </w:rPr>
            </w:pPr>
            <w:r>
              <w:rPr>
                <w:rFonts w:ascii="Arial" w:cs="Arial" w:eastAsia="Arial" w:hAnsi="Arial"/>
                <w:sz w:val="11"/>
                <w:szCs w:val="11"/>
                <w:b w:val="1"/>
                <w:bCs w:val="1"/>
                <w:color w:val="auto"/>
              </w:rPr>
              <w:t>Common Stock</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86"/>
              </w:rPr>
              <w:t>in Excess</w:t>
            </w:r>
          </w:p>
        </w:tc>
        <w:tc>
          <w:tcPr>
            <w:tcW w:w="1020" w:type="dxa"/>
            <w:vAlign w:val="bottom"/>
            <w:gridSpan w:val="3"/>
          </w:tcPr>
          <w:p>
            <w:pPr>
              <w:jc w:val="center"/>
              <w:ind w:right="200"/>
              <w:spacing w:after="0"/>
              <w:rPr>
                <w:sz w:val="20"/>
                <w:szCs w:val="20"/>
                <w:color w:val="auto"/>
              </w:rPr>
            </w:pPr>
            <w:r>
              <w:rPr>
                <w:rFonts w:ascii="Arial" w:cs="Arial" w:eastAsia="Arial" w:hAnsi="Arial"/>
                <w:sz w:val="11"/>
                <w:szCs w:val="11"/>
                <w:b w:val="1"/>
                <w:bCs w:val="1"/>
                <w:color w:val="auto"/>
                <w:w w:val="89"/>
              </w:rPr>
              <w:t>Comprehensive</w:t>
            </w:r>
          </w:p>
        </w:tc>
        <w:tc>
          <w:tcPr>
            <w:tcW w:w="120" w:type="dxa"/>
            <w:vAlign w:val="bottom"/>
          </w:tcPr>
          <w:p>
            <w:pPr>
              <w:spacing w:after="0"/>
              <w:rPr>
                <w:sz w:val="14"/>
                <w:szCs w:val="14"/>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Retained</w:t>
            </w:r>
          </w:p>
        </w:tc>
        <w:tc>
          <w:tcPr>
            <w:tcW w:w="1860" w:type="dxa"/>
            <w:vAlign w:val="bottom"/>
            <w:tcBorders>
              <w:bottom w:val="single" w:sz="8" w:color="auto"/>
            </w:tcBorders>
            <w:gridSpan w:val="4"/>
          </w:tcPr>
          <w:p>
            <w:pPr>
              <w:jc w:val="right"/>
              <w:ind w:right="503"/>
              <w:spacing w:after="0"/>
              <w:rPr>
                <w:sz w:val="20"/>
                <w:szCs w:val="20"/>
                <w:color w:val="auto"/>
              </w:rPr>
            </w:pPr>
            <w:r>
              <w:rPr>
                <w:rFonts w:ascii="Arial" w:cs="Arial" w:eastAsia="Arial" w:hAnsi="Arial"/>
                <w:sz w:val="11"/>
                <w:szCs w:val="11"/>
                <w:b w:val="1"/>
                <w:bCs w:val="1"/>
                <w:color w:val="auto"/>
              </w:rPr>
              <w:t>Treasury Stock</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12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ind w:left="240"/>
              <w:spacing w:after="0"/>
              <w:rPr>
                <w:sz w:val="20"/>
                <w:szCs w:val="20"/>
                <w:color w:val="auto"/>
              </w:rPr>
            </w:pPr>
            <w:r>
              <w:rPr>
                <w:rFonts w:ascii="Arial" w:cs="Arial" w:eastAsia="Arial" w:hAnsi="Arial"/>
                <w:sz w:val="11"/>
                <w:szCs w:val="11"/>
                <w:b w:val="1"/>
                <w:bCs w:val="1"/>
                <w:color w:val="auto"/>
              </w:rPr>
              <w:t>Shares</w:t>
            </w:r>
          </w:p>
        </w:tc>
        <w:tc>
          <w:tcPr>
            <w:tcW w:w="1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Amount</w:t>
            </w: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1"/>
                <w:szCs w:val="11"/>
                <w:b w:val="1"/>
                <w:bCs w:val="1"/>
                <w:color w:val="auto"/>
              </w:rPr>
              <w:t>Shares</w:t>
            </w: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1"/>
                <w:szCs w:val="11"/>
                <w:b w:val="1"/>
                <w:bCs w:val="1"/>
                <w:color w:val="auto"/>
              </w:rPr>
              <w:t>Amount</w:t>
            </w: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1"/>
                <w:szCs w:val="11"/>
                <w:b w:val="1"/>
                <w:bCs w:val="1"/>
                <w:color w:val="auto"/>
                <w:w w:val="96"/>
              </w:rPr>
              <w:t>of Par</w:t>
            </w: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1"/>
                <w:szCs w:val="11"/>
                <w:b w:val="1"/>
                <w:bCs w:val="1"/>
                <w:color w:val="auto"/>
                <w:w w:val="98"/>
              </w:rPr>
              <w:t>Income</w:t>
            </w: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1"/>
                <w:szCs w:val="11"/>
                <w:b w:val="1"/>
                <w:bCs w:val="1"/>
                <w:color w:val="auto"/>
              </w:rPr>
              <w:t>Earnings</w:t>
            </w:r>
          </w:p>
        </w:tc>
        <w:tc>
          <w:tcPr>
            <w:tcW w:w="84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b w:val="1"/>
                <w:bCs w:val="1"/>
                <w:color w:val="auto"/>
              </w:rPr>
              <w:t>Shares</w:t>
            </w: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1"/>
                <w:szCs w:val="11"/>
                <w:b w:val="1"/>
                <w:bCs w:val="1"/>
                <w:color w:val="auto"/>
              </w:rPr>
              <w:t>Amount</w:t>
            </w: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1"/>
                <w:szCs w:val="11"/>
                <w:b w:val="1"/>
                <w:bCs w:val="1"/>
                <w:color w:val="auto"/>
              </w:rPr>
              <w:t>Total</w:t>
            </w:r>
          </w:p>
        </w:tc>
      </w:tr>
      <w:tr>
        <w:trPr>
          <w:trHeight w:val="127"/>
        </w:trPr>
        <w:tc>
          <w:tcPr>
            <w:tcW w:w="19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Balance, July 1, 2019</w:t>
            </w:r>
          </w:p>
        </w:tc>
        <w:tc>
          <w:tcPr>
            <w:tcW w:w="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EEFF"/>
          </w:tcPr>
          <w:p>
            <w:pPr>
              <w:jc w:val="right"/>
              <w:ind w:right="583"/>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11,802,087</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118,020</w:t>
            </w: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68,373,590</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3,359,047</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18,531,657</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1,027,439</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(2,712,552)</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87,669,762</w:t>
            </w:r>
          </w:p>
        </w:tc>
        <w:tc>
          <w:tcPr>
            <w:tcW w:w="100" w:type="dxa"/>
            <w:vAlign w:val="bottom"/>
            <w:shd w:val="clear" w:color="auto" w:fill="CCEEFF"/>
          </w:tcPr>
          <w:p>
            <w:pPr>
              <w:spacing w:after="0"/>
              <w:rPr>
                <w:sz w:val="11"/>
                <w:szCs w:val="11"/>
                <w:color w:val="auto"/>
              </w:rPr>
            </w:pPr>
          </w:p>
        </w:tc>
      </w:tr>
      <w:tr>
        <w:trPr>
          <w:trHeight w:val="116"/>
        </w:trPr>
        <w:tc>
          <w:tcPr>
            <w:tcW w:w="1940" w:type="dxa"/>
            <w:vAlign w:val="bottom"/>
            <w:gridSpan w:val="2"/>
          </w:tcPr>
          <w:p>
            <w:pPr>
              <w:spacing w:after="0" w:line="116" w:lineRule="exact"/>
              <w:rPr>
                <w:sz w:val="20"/>
                <w:szCs w:val="20"/>
                <w:color w:val="auto"/>
              </w:rPr>
            </w:pPr>
            <w:r>
              <w:rPr>
                <w:rFonts w:ascii="Arial" w:cs="Arial" w:eastAsia="Arial" w:hAnsi="Arial"/>
                <w:sz w:val="11"/>
                <w:szCs w:val="11"/>
                <w:color w:val="auto"/>
              </w:rPr>
              <w:t>Stock-based</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7"/>
        </w:trPr>
        <w:tc>
          <w:tcPr>
            <w:tcW w:w="1940" w:type="dxa"/>
            <w:vAlign w:val="bottom"/>
            <w:gridSpan w:val="2"/>
          </w:tcPr>
          <w:p>
            <w:pPr>
              <w:spacing w:after="0"/>
              <w:rPr>
                <w:sz w:val="20"/>
                <w:szCs w:val="20"/>
                <w:color w:val="auto"/>
              </w:rPr>
            </w:pPr>
            <w:r>
              <w:rPr>
                <w:rFonts w:ascii="Arial" w:cs="Arial" w:eastAsia="Arial" w:hAnsi="Arial"/>
                <w:sz w:val="11"/>
                <w:szCs w:val="11"/>
                <w:color w:val="auto"/>
              </w:rPr>
              <w:t>compensation</w:t>
            </w: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407,714</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407,714</w:t>
            </w:r>
          </w:p>
        </w:tc>
        <w:tc>
          <w:tcPr>
            <w:tcW w:w="100" w:type="dxa"/>
            <w:vAlign w:val="bottom"/>
          </w:tcPr>
          <w:p>
            <w:pPr>
              <w:spacing w:after="0"/>
              <w:rPr>
                <w:sz w:val="11"/>
                <w:szCs w:val="11"/>
                <w:color w:val="auto"/>
              </w:rPr>
            </w:pPr>
          </w:p>
        </w:tc>
      </w:tr>
      <w:tr>
        <w:trPr>
          <w:trHeight w:val="116"/>
        </w:trPr>
        <w:tc>
          <w:tcPr>
            <w:tcW w:w="1940" w:type="dxa"/>
            <w:vAlign w:val="bottom"/>
            <w:gridSpan w:val="2"/>
            <w:shd w:val="clear" w:color="auto" w:fill="CCEEFF"/>
          </w:tcPr>
          <w:p>
            <w:pPr>
              <w:spacing w:after="0" w:line="116" w:lineRule="exact"/>
              <w:rPr>
                <w:sz w:val="20"/>
                <w:szCs w:val="20"/>
                <w:color w:val="auto"/>
              </w:rPr>
            </w:pPr>
            <w:r>
              <w:rPr>
                <w:rFonts w:ascii="Arial" w:cs="Arial" w:eastAsia="Arial" w:hAnsi="Arial"/>
                <w:sz w:val="11"/>
                <w:szCs w:val="11"/>
                <w:color w:val="auto"/>
              </w:rPr>
              <w:t>Vesting of restricted</w:t>
            </w: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7"/>
        </w:trPr>
        <w:tc>
          <w:tcPr>
            <w:tcW w:w="19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stock awards</w:t>
            </w:r>
          </w:p>
        </w:tc>
        <w:tc>
          <w:tcPr>
            <w:tcW w:w="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12,050</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120</w:t>
            </w: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(120)</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r>
      <w:tr>
        <w:trPr>
          <w:trHeight w:val="116"/>
        </w:trPr>
        <w:tc>
          <w:tcPr>
            <w:tcW w:w="1940" w:type="dxa"/>
            <w:vAlign w:val="bottom"/>
            <w:gridSpan w:val="2"/>
          </w:tcPr>
          <w:p>
            <w:pPr>
              <w:spacing w:after="0" w:line="116" w:lineRule="exact"/>
              <w:rPr>
                <w:sz w:val="20"/>
                <w:szCs w:val="20"/>
                <w:color w:val="auto"/>
              </w:rPr>
            </w:pPr>
            <w:r>
              <w:rPr>
                <w:rFonts w:ascii="Arial" w:cs="Arial" w:eastAsia="Arial" w:hAnsi="Arial"/>
                <w:sz w:val="11"/>
                <w:szCs w:val="11"/>
                <w:color w:val="auto"/>
              </w:rPr>
              <w:t>Shares deducted from</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7"/>
        </w:trPr>
        <w:tc>
          <w:tcPr>
            <w:tcW w:w="1940" w:type="dxa"/>
            <w:vAlign w:val="bottom"/>
            <w:gridSpan w:val="2"/>
          </w:tcPr>
          <w:p>
            <w:pPr>
              <w:spacing w:after="0"/>
              <w:rPr>
                <w:sz w:val="20"/>
                <w:szCs w:val="20"/>
                <w:color w:val="auto"/>
              </w:rPr>
            </w:pPr>
            <w:r>
              <w:rPr>
                <w:rFonts w:ascii="Arial" w:cs="Arial" w:eastAsia="Arial" w:hAnsi="Arial"/>
                <w:sz w:val="11"/>
                <w:szCs w:val="11"/>
                <w:color w:val="auto"/>
              </w:rPr>
              <w:t>restricted stock awards</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7"/>
        </w:trPr>
        <w:tc>
          <w:tcPr>
            <w:tcW w:w="1940" w:type="dxa"/>
            <w:vAlign w:val="bottom"/>
            <w:gridSpan w:val="2"/>
          </w:tcPr>
          <w:p>
            <w:pPr>
              <w:spacing w:after="0"/>
              <w:rPr>
                <w:sz w:val="20"/>
                <w:szCs w:val="20"/>
                <w:color w:val="auto"/>
              </w:rPr>
            </w:pPr>
            <w:r>
              <w:rPr>
                <w:rFonts w:ascii="Arial" w:cs="Arial" w:eastAsia="Arial" w:hAnsi="Arial"/>
                <w:sz w:val="11"/>
                <w:szCs w:val="11"/>
                <w:color w:val="auto"/>
              </w:rPr>
              <w:t>for payment of</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7"/>
        </w:trPr>
        <w:tc>
          <w:tcPr>
            <w:tcW w:w="1940" w:type="dxa"/>
            <w:vAlign w:val="bottom"/>
            <w:gridSpan w:val="2"/>
          </w:tcPr>
          <w:p>
            <w:pPr>
              <w:spacing w:after="0"/>
              <w:rPr>
                <w:sz w:val="20"/>
                <w:szCs w:val="20"/>
                <w:color w:val="auto"/>
              </w:rPr>
            </w:pPr>
            <w:r>
              <w:rPr>
                <w:rFonts w:ascii="Arial" w:cs="Arial" w:eastAsia="Arial" w:hAnsi="Arial"/>
                <w:sz w:val="11"/>
                <w:szCs w:val="11"/>
                <w:color w:val="auto"/>
              </w:rPr>
              <w:t>withholding taxes</w:t>
            </w: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1220" w:type="dxa"/>
            <w:vAlign w:val="bottom"/>
            <w:gridSpan w:val="3"/>
          </w:tcPr>
          <w:p>
            <w:pPr>
              <w:jc w:val="right"/>
              <w:ind w:right="160"/>
              <w:spacing w:after="0"/>
              <w:rPr>
                <w:sz w:val="20"/>
                <w:szCs w:val="20"/>
                <w:color w:val="auto"/>
              </w:rPr>
            </w:pPr>
            <w:r>
              <w:rPr>
                <w:rFonts w:ascii="Arial" w:cs="Arial" w:eastAsia="Arial" w:hAnsi="Arial"/>
                <w:sz w:val="11"/>
                <w:szCs w:val="11"/>
                <w:color w:val="auto"/>
              </w:rPr>
              <w:t>(3,126)</w:t>
            </w:r>
          </w:p>
        </w:tc>
        <w:tc>
          <w:tcPr>
            <w:tcW w:w="140" w:type="dxa"/>
            <w:vAlign w:val="bottom"/>
          </w:tcPr>
          <w:p>
            <w:pPr>
              <w:spacing w:after="0"/>
              <w:rPr>
                <w:sz w:val="11"/>
                <w:szCs w:val="11"/>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1"/>
                <w:szCs w:val="11"/>
                <w:color w:val="auto"/>
              </w:rPr>
              <w:t>(30)</w:t>
            </w:r>
          </w:p>
        </w:tc>
        <w:tc>
          <w:tcPr>
            <w:tcW w:w="120" w:type="dxa"/>
            <w:vAlign w:val="bottom"/>
          </w:tcPr>
          <w:p>
            <w:pPr>
              <w:spacing w:after="0"/>
              <w:rPr>
                <w:sz w:val="11"/>
                <w:szCs w:val="11"/>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1"/>
                <w:szCs w:val="11"/>
                <w:color w:val="auto"/>
              </w:rPr>
              <w:t>(25,408)</w:t>
            </w: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1"/>
                <w:szCs w:val="11"/>
                <w:color w:val="auto"/>
              </w:rPr>
              <w:t>(25,438)</w:t>
            </w:r>
          </w:p>
        </w:tc>
      </w:tr>
      <w:tr>
        <w:trPr>
          <w:trHeight w:val="127"/>
        </w:trPr>
        <w:tc>
          <w:tcPr>
            <w:tcW w:w="19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Dividends</w:t>
            </w:r>
          </w:p>
        </w:tc>
        <w:tc>
          <w:tcPr>
            <w:tcW w:w="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(673,927)</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(673,927)</w:t>
            </w:r>
          </w:p>
        </w:tc>
      </w:tr>
      <w:tr>
        <w:trPr>
          <w:trHeight w:val="127"/>
        </w:trPr>
        <w:tc>
          <w:tcPr>
            <w:tcW w:w="1940" w:type="dxa"/>
            <w:vAlign w:val="bottom"/>
            <w:gridSpan w:val="2"/>
          </w:tcPr>
          <w:p>
            <w:pPr>
              <w:spacing w:after="0"/>
              <w:rPr>
                <w:sz w:val="20"/>
                <w:szCs w:val="20"/>
                <w:color w:val="auto"/>
              </w:rPr>
            </w:pPr>
            <w:r>
              <w:rPr>
                <w:rFonts w:ascii="Arial" w:cs="Arial" w:eastAsia="Arial" w:hAnsi="Arial"/>
                <w:sz w:val="11"/>
                <w:szCs w:val="11"/>
                <w:color w:val="auto"/>
              </w:rPr>
              <w:t>Net loss</w:t>
            </w: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1"/>
                <w:szCs w:val="11"/>
                <w:color w:val="auto"/>
              </w:rPr>
              <w:t>(1,725,162)</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1"/>
                <w:szCs w:val="11"/>
                <w:color w:val="auto"/>
              </w:rPr>
              <w:t>(1,725,162)</w:t>
            </w:r>
          </w:p>
        </w:tc>
      </w:tr>
      <w:tr>
        <w:trPr>
          <w:trHeight w:val="116"/>
        </w:trPr>
        <w:tc>
          <w:tcPr>
            <w:tcW w:w="1940" w:type="dxa"/>
            <w:vAlign w:val="bottom"/>
            <w:gridSpan w:val="2"/>
            <w:shd w:val="clear" w:color="auto" w:fill="CCEEFF"/>
          </w:tcPr>
          <w:p>
            <w:pPr>
              <w:spacing w:after="0" w:line="116" w:lineRule="exact"/>
              <w:rPr>
                <w:sz w:val="20"/>
                <w:szCs w:val="20"/>
                <w:color w:val="auto"/>
              </w:rPr>
            </w:pPr>
            <w:r>
              <w:rPr>
                <w:rFonts w:ascii="Arial" w:cs="Arial" w:eastAsia="Arial" w:hAnsi="Arial"/>
                <w:sz w:val="11"/>
                <w:szCs w:val="11"/>
                <w:color w:val="auto"/>
              </w:rPr>
              <w:t>Change in unrealized</w:t>
            </w: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27"/>
        </w:trPr>
        <w:tc>
          <w:tcPr>
            <w:tcW w:w="19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gains on available-for-</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2"/>
        </w:trPr>
        <w:tc>
          <w:tcPr>
            <w:tcW w:w="1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sale securities, net of tax</w:t>
            </w:r>
          </w:p>
        </w:tc>
        <w:tc>
          <w:tcPr>
            <w:tcW w:w="68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1,082,669</w:t>
            </w:r>
          </w:p>
        </w:tc>
        <w:tc>
          <w:tcPr>
            <w:tcW w:w="2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1,082,669</w:t>
            </w:r>
          </w:p>
        </w:tc>
        <w:tc>
          <w:tcPr>
            <w:tcW w:w="100" w:type="dxa"/>
            <w:vAlign w:val="bottom"/>
            <w:tcBorders>
              <w:bottom w:val="single" w:sz="8" w:color="CCEEFF"/>
            </w:tcBorders>
            <w:shd w:val="clear" w:color="auto" w:fill="CCEEFF"/>
          </w:tcPr>
          <w:p>
            <w:pPr>
              <w:spacing w:after="0"/>
              <w:rPr>
                <w:sz w:val="12"/>
                <w:szCs w:val="12"/>
                <w:color w:val="auto"/>
              </w:rPr>
            </w:pPr>
          </w:p>
        </w:tc>
      </w:tr>
      <w:tr>
        <w:trPr>
          <w:trHeight w:val="116"/>
        </w:trPr>
        <w:tc>
          <w:tcPr>
            <w:tcW w:w="1940" w:type="dxa"/>
            <w:vAlign w:val="bottom"/>
            <w:gridSpan w:val="2"/>
          </w:tcPr>
          <w:p>
            <w:pPr>
              <w:spacing w:after="0" w:line="116" w:lineRule="exact"/>
              <w:rPr>
                <w:sz w:val="20"/>
                <w:szCs w:val="20"/>
                <w:color w:val="auto"/>
              </w:rPr>
            </w:pPr>
            <w:r>
              <w:rPr>
                <w:rFonts w:ascii="Arial" w:cs="Arial" w:eastAsia="Arial" w:hAnsi="Arial"/>
                <w:sz w:val="11"/>
                <w:szCs w:val="11"/>
                <w:color w:val="auto"/>
              </w:rPr>
              <w:t>Balance, September 30,</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7"/>
        </w:trPr>
        <w:tc>
          <w:tcPr>
            <w:tcW w:w="1260" w:type="dxa"/>
            <w:vAlign w:val="bottom"/>
          </w:tcPr>
          <w:p>
            <w:pPr>
              <w:spacing w:after="0"/>
              <w:rPr>
                <w:sz w:val="20"/>
                <w:szCs w:val="20"/>
                <w:color w:val="auto"/>
              </w:rPr>
            </w:pPr>
            <w:r>
              <w:rPr>
                <w:rFonts w:ascii="Arial" w:cs="Arial" w:eastAsia="Arial" w:hAnsi="Arial"/>
                <w:sz w:val="11"/>
                <w:szCs w:val="11"/>
                <w:color w:val="auto"/>
              </w:rPr>
              <w:t>2019</w:t>
            </w:r>
          </w:p>
        </w:tc>
        <w:tc>
          <w:tcPr>
            <w:tcW w:w="680" w:type="dxa"/>
            <w:vAlign w:val="bottom"/>
          </w:tcPr>
          <w:p>
            <w:pPr>
              <w:spacing w:after="0"/>
              <w:rPr>
                <w:sz w:val="11"/>
                <w:szCs w:val="11"/>
                <w:color w:val="auto"/>
              </w:rPr>
            </w:pP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583"/>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11,811,011</w:t>
            </w:r>
          </w:p>
        </w:tc>
        <w:tc>
          <w:tcPr>
            <w:tcW w:w="200" w:type="dxa"/>
            <w:vAlign w:val="bottom"/>
          </w:tcPr>
          <w:p>
            <w:pPr>
              <w:spacing w:after="0"/>
              <w:rPr>
                <w:sz w:val="11"/>
                <w:szCs w:val="11"/>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118,110</w:t>
            </w:r>
          </w:p>
        </w:tc>
        <w:tc>
          <w:tcPr>
            <w:tcW w:w="220" w:type="dxa"/>
            <w:vAlign w:val="bottom"/>
          </w:tcPr>
          <w:p>
            <w:pPr>
              <w:spacing w:after="0"/>
              <w:rPr>
                <w:sz w:val="11"/>
                <w:szCs w:val="11"/>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68,755,776</w:t>
            </w:r>
          </w:p>
        </w:tc>
        <w:tc>
          <w:tcPr>
            <w:tcW w:w="2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4,441,716</w:t>
            </w:r>
          </w:p>
        </w:tc>
        <w:tc>
          <w:tcPr>
            <w:tcW w:w="200" w:type="dxa"/>
            <w:vAlign w:val="bottom"/>
          </w:tcPr>
          <w:p>
            <w:pPr>
              <w:spacing w:after="0"/>
              <w:rPr>
                <w:sz w:val="11"/>
                <w:szCs w:val="11"/>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16,132,568</w:t>
            </w:r>
          </w:p>
        </w:tc>
        <w:tc>
          <w:tcPr>
            <w:tcW w:w="2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1,027,439</w:t>
            </w:r>
          </w:p>
        </w:tc>
        <w:tc>
          <w:tcPr>
            <w:tcW w:w="3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1"/>
                <w:szCs w:val="11"/>
                <w:color w:val="auto"/>
              </w:rPr>
              <w:t>(2,712,552)</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86,735,618</w:t>
            </w:r>
          </w:p>
        </w:tc>
        <w:tc>
          <w:tcPr>
            <w:tcW w:w="100" w:type="dxa"/>
            <w:vAlign w:val="bottom"/>
          </w:tcPr>
          <w:p>
            <w:pPr>
              <w:spacing w:after="0"/>
              <w:rPr>
                <w:sz w:val="11"/>
                <w:szCs w:val="11"/>
                <w:color w:val="auto"/>
              </w:rPr>
            </w:pPr>
          </w:p>
        </w:tc>
      </w:tr>
      <w:tr>
        <w:trPr>
          <w:trHeight w:val="20"/>
        </w:trPr>
        <w:tc>
          <w:tcPr>
            <w:tcW w:w="1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5"/>
          <w:szCs w:val="15"/>
          <w:b w:val="1"/>
          <w:bCs w:val="1"/>
          <w:color w:val="auto"/>
        </w:rPr>
        <w:t>________________________________________________________________________________________________________________________________________</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6" w:name="page7"/>
    <w:bookmarkEnd w:id="6"/>
    <w:p>
      <w:pPr>
        <w:ind w:left="7380"/>
        <w:spacing w:after="0"/>
        <w:rPr>
          <w:sz w:val="20"/>
          <w:szCs w:val="20"/>
          <w:color w:val="auto"/>
        </w:rPr>
      </w:pPr>
      <w:r>
        <w:rPr>
          <w:rFonts w:ascii="Arial" w:cs="Arial" w:eastAsia="Arial" w:hAnsi="Arial"/>
          <w:sz w:val="16"/>
          <w:szCs w:val="16"/>
          <w:b w:val="1"/>
          <w:bCs w:val="1"/>
          <w:color w:val="auto"/>
        </w:rPr>
        <w:t>KINGSTONE COMPANIES, INC. AND SUBSIDIARIES</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Condensed Consolidated Statements of Stockholders' Equity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13335</wp:posOffset>
            </wp:positionV>
            <wp:extent cx="7254875" cy="15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4875" cy="1587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Nine months ended September 30,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15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4875" cy="15875"/>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1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5"/>
              </w:rPr>
              <w:t>Accumulated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7"/>
        </w:trPr>
        <w:tc>
          <w:tcPr>
            <w:tcW w:w="1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rPr>
              <w:t>Other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7"/>
        </w:trPr>
        <w:tc>
          <w:tcPr>
            <w:tcW w:w="1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6"/>
              </w:rPr>
              <w:t>Capital in</w:t>
            </w:r>
          </w:p>
        </w:tc>
        <w:tc>
          <w:tcPr>
            <w:tcW w:w="1020" w:type="dxa"/>
            <w:vAlign w:val="bottom"/>
            <w:gridSpan w:val="3"/>
          </w:tcPr>
          <w:p>
            <w:pPr>
              <w:jc w:val="center"/>
              <w:ind w:right="200"/>
              <w:spacing w:after="0"/>
              <w:rPr>
                <w:sz w:val="20"/>
                <w:szCs w:val="20"/>
                <w:color w:val="auto"/>
              </w:rPr>
            </w:pPr>
            <w:r>
              <w:rPr>
                <w:rFonts w:ascii="Arial" w:cs="Arial" w:eastAsia="Arial" w:hAnsi="Arial"/>
                <w:sz w:val="11"/>
                <w:szCs w:val="11"/>
                <w:b w:val="1"/>
                <w:bCs w:val="1"/>
                <w:color w:val="auto"/>
                <w:w w:val="89"/>
              </w:rPr>
              <w:t>Comprehensive</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70"/>
        </w:trPr>
        <w:tc>
          <w:tcPr>
            <w:tcW w:w="1260" w:type="dxa"/>
            <w:vAlign w:val="bottom"/>
          </w:tcPr>
          <w:p>
            <w:pPr>
              <w:spacing w:after="0"/>
              <w:rPr>
                <w:sz w:val="14"/>
                <w:szCs w:val="14"/>
                <w:color w:val="auto"/>
              </w:rPr>
            </w:pPr>
          </w:p>
        </w:tc>
        <w:tc>
          <w:tcPr>
            <w:tcW w:w="1740" w:type="dxa"/>
            <w:vAlign w:val="bottom"/>
            <w:tcBorders>
              <w:bottom w:val="single" w:sz="8" w:color="auto"/>
            </w:tcBorders>
            <w:gridSpan w:val="4"/>
          </w:tcPr>
          <w:p>
            <w:pPr>
              <w:jc w:val="right"/>
              <w:ind w:right="363"/>
              <w:spacing w:after="0"/>
              <w:rPr>
                <w:sz w:val="20"/>
                <w:szCs w:val="20"/>
                <w:color w:val="auto"/>
              </w:rPr>
            </w:pPr>
            <w:r>
              <w:rPr>
                <w:rFonts w:ascii="Arial" w:cs="Arial" w:eastAsia="Arial" w:hAnsi="Arial"/>
                <w:sz w:val="11"/>
                <w:szCs w:val="11"/>
                <w:b w:val="1"/>
                <w:bCs w:val="1"/>
                <w:color w:val="auto"/>
              </w:rPr>
              <w:t>Preferred Stock</w:t>
            </w:r>
          </w:p>
        </w:tc>
        <w:tc>
          <w:tcPr>
            <w:tcW w:w="1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tcBorders>
              <w:bottom w:val="single" w:sz="8" w:color="auto"/>
            </w:tcBorders>
            <w:gridSpan w:val="4"/>
          </w:tcPr>
          <w:p>
            <w:pPr>
              <w:jc w:val="right"/>
              <w:ind w:right="483"/>
              <w:spacing w:after="0"/>
              <w:rPr>
                <w:sz w:val="20"/>
                <w:szCs w:val="20"/>
                <w:color w:val="auto"/>
              </w:rPr>
            </w:pPr>
            <w:r>
              <w:rPr>
                <w:rFonts w:ascii="Arial" w:cs="Arial" w:eastAsia="Arial" w:hAnsi="Arial"/>
                <w:sz w:val="11"/>
                <w:szCs w:val="11"/>
                <w:b w:val="1"/>
                <w:bCs w:val="1"/>
                <w:color w:val="auto"/>
              </w:rPr>
              <w:t>Common Stock</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84"/>
              </w:rPr>
              <w:t>Excess</w:t>
            </w:r>
          </w:p>
        </w:tc>
        <w:tc>
          <w:tcPr>
            <w:tcW w:w="8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8"/>
              </w:rPr>
              <w:t>Income</w:t>
            </w:r>
          </w:p>
        </w:tc>
        <w:tc>
          <w:tcPr>
            <w:tcW w:w="12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Retained</w:t>
            </w:r>
          </w:p>
        </w:tc>
        <w:tc>
          <w:tcPr>
            <w:tcW w:w="1860" w:type="dxa"/>
            <w:vAlign w:val="bottom"/>
            <w:tcBorders>
              <w:bottom w:val="single" w:sz="8" w:color="auto"/>
            </w:tcBorders>
            <w:gridSpan w:val="4"/>
          </w:tcPr>
          <w:p>
            <w:pPr>
              <w:jc w:val="right"/>
              <w:ind w:right="503"/>
              <w:spacing w:after="0"/>
              <w:rPr>
                <w:sz w:val="20"/>
                <w:szCs w:val="20"/>
                <w:color w:val="auto"/>
              </w:rPr>
            </w:pPr>
            <w:r>
              <w:rPr>
                <w:rFonts w:ascii="Arial" w:cs="Arial" w:eastAsia="Arial" w:hAnsi="Arial"/>
                <w:sz w:val="11"/>
                <w:szCs w:val="11"/>
                <w:b w:val="1"/>
                <w:bCs w:val="1"/>
                <w:color w:val="auto"/>
              </w:rPr>
              <w:t>Treasury Stock</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12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ind w:left="240"/>
              <w:spacing w:after="0"/>
              <w:rPr>
                <w:sz w:val="20"/>
                <w:szCs w:val="20"/>
                <w:color w:val="auto"/>
              </w:rPr>
            </w:pPr>
            <w:r>
              <w:rPr>
                <w:rFonts w:ascii="Arial" w:cs="Arial" w:eastAsia="Arial" w:hAnsi="Arial"/>
                <w:sz w:val="11"/>
                <w:szCs w:val="11"/>
                <w:b w:val="1"/>
                <w:bCs w:val="1"/>
                <w:color w:val="auto"/>
              </w:rPr>
              <w:t>Shares</w:t>
            </w:r>
          </w:p>
        </w:tc>
        <w:tc>
          <w:tcPr>
            <w:tcW w:w="1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Amount</w:t>
            </w: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1"/>
                <w:szCs w:val="11"/>
                <w:b w:val="1"/>
                <w:bCs w:val="1"/>
                <w:color w:val="auto"/>
              </w:rPr>
              <w:t>Shares</w:t>
            </w: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1"/>
                <w:szCs w:val="11"/>
                <w:b w:val="1"/>
                <w:bCs w:val="1"/>
                <w:color w:val="auto"/>
              </w:rPr>
              <w:t>Amount</w:t>
            </w: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1"/>
                <w:szCs w:val="11"/>
                <w:b w:val="1"/>
                <w:bCs w:val="1"/>
                <w:color w:val="auto"/>
                <w:w w:val="96"/>
              </w:rPr>
              <w:t>of Par</w:t>
            </w: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1"/>
                <w:szCs w:val="11"/>
                <w:b w:val="1"/>
                <w:bCs w:val="1"/>
                <w:color w:val="auto"/>
                <w:w w:val="90"/>
              </w:rPr>
              <w:t>(Loss)</w:t>
            </w: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ind w:left="80"/>
              <w:spacing w:after="0"/>
              <w:rPr>
                <w:sz w:val="20"/>
                <w:szCs w:val="20"/>
                <w:color w:val="auto"/>
              </w:rPr>
            </w:pPr>
            <w:r>
              <w:rPr>
                <w:rFonts w:ascii="Arial" w:cs="Arial" w:eastAsia="Arial" w:hAnsi="Arial"/>
                <w:sz w:val="11"/>
                <w:szCs w:val="11"/>
                <w:b w:val="1"/>
                <w:bCs w:val="1"/>
                <w:color w:val="auto"/>
              </w:rPr>
              <w:t>Earnings</w:t>
            </w:r>
          </w:p>
        </w:tc>
        <w:tc>
          <w:tcPr>
            <w:tcW w:w="84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b w:val="1"/>
                <w:bCs w:val="1"/>
                <w:color w:val="auto"/>
              </w:rPr>
              <w:t>Shares</w:t>
            </w: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1"/>
                <w:szCs w:val="11"/>
                <w:b w:val="1"/>
                <w:bCs w:val="1"/>
                <w:color w:val="auto"/>
              </w:rPr>
              <w:t>Amount</w:t>
            </w: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1"/>
                <w:szCs w:val="11"/>
                <w:b w:val="1"/>
                <w:bCs w:val="1"/>
                <w:color w:val="auto"/>
              </w:rPr>
              <w:t>Total</w:t>
            </w:r>
          </w:p>
        </w:tc>
      </w:tr>
      <w:tr>
        <w:trPr>
          <w:trHeight w:val="116"/>
        </w:trPr>
        <w:tc>
          <w:tcPr>
            <w:tcW w:w="1940" w:type="dxa"/>
            <w:vAlign w:val="bottom"/>
            <w:gridSpan w:val="2"/>
            <w:shd w:val="clear" w:color="auto" w:fill="CCEEFF"/>
          </w:tcPr>
          <w:p>
            <w:pPr>
              <w:spacing w:after="0" w:line="116" w:lineRule="exact"/>
              <w:rPr>
                <w:sz w:val="20"/>
                <w:szCs w:val="20"/>
                <w:color w:val="auto"/>
              </w:rPr>
            </w:pPr>
            <w:r>
              <w:rPr>
                <w:rFonts w:ascii="Arial" w:cs="Arial" w:eastAsia="Arial" w:hAnsi="Arial"/>
                <w:sz w:val="11"/>
                <w:szCs w:val="11"/>
                <w:color w:val="auto"/>
              </w:rPr>
              <w:t>Balance, January 1,</w:t>
            </w: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7"/>
        </w:trPr>
        <w:tc>
          <w:tcPr>
            <w:tcW w:w="19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2018, as reported</w:t>
            </w:r>
          </w:p>
        </w:tc>
        <w:tc>
          <w:tcPr>
            <w:tcW w:w="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EEFF"/>
          </w:tcPr>
          <w:p>
            <w:pPr>
              <w:jc w:val="right"/>
              <w:ind w:right="583"/>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11,618,646</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116,186</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68,380,390</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1,100,647</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27,152,822</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986,809</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(2,172,299)</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94,577,746</w:t>
            </w:r>
          </w:p>
        </w:tc>
        <w:tc>
          <w:tcPr>
            <w:tcW w:w="100" w:type="dxa"/>
            <w:vAlign w:val="bottom"/>
            <w:shd w:val="clear" w:color="auto" w:fill="CCEEFF"/>
          </w:tcPr>
          <w:p>
            <w:pPr>
              <w:spacing w:after="0"/>
              <w:rPr>
                <w:sz w:val="11"/>
                <w:szCs w:val="11"/>
                <w:color w:val="auto"/>
              </w:rPr>
            </w:pPr>
          </w:p>
        </w:tc>
      </w:tr>
      <w:tr>
        <w:trPr>
          <w:trHeight w:val="116"/>
        </w:trPr>
        <w:tc>
          <w:tcPr>
            <w:tcW w:w="1940" w:type="dxa"/>
            <w:vAlign w:val="bottom"/>
            <w:gridSpan w:val="2"/>
          </w:tcPr>
          <w:p>
            <w:pPr>
              <w:spacing w:after="0" w:line="116" w:lineRule="exact"/>
              <w:rPr>
                <w:sz w:val="20"/>
                <w:szCs w:val="20"/>
                <w:color w:val="auto"/>
              </w:rPr>
            </w:pPr>
            <w:r>
              <w:rPr>
                <w:rFonts w:ascii="Arial" w:cs="Arial" w:eastAsia="Arial" w:hAnsi="Arial"/>
                <w:sz w:val="11"/>
                <w:szCs w:val="11"/>
                <w:color w:val="auto"/>
              </w:rPr>
              <w:t>Cumulative effect of</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7"/>
        </w:trPr>
        <w:tc>
          <w:tcPr>
            <w:tcW w:w="1940" w:type="dxa"/>
            <w:vAlign w:val="bottom"/>
            <w:gridSpan w:val="2"/>
          </w:tcPr>
          <w:p>
            <w:pPr>
              <w:spacing w:after="0"/>
              <w:rPr>
                <w:sz w:val="20"/>
                <w:szCs w:val="20"/>
                <w:color w:val="auto"/>
              </w:rPr>
            </w:pPr>
            <w:r>
              <w:rPr>
                <w:rFonts w:ascii="Arial" w:cs="Arial" w:eastAsia="Arial" w:hAnsi="Arial"/>
                <w:sz w:val="11"/>
                <w:szCs w:val="11"/>
                <w:color w:val="auto"/>
              </w:rPr>
              <w:t>adoption of updated</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7"/>
        </w:trPr>
        <w:tc>
          <w:tcPr>
            <w:tcW w:w="1940" w:type="dxa"/>
            <w:vAlign w:val="bottom"/>
            <w:gridSpan w:val="2"/>
          </w:tcPr>
          <w:p>
            <w:pPr>
              <w:spacing w:after="0"/>
              <w:rPr>
                <w:sz w:val="20"/>
                <w:szCs w:val="20"/>
                <w:color w:val="auto"/>
              </w:rPr>
            </w:pPr>
            <w:r>
              <w:rPr>
                <w:rFonts w:ascii="Arial" w:cs="Arial" w:eastAsia="Arial" w:hAnsi="Arial"/>
                <w:sz w:val="11"/>
                <w:szCs w:val="11"/>
                <w:color w:val="auto"/>
              </w:rPr>
              <w:t>accounting guidance for</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7"/>
        </w:trPr>
        <w:tc>
          <w:tcPr>
            <w:tcW w:w="1940" w:type="dxa"/>
            <w:vAlign w:val="bottom"/>
            <w:gridSpan w:val="2"/>
          </w:tcPr>
          <w:p>
            <w:pPr>
              <w:spacing w:after="0"/>
              <w:rPr>
                <w:sz w:val="20"/>
                <w:szCs w:val="20"/>
                <w:color w:val="auto"/>
              </w:rPr>
            </w:pPr>
            <w:r>
              <w:rPr>
                <w:rFonts w:ascii="Arial" w:cs="Arial" w:eastAsia="Arial" w:hAnsi="Arial"/>
                <w:sz w:val="11"/>
                <w:szCs w:val="11"/>
                <w:color w:val="auto"/>
              </w:rPr>
              <w:t>equity financial</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7"/>
        </w:trPr>
        <w:tc>
          <w:tcPr>
            <w:tcW w:w="1940" w:type="dxa"/>
            <w:vAlign w:val="bottom"/>
            <w:gridSpan w:val="2"/>
          </w:tcPr>
          <w:p>
            <w:pPr>
              <w:spacing w:after="0"/>
              <w:rPr>
                <w:sz w:val="20"/>
                <w:szCs w:val="20"/>
                <w:color w:val="auto"/>
              </w:rPr>
            </w:pPr>
            <w:r>
              <w:rPr>
                <w:rFonts w:ascii="Arial" w:cs="Arial" w:eastAsia="Arial" w:hAnsi="Arial"/>
                <w:sz w:val="11"/>
                <w:szCs w:val="11"/>
                <w:color w:val="auto"/>
              </w:rPr>
              <w:t>instruments at January 1,</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2"/>
        </w:trPr>
        <w:tc>
          <w:tcPr>
            <w:tcW w:w="1260" w:type="dxa"/>
            <w:vAlign w:val="bottom"/>
          </w:tcPr>
          <w:p>
            <w:pPr>
              <w:spacing w:after="0"/>
              <w:rPr>
                <w:sz w:val="20"/>
                <w:szCs w:val="20"/>
                <w:color w:val="auto"/>
              </w:rPr>
            </w:pPr>
            <w:r>
              <w:rPr>
                <w:rFonts w:ascii="Arial" w:cs="Arial" w:eastAsia="Arial" w:hAnsi="Arial"/>
                <w:sz w:val="11"/>
                <w:szCs w:val="11"/>
                <w:color w:val="auto"/>
              </w:rPr>
              <w:t>2018</w:t>
            </w:r>
          </w:p>
        </w:tc>
        <w:tc>
          <w:tcPr>
            <w:tcW w:w="68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(414,242)</w:t>
            </w:r>
          </w:p>
        </w:tc>
        <w:tc>
          <w:tcPr>
            <w:tcW w:w="1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414,242</w:t>
            </w:r>
          </w:p>
        </w:tc>
        <w:tc>
          <w:tcPr>
            <w:tcW w:w="2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r>
      <w:tr>
        <w:trPr>
          <w:trHeight w:val="116"/>
        </w:trPr>
        <w:tc>
          <w:tcPr>
            <w:tcW w:w="1260" w:type="dxa"/>
            <w:vAlign w:val="bottom"/>
            <w:shd w:val="clear" w:color="auto" w:fill="CCEEFF"/>
          </w:tcPr>
          <w:p>
            <w:pPr>
              <w:spacing w:after="0" w:line="116" w:lineRule="exact"/>
              <w:rPr>
                <w:sz w:val="20"/>
                <w:szCs w:val="20"/>
                <w:color w:val="auto"/>
              </w:rPr>
            </w:pPr>
            <w:r>
              <w:rPr>
                <w:rFonts w:ascii="Arial" w:cs="Arial" w:eastAsia="Arial" w:hAnsi="Arial"/>
                <w:sz w:val="11"/>
                <w:szCs w:val="11"/>
                <w:color w:val="auto"/>
              </w:rPr>
              <w:t>Balance, January 1,</w:t>
            </w:r>
          </w:p>
        </w:tc>
        <w:tc>
          <w:tcPr>
            <w:tcW w:w="6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7"/>
        </w:trPr>
        <w:tc>
          <w:tcPr>
            <w:tcW w:w="19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2018, as adjusted</w:t>
            </w:r>
          </w:p>
        </w:tc>
        <w:tc>
          <w:tcPr>
            <w:tcW w:w="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11,618,646</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116,186</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68,380,390</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686,405</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27,567,064</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986,809</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(2,172,299)</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94,577,746</w:t>
            </w:r>
          </w:p>
        </w:tc>
        <w:tc>
          <w:tcPr>
            <w:tcW w:w="100" w:type="dxa"/>
            <w:vAlign w:val="bottom"/>
            <w:shd w:val="clear" w:color="auto" w:fill="CCEEFF"/>
          </w:tcPr>
          <w:p>
            <w:pPr>
              <w:spacing w:after="0"/>
              <w:rPr>
                <w:sz w:val="11"/>
                <w:szCs w:val="11"/>
                <w:color w:val="auto"/>
              </w:rPr>
            </w:pPr>
          </w:p>
        </w:tc>
      </w:tr>
      <w:tr>
        <w:trPr>
          <w:trHeight w:val="116"/>
        </w:trPr>
        <w:tc>
          <w:tcPr>
            <w:tcW w:w="1940" w:type="dxa"/>
            <w:vAlign w:val="bottom"/>
            <w:gridSpan w:val="2"/>
          </w:tcPr>
          <w:p>
            <w:pPr>
              <w:spacing w:after="0" w:line="116" w:lineRule="exact"/>
              <w:rPr>
                <w:sz w:val="20"/>
                <w:szCs w:val="20"/>
                <w:color w:val="auto"/>
              </w:rPr>
            </w:pPr>
            <w:r>
              <w:rPr>
                <w:rFonts w:ascii="Arial" w:cs="Arial" w:eastAsia="Arial" w:hAnsi="Arial"/>
                <w:sz w:val="11"/>
                <w:szCs w:val="11"/>
                <w:color w:val="auto"/>
              </w:rPr>
              <w:t>Stock-based</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7"/>
        </w:trPr>
        <w:tc>
          <w:tcPr>
            <w:tcW w:w="1940" w:type="dxa"/>
            <w:vAlign w:val="bottom"/>
            <w:gridSpan w:val="2"/>
          </w:tcPr>
          <w:p>
            <w:pPr>
              <w:spacing w:after="0"/>
              <w:rPr>
                <w:sz w:val="20"/>
                <w:szCs w:val="20"/>
                <w:color w:val="auto"/>
              </w:rPr>
            </w:pPr>
            <w:r>
              <w:rPr>
                <w:rFonts w:ascii="Arial" w:cs="Arial" w:eastAsia="Arial" w:hAnsi="Arial"/>
                <w:sz w:val="11"/>
                <w:szCs w:val="11"/>
                <w:color w:val="auto"/>
              </w:rPr>
              <w:t>compensation</w:t>
            </w: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481,812</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481,812</w:t>
            </w:r>
          </w:p>
        </w:tc>
        <w:tc>
          <w:tcPr>
            <w:tcW w:w="100" w:type="dxa"/>
            <w:vAlign w:val="bottom"/>
          </w:tcPr>
          <w:p>
            <w:pPr>
              <w:spacing w:after="0"/>
              <w:rPr>
                <w:sz w:val="11"/>
                <w:szCs w:val="11"/>
                <w:color w:val="auto"/>
              </w:rPr>
            </w:pPr>
          </w:p>
        </w:tc>
      </w:tr>
      <w:tr>
        <w:trPr>
          <w:trHeight w:val="127"/>
        </w:trPr>
        <w:tc>
          <w:tcPr>
            <w:tcW w:w="19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Exercise of stock options</w:t>
            </w:r>
          </w:p>
        </w:tc>
        <w:tc>
          <w:tcPr>
            <w:tcW w:w="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130,872</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1,311</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72,828</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74,139</w:t>
            </w:r>
          </w:p>
        </w:tc>
        <w:tc>
          <w:tcPr>
            <w:tcW w:w="100" w:type="dxa"/>
            <w:vAlign w:val="bottom"/>
            <w:shd w:val="clear" w:color="auto" w:fill="CCEEFF"/>
          </w:tcPr>
          <w:p>
            <w:pPr>
              <w:spacing w:after="0"/>
              <w:rPr>
                <w:sz w:val="11"/>
                <w:szCs w:val="11"/>
                <w:color w:val="auto"/>
              </w:rPr>
            </w:pPr>
          </w:p>
        </w:tc>
      </w:tr>
      <w:tr>
        <w:trPr>
          <w:trHeight w:val="116"/>
        </w:trPr>
        <w:tc>
          <w:tcPr>
            <w:tcW w:w="1940" w:type="dxa"/>
            <w:vAlign w:val="bottom"/>
            <w:gridSpan w:val="2"/>
          </w:tcPr>
          <w:p>
            <w:pPr>
              <w:spacing w:after="0" w:line="116" w:lineRule="exact"/>
              <w:rPr>
                <w:sz w:val="20"/>
                <w:szCs w:val="20"/>
                <w:color w:val="auto"/>
              </w:rPr>
            </w:pPr>
            <w:r>
              <w:rPr>
                <w:rFonts w:ascii="Arial" w:cs="Arial" w:eastAsia="Arial" w:hAnsi="Arial"/>
                <w:sz w:val="11"/>
                <w:szCs w:val="11"/>
                <w:color w:val="auto"/>
              </w:rPr>
              <w:t>Shares deducted from</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7"/>
        </w:trPr>
        <w:tc>
          <w:tcPr>
            <w:tcW w:w="1940" w:type="dxa"/>
            <w:vAlign w:val="bottom"/>
            <w:gridSpan w:val="2"/>
          </w:tcPr>
          <w:p>
            <w:pPr>
              <w:spacing w:after="0"/>
              <w:rPr>
                <w:sz w:val="20"/>
                <w:szCs w:val="20"/>
                <w:color w:val="auto"/>
              </w:rPr>
            </w:pPr>
            <w:r>
              <w:rPr>
                <w:rFonts w:ascii="Arial" w:cs="Arial" w:eastAsia="Arial" w:hAnsi="Arial"/>
                <w:sz w:val="11"/>
                <w:szCs w:val="11"/>
                <w:color w:val="auto"/>
              </w:rPr>
              <w:t>exercise of stock options</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7"/>
        </w:trPr>
        <w:tc>
          <w:tcPr>
            <w:tcW w:w="1940" w:type="dxa"/>
            <w:vAlign w:val="bottom"/>
            <w:gridSpan w:val="2"/>
          </w:tcPr>
          <w:p>
            <w:pPr>
              <w:spacing w:after="0"/>
              <w:rPr>
                <w:sz w:val="20"/>
                <w:szCs w:val="20"/>
                <w:color w:val="auto"/>
              </w:rPr>
            </w:pPr>
            <w:r>
              <w:rPr>
                <w:rFonts w:ascii="Arial" w:cs="Arial" w:eastAsia="Arial" w:hAnsi="Arial"/>
                <w:sz w:val="11"/>
                <w:szCs w:val="11"/>
                <w:color w:val="auto"/>
              </w:rPr>
              <w:t>for payment of</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7"/>
        </w:trPr>
        <w:tc>
          <w:tcPr>
            <w:tcW w:w="1940" w:type="dxa"/>
            <w:vAlign w:val="bottom"/>
            <w:gridSpan w:val="2"/>
          </w:tcPr>
          <w:p>
            <w:pPr>
              <w:spacing w:after="0"/>
              <w:rPr>
                <w:sz w:val="20"/>
                <w:szCs w:val="20"/>
                <w:color w:val="auto"/>
              </w:rPr>
            </w:pPr>
            <w:r>
              <w:rPr>
                <w:rFonts w:ascii="Arial" w:cs="Arial" w:eastAsia="Arial" w:hAnsi="Arial"/>
                <w:sz w:val="11"/>
                <w:szCs w:val="11"/>
                <w:color w:val="auto"/>
              </w:rPr>
              <w:t>withholding taxes</w:t>
            </w: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1220" w:type="dxa"/>
            <w:vAlign w:val="bottom"/>
            <w:gridSpan w:val="3"/>
          </w:tcPr>
          <w:p>
            <w:pPr>
              <w:jc w:val="right"/>
              <w:ind w:right="160"/>
              <w:spacing w:after="0"/>
              <w:rPr>
                <w:sz w:val="20"/>
                <w:szCs w:val="20"/>
                <w:color w:val="auto"/>
              </w:rPr>
            </w:pPr>
            <w:r>
              <w:rPr>
                <w:rFonts w:ascii="Arial" w:cs="Arial" w:eastAsia="Arial" w:hAnsi="Arial"/>
                <w:sz w:val="11"/>
                <w:szCs w:val="11"/>
                <w:color w:val="auto"/>
              </w:rPr>
              <w:t>(33,891)</w:t>
            </w:r>
          </w:p>
        </w:tc>
        <w:tc>
          <w:tcPr>
            <w:tcW w:w="140" w:type="dxa"/>
            <w:vAlign w:val="bottom"/>
          </w:tcPr>
          <w:p>
            <w:pPr>
              <w:spacing w:after="0"/>
              <w:rPr>
                <w:sz w:val="11"/>
                <w:szCs w:val="11"/>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1"/>
                <w:szCs w:val="11"/>
                <w:color w:val="auto"/>
              </w:rPr>
              <w:t>(337)</w:t>
            </w:r>
          </w:p>
        </w:tc>
        <w:tc>
          <w:tcPr>
            <w:tcW w:w="100" w:type="dxa"/>
            <w:vAlign w:val="bottom"/>
          </w:tcPr>
          <w:p>
            <w:pPr>
              <w:spacing w:after="0"/>
              <w:rPr>
                <w:sz w:val="11"/>
                <w:szCs w:val="11"/>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1"/>
                <w:szCs w:val="11"/>
                <w:color w:val="auto"/>
              </w:rPr>
              <w:t>(674,314)</w:t>
            </w: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1"/>
                <w:szCs w:val="11"/>
                <w:color w:val="auto"/>
              </w:rPr>
              <w:t>(674,651)</w:t>
            </w:r>
          </w:p>
        </w:tc>
      </w:tr>
      <w:tr>
        <w:trPr>
          <w:trHeight w:val="116"/>
        </w:trPr>
        <w:tc>
          <w:tcPr>
            <w:tcW w:w="1940" w:type="dxa"/>
            <w:vAlign w:val="bottom"/>
            <w:gridSpan w:val="2"/>
            <w:shd w:val="clear" w:color="auto" w:fill="CCEEFF"/>
          </w:tcPr>
          <w:p>
            <w:pPr>
              <w:spacing w:after="0" w:line="116" w:lineRule="exact"/>
              <w:rPr>
                <w:sz w:val="20"/>
                <w:szCs w:val="20"/>
                <w:color w:val="auto"/>
              </w:rPr>
            </w:pPr>
            <w:r>
              <w:rPr>
                <w:rFonts w:ascii="Arial" w:cs="Arial" w:eastAsia="Arial" w:hAnsi="Arial"/>
                <w:sz w:val="11"/>
                <w:szCs w:val="11"/>
                <w:color w:val="auto"/>
              </w:rPr>
              <w:t>Vesting of restricted</w:t>
            </w: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7"/>
        </w:trPr>
        <w:tc>
          <w:tcPr>
            <w:tcW w:w="19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stock awards</w:t>
            </w:r>
          </w:p>
        </w:tc>
        <w:tc>
          <w:tcPr>
            <w:tcW w:w="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15,752</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155</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(155)</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r>
      <w:tr>
        <w:trPr>
          <w:trHeight w:val="116"/>
        </w:trPr>
        <w:tc>
          <w:tcPr>
            <w:tcW w:w="1940" w:type="dxa"/>
            <w:vAlign w:val="bottom"/>
            <w:gridSpan w:val="2"/>
          </w:tcPr>
          <w:p>
            <w:pPr>
              <w:spacing w:after="0" w:line="116" w:lineRule="exact"/>
              <w:rPr>
                <w:sz w:val="20"/>
                <w:szCs w:val="20"/>
                <w:color w:val="auto"/>
              </w:rPr>
            </w:pPr>
            <w:r>
              <w:rPr>
                <w:rFonts w:ascii="Arial" w:cs="Arial" w:eastAsia="Arial" w:hAnsi="Arial"/>
                <w:sz w:val="11"/>
                <w:szCs w:val="11"/>
                <w:color w:val="auto"/>
              </w:rPr>
              <w:t>Shares deducted from</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7"/>
        </w:trPr>
        <w:tc>
          <w:tcPr>
            <w:tcW w:w="1940" w:type="dxa"/>
            <w:vAlign w:val="bottom"/>
            <w:gridSpan w:val="2"/>
          </w:tcPr>
          <w:p>
            <w:pPr>
              <w:spacing w:after="0"/>
              <w:rPr>
                <w:sz w:val="20"/>
                <w:szCs w:val="20"/>
                <w:color w:val="auto"/>
              </w:rPr>
            </w:pPr>
            <w:r>
              <w:rPr>
                <w:rFonts w:ascii="Arial" w:cs="Arial" w:eastAsia="Arial" w:hAnsi="Arial"/>
                <w:sz w:val="11"/>
                <w:szCs w:val="11"/>
                <w:color w:val="auto"/>
              </w:rPr>
              <w:t>restricted stock awards</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7"/>
        </w:trPr>
        <w:tc>
          <w:tcPr>
            <w:tcW w:w="1940" w:type="dxa"/>
            <w:vAlign w:val="bottom"/>
            <w:gridSpan w:val="2"/>
          </w:tcPr>
          <w:p>
            <w:pPr>
              <w:spacing w:after="0"/>
              <w:rPr>
                <w:sz w:val="20"/>
                <w:szCs w:val="20"/>
                <w:color w:val="auto"/>
              </w:rPr>
            </w:pPr>
            <w:r>
              <w:rPr>
                <w:rFonts w:ascii="Arial" w:cs="Arial" w:eastAsia="Arial" w:hAnsi="Arial"/>
                <w:sz w:val="11"/>
                <w:szCs w:val="11"/>
                <w:color w:val="auto"/>
              </w:rPr>
              <w:t>for payment of</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7"/>
        </w:trPr>
        <w:tc>
          <w:tcPr>
            <w:tcW w:w="1940" w:type="dxa"/>
            <w:vAlign w:val="bottom"/>
            <w:gridSpan w:val="2"/>
          </w:tcPr>
          <w:p>
            <w:pPr>
              <w:spacing w:after="0"/>
              <w:rPr>
                <w:sz w:val="20"/>
                <w:szCs w:val="20"/>
                <w:color w:val="auto"/>
              </w:rPr>
            </w:pPr>
            <w:r>
              <w:rPr>
                <w:rFonts w:ascii="Arial" w:cs="Arial" w:eastAsia="Arial" w:hAnsi="Arial"/>
                <w:sz w:val="11"/>
                <w:szCs w:val="11"/>
                <w:color w:val="auto"/>
              </w:rPr>
              <w:t>withholding taxes</w:t>
            </w: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1220" w:type="dxa"/>
            <w:vAlign w:val="bottom"/>
            <w:gridSpan w:val="3"/>
          </w:tcPr>
          <w:p>
            <w:pPr>
              <w:jc w:val="right"/>
              <w:ind w:right="160"/>
              <w:spacing w:after="0"/>
              <w:rPr>
                <w:sz w:val="20"/>
                <w:szCs w:val="20"/>
                <w:color w:val="auto"/>
              </w:rPr>
            </w:pPr>
            <w:r>
              <w:rPr>
                <w:rFonts w:ascii="Arial" w:cs="Arial" w:eastAsia="Arial" w:hAnsi="Arial"/>
                <w:sz w:val="11"/>
                <w:szCs w:val="11"/>
                <w:color w:val="auto"/>
              </w:rPr>
              <w:t>(2,213)</w:t>
            </w:r>
          </w:p>
        </w:tc>
        <w:tc>
          <w:tcPr>
            <w:tcW w:w="140" w:type="dxa"/>
            <w:vAlign w:val="bottom"/>
          </w:tcPr>
          <w:p>
            <w:pPr>
              <w:spacing w:after="0"/>
              <w:rPr>
                <w:sz w:val="11"/>
                <w:szCs w:val="11"/>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1"/>
                <w:szCs w:val="11"/>
                <w:color w:val="auto"/>
              </w:rPr>
              <w:t>(24)</w:t>
            </w:r>
          </w:p>
        </w:tc>
        <w:tc>
          <w:tcPr>
            <w:tcW w:w="100" w:type="dxa"/>
            <w:vAlign w:val="bottom"/>
          </w:tcPr>
          <w:p>
            <w:pPr>
              <w:spacing w:after="0"/>
              <w:rPr>
                <w:sz w:val="11"/>
                <w:szCs w:val="11"/>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1"/>
                <w:szCs w:val="11"/>
                <w:color w:val="auto"/>
              </w:rPr>
              <w:t>(39,847)</w:t>
            </w: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1"/>
                <w:szCs w:val="11"/>
                <w:color w:val="auto"/>
              </w:rPr>
              <w:t>(39,871)</w:t>
            </w:r>
          </w:p>
        </w:tc>
      </w:tr>
      <w:tr>
        <w:trPr>
          <w:trHeight w:val="116"/>
        </w:trPr>
        <w:tc>
          <w:tcPr>
            <w:tcW w:w="1940" w:type="dxa"/>
            <w:vAlign w:val="bottom"/>
            <w:gridSpan w:val="2"/>
            <w:shd w:val="clear" w:color="auto" w:fill="CCEEFF"/>
          </w:tcPr>
          <w:p>
            <w:pPr>
              <w:spacing w:after="0" w:line="116" w:lineRule="exact"/>
              <w:rPr>
                <w:sz w:val="20"/>
                <w:szCs w:val="20"/>
                <w:color w:val="auto"/>
              </w:rPr>
            </w:pPr>
            <w:r>
              <w:rPr>
                <w:rFonts w:ascii="Arial" w:cs="Arial" w:eastAsia="Arial" w:hAnsi="Arial"/>
                <w:sz w:val="11"/>
                <w:szCs w:val="11"/>
                <w:color w:val="auto"/>
              </w:rPr>
              <w:t>Acquisition of treasury</w:t>
            </w: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7"/>
        </w:trPr>
        <w:tc>
          <w:tcPr>
            <w:tcW w:w="19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stock</w:t>
            </w:r>
          </w:p>
        </w:tc>
        <w:tc>
          <w:tcPr>
            <w:tcW w:w="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40,630</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(540,253)</w:t>
            </w:r>
          </w:p>
        </w:tc>
        <w:tc>
          <w:tcPr>
            <w:tcW w:w="1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(540,253)</w:t>
            </w:r>
          </w:p>
        </w:tc>
      </w:tr>
      <w:tr>
        <w:trPr>
          <w:trHeight w:val="127"/>
        </w:trPr>
        <w:tc>
          <w:tcPr>
            <w:tcW w:w="1940" w:type="dxa"/>
            <w:vAlign w:val="bottom"/>
            <w:gridSpan w:val="2"/>
          </w:tcPr>
          <w:p>
            <w:pPr>
              <w:spacing w:after="0"/>
              <w:rPr>
                <w:sz w:val="20"/>
                <w:szCs w:val="20"/>
                <w:color w:val="auto"/>
              </w:rPr>
            </w:pPr>
            <w:r>
              <w:rPr>
                <w:rFonts w:ascii="Arial" w:cs="Arial" w:eastAsia="Arial" w:hAnsi="Arial"/>
                <w:sz w:val="11"/>
                <w:szCs w:val="11"/>
                <w:color w:val="auto"/>
              </w:rPr>
              <w:t>Dividends</w:t>
            </w: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1"/>
                <w:szCs w:val="11"/>
                <w:color w:val="auto"/>
              </w:rPr>
              <w:t>(3,204,813)</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1"/>
                <w:szCs w:val="11"/>
                <w:color w:val="auto"/>
              </w:rPr>
              <w:t>(3,204,813)</w:t>
            </w:r>
          </w:p>
        </w:tc>
      </w:tr>
      <w:tr>
        <w:trPr>
          <w:trHeight w:val="127"/>
        </w:trPr>
        <w:tc>
          <w:tcPr>
            <w:tcW w:w="19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3,973,093</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3,973,093</w:t>
            </w:r>
          </w:p>
        </w:tc>
        <w:tc>
          <w:tcPr>
            <w:tcW w:w="100" w:type="dxa"/>
            <w:vAlign w:val="bottom"/>
            <w:shd w:val="clear" w:color="auto" w:fill="CCEEFF"/>
          </w:tcPr>
          <w:p>
            <w:pPr>
              <w:spacing w:after="0"/>
              <w:rPr>
                <w:sz w:val="11"/>
                <w:szCs w:val="11"/>
                <w:color w:val="auto"/>
              </w:rPr>
            </w:pPr>
          </w:p>
        </w:tc>
      </w:tr>
      <w:tr>
        <w:trPr>
          <w:trHeight w:val="116"/>
        </w:trPr>
        <w:tc>
          <w:tcPr>
            <w:tcW w:w="1940" w:type="dxa"/>
            <w:vAlign w:val="bottom"/>
            <w:gridSpan w:val="2"/>
          </w:tcPr>
          <w:p>
            <w:pPr>
              <w:spacing w:after="0" w:line="116" w:lineRule="exact"/>
              <w:rPr>
                <w:sz w:val="20"/>
                <w:szCs w:val="20"/>
                <w:color w:val="auto"/>
              </w:rPr>
            </w:pPr>
            <w:r>
              <w:rPr>
                <w:rFonts w:ascii="Arial" w:cs="Arial" w:eastAsia="Arial" w:hAnsi="Arial"/>
                <w:sz w:val="11"/>
                <w:szCs w:val="11"/>
                <w:color w:val="auto"/>
              </w:rPr>
              <w:t>Change in unrealized</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7"/>
        </w:trPr>
        <w:tc>
          <w:tcPr>
            <w:tcW w:w="1940" w:type="dxa"/>
            <w:vAlign w:val="bottom"/>
            <w:gridSpan w:val="2"/>
          </w:tcPr>
          <w:p>
            <w:pPr>
              <w:spacing w:after="0"/>
              <w:rPr>
                <w:sz w:val="20"/>
                <w:szCs w:val="20"/>
                <w:color w:val="auto"/>
              </w:rPr>
            </w:pPr>
            <w:r>
              <w:rPr>
                <w:rFonts w:ascii="Arial" w:cs="Arial" w:eastAsia="Arial" w:hAnsi="Arial"/>
                <w:sz w:val="11"/>
                <w:szCs w:val="11"/>
                <w:color w:val="auto"/>
              </w:rPr>
              <w:t>losses on available-for-</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2"/>
        </w:trPr>
        <w:tc>
          <w:tcPr>
            <w:tcW w:w="1260" w:type="dxa"/>
            <w:vAlign w:val="bottom"/>
          </w:tcPr>
          <w:p>
            <w:pPr>
              <w:spacing w:after="0"/>
              <w:rPr>
                <w:sz w:val="20"/>
                <w:szCs w:val="20"/>
                <w:color w:val="auto"/>
              </w:rPr>
            </w:pPr>
            <w:r>
              <w:rPr>
                <w:rFonts w:ascii="Arial" w:cs="Arial" w:eastAsia="Arial" w:hAnsi="Arial"/>
                <w:sz w:val="11"/>
                <w:szCs w:val="11"/>
                <w:color w:val="auto"/>
              </w:rPr>
              <w:t>sale securities, net of tax</w:t>
            </w:r>
          </w:p>
        </w:tc>
        <w:tc>
          <w:tcPr>
            <w:tcW w:w="68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(3,281,445)</w:t>
            </w:r>
          </w:p>
        </w:tc>
        <w:tc>
          <w:tcPr>
            <w:tcW w:w="1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1"/>
                <w:szCs w:val="11"/>
                <w:color w:val="auto"/>
              </w:rPr>
              <w:t>(3,281,445)</w:t>
            </w:r>
          </w:p>
        </w:tc>
      </w:tr>
      <w:tr>
        <w:trPr>
          <w:trHeight w:val="116"/>
        </w:trPr>
        <w:tc>
          <w:tcPr>
            <w:tcW w:w="1260" w:type="dxa"/>
            <w:vAlign w:val="bottom"/>
            <w:shd w:val="clear" w:color="auto" w:fill="CCEEFF"/>
          </w:tcPr>
          <w:p>
            <w:pPr>
              <w:spacing w:after="0" w:line="116" w:lineRule="exact"/>
              <w:rPr>
                <w:sz w:val="20"/>
                <w:szCs w:val="20"/>
                <w:color w:val="auto"/>
              </w:rPr>
            </w:pPr>
            <w:r>
              <w:rPr>
                <w:rFonts w:ascii="Arial" w:cs="Arial" w:eastAsia="Arial" w:hAnsi="Arial"/>
                <w:sz w:val="11"/>
                <w:szCs w:val="11"/>
                <w:color w:val="auto"/>
              </w:rPr>
              <w:t>Balance, September 30,</w:t>
            </w:r>
          </w:p>
        </w:tc>
        <w:tc>
          <w:tcPr>
            <w:tcW w:w="6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7"/>
        </w:trPr>
        <w:tc>
          <w:tcPr>
            <w:tcW w:w="1260" w:type="dxa"/>
            <w:vAlign w:val="bottom"/>
            <w:shd w:val="clear" w:color="auto" w:fill="CCEEFF"/>
          </w:tcPr>
          <w:p>
            <w:pPr>
              <w:spacing w:after="0"/>
              <w:rPr>
                <w:sz w:val="20"/>
                <w:szCs w:val="20"/>
                <w:color w:val="auto"/>
              </w:rPr>
            </w:pPr>
            <w:r>
              <w:rPr>
                <w:rFonts w:ascii="Arial" w:cs="Arial" w:eastAsia="Arial" w:hAnsi="Arial"/>
                <w:sz w:val="11"/>
                <w:szCs w:val="11"/>
                <w:color w:val="auto"/>
              </w:rPr>
              <w:t>2018</w:t>
            </w: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EEFF"/>
          </w:tcPr>
          <w:p>
            <w:pPr>
              <w:jc w:val="right"/>
              <w:ind w:right="583"/>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11,729,166</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117,291</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68,220,714</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(2,595,040)</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28,335,344</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1,027,439</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(2,712,552)</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91,365,757</w:t>
            </w:r>
          </w:p>
        </w:tc>
        <w:tc>
          <w:tcPr>
            <w:tcW w:w="100" w:type="dxa"/>
            <w:vAlign w:val="bottom"/>
            <w:shd w:val="clear" w:color="auto" w:fill="CCEEFF"/>
          </w:tcPr>
          <w:p>
            <w:pPr>
              <w:spacing w:after="0"/>
              <w:rPr>
                <w:sz w:val="13"/>
                <w:szCs w:val="13"/>
                <w:color w:val="auto"/>
              </w:rPr>
            </w:pPr>
          </w:p>
        </w:tc>
      </w:tr>
      <w:tr>
        <w:trPr>
          <w:trHeight w:val="20"/>
        </w:trPr>
        <w:tc>
          <w:tcPr>
            <w:tcW w:w="12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rPr>
          <w:sz w:val="20"/>
          <w:szCs w:val="20"/>
          <w:color w:val="auto"/>
        </w:rPr>
      </w:pPr>
      <w:r>
        <w:rPr>
          <w:rFonts w:ascii="Arial" w:cs="Arial" w:eastAsia="Arial" w:hAnsi="Arial"/>
          <w:sz w:val="14"/>
          <w:szCs w:val="14"/>
          <w:b w:val="1"/>
          <w:bCs w:val="1"/>
          <w:color w:val="auto"/>
        </w:rPr>
        <w:t>____________________________________________________________________________________________________________________________________________</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373"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520"/>
          </w:cols>
          <w:pgMar w:left="240" w:top="532" w:right="139" w:bottom="1440" w:gutter="0" w:footer="0" w:header="0"/>
        </w:sectPr>
      </w:pPr>
    </w:p>
    <w:bookmarkStart w:id="7" w:name="page8"/>
    <w:bookmarkEnd w:id="7"/>
    <w:p>
      <w:pPr>
        <w:ind w:left="7380"/>
        <w:spacing w:after="0"/>
        <w:rPr>
          <w:sz w:val="20"/>
          <w:szCs w:val="20"/>
          <w:color w:val="auto"/>
        </w:rPr>
      </w:pPr>
      <w:r>
        <w:rPr>
          <w:rFonts w:ascii="Arial" w:cs="Arial" w:eastAsia="Arial" w:hAnsi="Arial"/>
          <w:sz w:val="16"/>
          <w:szCs w:val="16"/>
          <w:b w:val="1"/>
          <w:bCs w:val="1"/>
          <w:color w:val="auto"/>
        </w:rPr>
        <w:t>KINGSTONE COMPANIES, INC. AND SUBSIDIARIES</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Stockholders' Equity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13335</wp:posOffset>
            </wp:positionV>
            <wp:extent cx="7254875" cy="15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4875" cy="1587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Nine months ended September 30, 2019 and 2018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15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4875" cy="1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1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5"/>
              </w:rPr>
              <w:t>Accumulated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7"/>
        </w:trPr>
        <w:tc>
          <w:tcPr>
            <w:tcW w:w="1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rPr>
              <w:t>Other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7"/>
        </w:trPr>
        <w:tc>
          <w:tcPr>
            <w:tcW w:w="1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6"/>
              </w:rPr>
              <w:t>Capital in</w:t>
            </w:r>
          </w:p>
        </w:tc>
        <w:tc>
          <w:tcPr>
            <w:tcW w:w="1020" w:type="dxa"/>
            <w:vAlign w:val="bottom"/>
            <w:gridSpan w:val="3"/>
          </w:tcPr>
          <w:p>
            <w:pPr>
              <w:jc w:val="center"/>
              <w:ind w:right="200"/>
              <w:spacing w:after="0"/>
              <w:rPr>
                <w:sz w:val="20"/>
                <w:szCs w:val="20"/>
                <w:color w:val="auto"/>
              </w:rPr>
            </w:pPr>
            <w:r>
              <w:rPr>
                <w:rFonts w:ascii="Arial" w:cs="Arial" w:eastAsia="Arial" w:hAnsi="Arial"/>
                <w:sz w:val="11"/>
                <w:szCs w:val="11"/>
                <w:b w:val="1"/>
                <w:bCs w:val="1"/>
                <w:color w:val="auto"/>
                <w:w w:val="89"/>
              </w:rPr>
              <w:t>Comprehensive</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4"/>
        </w:trPr>
        <w:tc>
          <w:tcPr>
            <w:tcW w:w="1260" w:type="dxa"/>
            <w:vAlign w:val="bottom"/>
          </w:tcPr>
          <w:p>
            <w:pPr>
              <w:spacing w:after="0"/>
              <w:rPr>
                <w:sz w:val="12"/>
                <w:szCs w:val="12"/>
                <w:color w:val="auto"/>
              </w:rPr>
            </w:pPr>
          </w:p>
        </w:tc>
        <w:tc>
          <w:tcPr>
            <w:tcW w:w="1740" w:type="dxa"/>
            <w:vAlign w:val="bottom"/>
            <w:tcBorders>
              <w:bottom w:val="single" w:sz="8" w:color="auto"/>
            </w:tcBorders>
            <w:gridSpan w:val="4"/>
          </w:tcPr>
          <w:p>
            <w:pPr>
              <w:jc w:val="right"/>
              <w:ind w:right="363"/>
              <w:spacing w:after="0"/>
              <w:rPr>
                <w:sz w:val="20"/>
                <w:szCs w:val="20"/>
                <w:color w:val="auto"/>
              </w:rPr>
            </w:pPr>
            <w:r>
              <w:rPr>
                <w:rFonts w:ascii="Arial" w:cs="Arial" w:eastAsia="Arial" w:hAnsi="Arial"/>
                <w:sz w:val="11"/>
                <w:szCs w:val="11"/>
                <w:b w:val="1"/>
                <w:bCs w:val="1"/>
                <w:color w:val="auto"/>
              </w:rPr>
              <w:t>Preferred Stock</w:t>
            </w:r>
          </w:p>
        </w:tc>
        <w:tc>
          <w:tcPr>
            <w:tcW w:w="1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40" w:type="dxa"/>
            <w:vAlign w:val="bottom"/>
            <w:tcBorders>
              <w:bottom w:val="single" w:sz="8" w:color="auto"/>
            </w:tcBorders>
            <w:gridSpan w:val="4"/>
          </w:tcPr>
          <w:p>
            <w:pPr>
              <w:jc w:val="right"/>
              <w:ind w:right="483"/>
              <w:spacing w:after="0"/>
              <w:rPr>
                <w:sz w:val="20"/>
                <w:szCs w:val="20"/>
                <w:color w:val="auto"/>
              </w:rPr>
            </w:pPr>
            <w:r>
              <w:rPr>
                <w:rFonts w:ascii="Arial" w:cs="Arial" w:eastAsia="Arial" w:hAnsi="Arial"/>
                <w:sz w:val="11"/>
                <w:szCs w:val="11"/>
                <w:b w:val="1"/>
                <w:bCs w:val="1"/>
                <w:color w:val="auto"/>
              </w:rPr>
              <w:t>Common Stock</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84"/>
              </w:rPr>
              <w:t>Excess</w:t>
            </w:r>
          </w:p>
        </w:tc>
        <w:tc>
          <w:tcPr>
            <w:tcW w:w="80" w:type="dxa"/>
            <w:vAlign w:val="bottom"/>
          </w:tcPr>
          <w:p>
            <w:pPr>
              <w:spacing w:after="0"/>
              <w:rPr>
                <w:sz w:val="12"/>
                <w:szCs w:val="12"/>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8"/>
              </w:rPr>
              <w:t>Income</w:t>
            </w:r>
          </w:p>
        </w:tc>
        <w:tc>
          <w:tcPr>
            <w:tcW w:w="120" w:type="dxa"/>
            <w:vAlign w:val="bottom"/>
          </w:tcPr>
          <w:p>
            <w:pPr>
              <w:spacing w:after="0"/>
              <w:rPr>
                <w:sz w:val="12"/>
                <w:szCs w:val="12"/>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Retained</w:t>
            </w:r>
          </w:p>
        </w:tc>
        <w:tc>
          <w:tcPr>
            <w:tcW w:w="1860" w:type="dxa"/>
            <w:vAlign w:val="bottom"/>
            <w:tcBorders>
              <w:bottom w:val="single" w:sz="8" w:color="auto"/>
            </w:tcBorders>
            <w:gridSpan w:val="4"/>
          </w:tcPr>
          <w:p>
            <w:pPr>
              <w:jc w:val="right"/>
              <w:ind w:right="503"/>
              <w:spacing w:after="0"/>
              <w:rPr>
                <w:sz w:val="20"/>
                <w:szCs w:val="20"/>
                <w:color w:val="auto"/>
              </w:rPr>
            </w:pPr>
            <w:r>
              <w:rPr>
                <w:rFonts w:ascii="Arial" w:cs="Arial" w:eastAsia="Arial" w:hAnsi="Arial"/>
                <w:sz w:val="11"/>
                <w:szCs w:val="11"/>
                <w:b w:val="1"/>
                <w:bCs w:val="1"/>
                <w:color w:val="auto"/>
              </w:rPr>
              <w:t>Treasury Stock</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7"/>
        </w:trPr>
        <w:tc>
          <w:tcPr>
            <w:tcW w:w="12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ind w:left="240"/>
              <w:spacing w:after="0"/>
              <w:rPr>
                <w:sz w:val="20"/>
                <w:szCs w:val="20"/>
                <w:color w:val="auto"/>
              </w:rPr>
            </w:pPr>
            <w:r>
              <w:rPr>
                <w:rFonts w:ascii="Arial" w:cs="Arial" w:eastAsia="Arial" w:hAnsi="Arial"/>
                <w:sz w:val="11"/>
                <w:szCs w:val="11"/>
                <w:b w:val="1"/>
                <w:bCs w:val="1"/>
                <w:color w:val="auto"/>
              </w:rPr>
              <w:t>Shares</w:t>
            </w:r>
          </w:p>
        </w:tc>
        <w:tc>
          <w:tcPr>
            <w:tcW w:w="1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Amount</w:t>
            </w: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1"/>
                <w:szCs w:val="11"/>
                <w:b w:val="1"/>
                <w:bCs w:val="1"/>
                <w:color w:val="auto"/>
              </w:rPr>
              <w:t>Shares</w:t>
            </w: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1"/>
                <w:szCs w:val="11"/>
                <w:b w:val="1"/>
                <w:bCs w:val="1"/>
                <w:color w:val="auto"/>
              </w:rPr>
              <w:t>Amount</w:t>
            </w: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1"/>
                <w:szCs w:val="11"/>
                <w:b w:val="1"/>
                <w:bCs w:val="1"/>
                <w:color w:val="auto"/>
                <w:w w:val="96"/>
              </w:rPr>
              <w:t>of Par</w:t>
            </w: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1"/>
                <w:szCs w:val="11"/>
                <w:b w:val="1"/>
                <w:bCs w:val="1"/>
                <w:color w:val="auto"/>
                <w:w w:val="90"/>
              </w:rPr>
              <w:t>(Loss)</w:t>
            </w: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1"/>
                <w:szCs w:val="11"/>
                <w:b w:val="1"/>
                <w:bCs w:val="1"/>
                <w:color w:val="auto"/>
              </w:rPr>
              <w:t>Earnings</w:t>
            </w:r>
          </w:p>
        </w:tc>
        <w:tc>
          <w:tcPr>
            <w:tcW w:w="84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b w:val="1"/>
                <w:bCs w:val="1"/>
                <w:color w:val="auto"/>
              </w:rPr>
              <w:t>Shares</w:t>
            </w: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1"/>
                <w:szCs w:val="11"/>
                <w:b w:val="1"/>
                <w:bCs w:val="1"/>
                <w:color w:val="auto"/>
              </w:rPr>
              <w:t>Amount</w:t>
            </w: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1"/>
                <w:szCs w:val="11"/>
                <w:b w:val="1"/>
                <w:bCs w:val="1"/>
                <w:color w:val="auto"/>
              </w:rPr>
              <w:t>Total</w:t>
            </w:r>
          </w:p>
        </w:tc>
      </w:tr>
      <w:tr>
        <w:trPr>
          <w:trHeight w:val="127"/>
        </w:trPr>
        <w:tc>
          <w:tcPr>
            <w:tcW w:w="19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Balance, January 1, 2019</w:t>
            </w:r>
          </w:p>
        </w:tc>
        <w:tc>
          <w:tcPr>
            <w:tcW w:w="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EEFF"/>
          </w:tcPr>
          <w:p>
            <w:pPr>
              <w:jc w:val="right"/>
              <w:ind w:right="583"/>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11,775,148</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117,751</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67,763,940</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(2,884,313)</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26,380,816</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1,027,439</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(2,712,552)</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88,665,642</w:t>
            </w:r>
          </w:p>
        </w:tc>
        <w:tc>
          <w:tcPr>
            <w:tcW w:w="100" w:type="dxa"/>
            <w:vAlign w:val="bottom"/>
            <w:shd w:val="clear" w:color="auto" w:fill="CCEEFF"/>
          </w:tcPr>
          <w:p>
            <w:pPr>
              <w:spacing w:after="0"/>
              <w:rPr>
                <w:sz w:val="11"/>
                <w:szCs w:val="11"/>
                <w:color w:val="auto"/>
              </w:rPr>
            </w:pPr>
          </w:p>
        </w:tc>
      </w:tr>
      <w:tr>
        <w:trPr>
          <w:trHeight w:val="116"/>
        </w:trPr>
        <w:tc>
          <w:tcPr>
            <w:tcW w:w="1940" w:type="dxa"/>
            <w:vAlign w:val="bottom"/>
            <w:gridSpan w:val="2"/>
          </w:tcPr>
          <w:p>
            <w:pPr>
              <w:spacing w:after="0" w:line="116" w:lineRule="exact"/>
              <w:rPr>
                <w:sz w:val="20"/>
                <w:szCs w:val="20"/>
                <w:color w:val="auto"/>
              </w:rPr>
            </w:pPr>
            <w:r>
              <w:rPr>
                <w:rFonts w:ascii="Arial" w:cs="Arial" w:eastAsia="Arial" w:hAnsi="Arial"/>
                <w:sz w:val="11"/>
                <w:szCs w:val="11"/>
                <w:color w:val="auto"/>
              </w:rPr>
              <w:t>Stock-based</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7"/>
        </w:trPr>
        <w:tc>
          <w:tcPr>
            <w:tcW w:w="1940" w:type="dxa"/>
            <w:vAlign w:val="bottom"/>
            <w:gridSpan w:val="2"/>
          </w:tcPr>
          <w:p>
            <w:pPr>
              <w:spacing w:after="0"/>
              <w:rPr>
                <w:sz w:val="20"/>
                <w:szCs w:val="20"/>
                <w:color w:val="auto"/>
              </w:rPr>
            </w:pPr>
            <w:r>
              <w:rPr>
                <w:rFonts w:ascii="Arial" w:cs="Arial" w:eastAsia="Arial" w:hAnsi="Arial"/>
                <w:sz w:val="11"/>
                <w:szCs w:val="11"/>
                <w:color w:val="auto"/>
              </w:rPr>
              <w:t>compensation</w:t>
            </w: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1,116,921</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1,116,921</w:t>
            </w:r>
          </w:p>
        </w:tc>
        <w:tc>
          <w:tcPr>
            <w:tcW w:w="100" w:type="dxa"/>
            <w:vAlign w:val="bottom"/>
          </w:tcPr>
          <w:p>
            <w:pPr>
              <w:spacing w:after="0"/>
              <w:rPr>
                <w:sz w:val="11"/>
                <w:szCs w:val="11"/>
                <w:color w:val="auto"/>
              </w:rPr>
            </w:pPr>
          </w:p>
        </w:tc>
      </w:tr>
      <w:tr>
        <w:trPr>
          <w:trHeight w:val="127"/>
        </w:trPr>
        <w:tc>
          <w:tcPr>
            <w:tcW w:w="19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Exercise of stock options</w:t>
            </w:r>
          </w:p>
        </w:tc>
        <w:tc>
          <w:tcPr>
            <w:tcW w:w="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3,000</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23,522</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23,552</w:t>
            </w:r>
          </w:p>
        </w:tc>
        <w:tc>
          <w:tcPr>
            <w:tcW w:w="100" w:type="dxa"/>
            <w:vAlign w:val="bottom"/>
            <w:shd w:val="clear" w:color="auto" w:fill="CCEEFF"/>
          </w:tcPr>
          <w:p>
            <w:pPr>
              <w:spacing w:after="0"/>
              <w:rPr>
                <w:sz w:val="11"/>
                <w:szCs w:val="11"/>
                <w:color w:val="auto"/>
              </w:rPr>
            </w:pPr>
          </w:p>
        </w:tc>
      </w:tr>
      <w:tr>
        <w:trPr>
          <w:trHeight w:val="116"/>
        </w:trPr>
        <w:tc>
          <w:tcPr>
            <w:tcW w:w="1940" w:type="dxa"/>
            <w:vAlign w:val="bottom"/>
            <w:gridSpan w:val="2"/>
          </w:tcPr>
          <w:p>
            <w:pPr>
              <w:spacing w:after="0" w:line="116" w:lineRule="exact"/>
              <w:rPr>
                <w:sz w:val="20"/>
                <w:szCs w:val="20"/>
                <w:color w:val="auto"/>
              </w:rPr>
            </w:pPr>
            <w:r>
              <w:rPr>
                <w:rFonts w:ascii="Arial" w:cs="Arial" w:eastAsia="Arial" w:hAnsi="Arial"/>
                <w:sz w:val="11"/>
                <w:szCs w:val="11"/>
                <w:color w:val="auto"/>
              </w:rPr>
              <w:t>Vesting of restricted</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7"/>
        </w:trPr>
        <w:tc>
          <w:tcPr>
            <w:tcW w:w="1940" w:type="dxa"/>
            <w:vAlign w:val="bottom"/>
            <w:gridSpan w:val="2"/>
          </w:tcPr>
          <w:p>
            <w:pPr>
              <w:spacing w:after="0"/>
              <w:rPr>
                <w:sz w:val="20"/>
                <w:szCs w:val="20"/>
                <w:color w:val="auto"/>
              </w:rPr>
            </w:pPr>
            <w:r>
              <w:rPr>
                <w:rFonts w:ascii="Arial" w:cs="Arial" w:eastAsia="Arial" w:hAnsi="Arial"/>
                <w:sz w:val="11"/>
                <w:szCs w:val="11"/>
                <w:color w:val="auto"/>
              </w:rPr>
              <w:t>stock awards</w:t>
            </w: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43,596</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434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1"/>
                <w:szCs w:val="11"/>
                <w:color w:val="auto"/>
              </w:rPr>
              <w:t>(434)</w:t>
            </w: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r>
      <w:tr>
        <w:trPr>
          <w:trHeight w:val="116"/>
        </w:trPr>
        <w:tc>
          <w:tcPr>
            <w:tcW w:w="1940" w:type="dxa"/>
            <w:vAlign w:val="bottom"/>
            <w:gridSpan w:val="2"/>
            <w:shd w:val="clear" w:color="auto" w:fill="CCEEFF"/>
          </w:tcPr>
          <w:p>
            <w:pPr>
              <w:spacing w:after="0" w:line="116" w:lineRule="exact"/>
              <w:rPr>
                <w:sz w:val="20"/>
                <w:szCs w:val="20"/>
                <w:color w:val="auto"/>
              </w:rPr>
            </w:pPr>
            <w:r>
              <w:rPr>
                <w:rFonts w:ascii="Arial" w:cs="Arial" w:eastAsia="Arial" w:hAnsi="Arial"/>
                <w:sz w:val="11"/>
                <w:szCs w:val="11"/>
                <w:color w:val="auto"/>
              </w:rPr>
              <w:t>Shares deducted from</w:t>
            </w: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27"/>
        </w:trPr>
        <w:tc>
          <w:tcPr>
            <w:tcW w:w="19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restricted stock awards</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27"/>
        </w:trPr>
        <w:tc>
          <w:tcPr>
            <w:tcW w:w="19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for payment of</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7"/>
        </w:trPr>
        <w:tc>
          <w:tcPr>
            <w:tcW w:w="19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withholding taxes</w:t>
            </w:r>
          </w:p>
        </w:tc>
        <w:tc>
          <w:tcPr>
            <w:tcW w:w="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(10,733)</w:t>
            </w: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(105)</w:t>
            </w: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(148,173)</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(148,278)</w:t>
            </w:r>
          </w:p>
        </w:tc>
      </w:tr>
      <w:tr>
        <w:trPr>
          <w:trHeight w:val="127"/>
        </w:trPr>
        <w:tc>
          <w:tcPr>
            <w:tcW w:w="1940" w:type="dxa"/>
            <w:vAlign w:val="bottom"/>
            <w:gridSpan w:val="2"/>
          </w:tcPr>
          <w:p>
            <w:pPr>
              <w:spacing w:after="0"/>
              <w:rPr>
                <w:sz w:val="20"/>
                <w:szCs w:val="20"/>
                <w:color w:val="auto"/>
              </w:rPr>
            </w:pPr>
            <w:r>
              <w:rPr>
                <w:rFonts w:ascii="Arial" w:cs="Arial" w:eastAsia="Arial" w:hAnsi="Arial"/>
                <w:sz w:val="11"/>
                <w:szCs w:val="11"/>
                <w:color w:val="auto"/>
              </w:rPr>
              <w:t>Dividends</w:t>
            </w: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1"/>
                <w:szCs w:val="11"/>
                <w:color w:val="auto"/>
              </w:rPr>
              <w:t>(2,827,276)</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1"/>
                <w:szCs w:val="11"/>
                <w:color w:val="auto"/>
              </w:rPr>
              <w:t>(2,827,276)</w:t>
            </w:r>
          </w:p>
        </w:tc>
      </w:tr>
      <w:tr>
        <w:trPr>
          <w:trHeight w:val="127"/>
        </w:trPr>
        <w:tc>
          <w:tcPr>
            <w:tcW w:w="19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Net loss</w:t>
            </w:r>
          </w:p>
        </w:tc>
        <w:tc>
          <w:tcPr>
            <w:tcW w:w="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(7,420,972)</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(7,420,972)</w:t>
            </w:r>
          </w:p>
        </w:tc>
      </w:tr>
      <w:tr>
        <w:trPr>
          <w:trHeight w:val="116"/>
        </w:trPr>
        <w:tc>
          <w:tcPr>
            <w:tcW w:w="1940" w:type="dxa"/>
            <w:vAlign w:val="bottom"/>
            <w:gridSpan w:val="2"/>
          </w:tcPr>
          <w:p>
            <w:pPr>
              <w:spacing w:after="0" w:line="116" w:lineRule="exact"/>
              <w:rPr>
                <w:sz w:val="20"/>
                <w:szCs w:val="20"/>
                <w:color w:val="auto"/>
              </w:rPr>
            </w:pPr>
            <w:r>
              <w:rPr>
                <w:rFonts w:ascii="Arial" w:cs="Arial" w:eastAsia="Arial" w:hAnsi="Arial"/>
                <w:sz w:val="11"/>
                <w:szCs w:val="11"/>
                <w:color w:val="auto"/>
              </w:rPr>
              <w:t>Change in unrealized</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7"/>
        </w:trPr>
        <w:tc>
          <w:tcPr>
            <w:tcW w:w="1940" w:type="dxa"/>
            <w:vAlign w:val="bottom"/>
            <w:gridSpan w:val="2"/>
          </w:tcPr>
          <w:p>
            <w:pPr>
              <w:spacing w:after="0"/>
              <w:rPr>
                <w:sz w:val="20"/>
                <w:szCs w:val="20"/>
                <w:color w:val="auto"/>
              </w:rPr>
            </w:pPr>
            <w:r>
              <w:rPr>
                <w:rFonts w:ascii="Arial" w:cs="Arial" w:eastAsia="Arial" w:hAnsi="Arial"/>
                <w:sz w:val="11"/>
                <w:szCs w:val="11"/>
                <w:color w:val="auto"/>
              </w:rPr>
              <w:t>gains on available-for-</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2"/>
        </w:trPr>
        <w:tc>
          <w:tcPr>
            <w:tcW w:w="1260" w:type="dxa"/>
            <w:vAlign w:val="bottom"/>
          </w:tcPr>
          <w:p>
            <w:pPr>
              <w:spacing w:after="0"/>
              <w:rPr>
                <w:sz w:val="20"/>
                <w:szCs w:val="20"/>
                <w:color w:val="auto"/>
              </w:rPr>
            </w:pPr>
            <w:r>
              <w:rPr>
                <w:rFonts w:ascii="Arial" w:cs="Arial" w:eastAsia="Arial" w:hAnsi="Arial"/>
                <w:sz w:val="11"/>
                <w:szCs w:val="11"/>
                <w:color w:val="auto"/>
              </w:rPr>
              <w:t>sale securities, net of tax</w:t>
            </w:r>
          </w:p>
        </w:tc>
        <w:tc>
          <w:tcPr>
            <w:tcW w:w="6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7,326,029</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7,326,029</w:t>
            </w:r>
          </w:p>
        </w:tc>
        <w:tc>
          <w:tcPr>
            <w:tcW w:w="100" w:type="dxa"/>
            <w:vAlign w:val="bottom"/>
          </w:tcPr>
          <w:p>
            <w:pPr>
              <w:spacing w:after="0"/>
              <w:rPr>
                <w:sz w:val="12"/>
                <w:szCs w:val="12"/>
                <w:color w:val="auto"/>
              </w:rPr>
            </w:pPr>
          </w:p>
        </w:tc>
      </w:tr>
      <w:tr>
        <w:trPr>
          <w:trHeight w:val="116"/>
        </w:trPr>
        <w:tc>
          <w:tcPr>
            <w:tcW w:w="1940" w:type="dxa"/>
            <w:vAlign w:val="bottom"/>
            <w:gridSpan w:val="2"/>
            <w:shd w:val="clear" w:color="auto" w:fill="CCEEFF"/>
          </w:tcPr>
          <w:p>
            <w:pPr>
              <w:spacing w:after="0" w:line="116" w:lineRule="exact"/>
              <w:rPr>
                <w:sz w:val="20"/>
                <w:szCs w:val="20"/>
                <w:color w:val="auto"/>
              </w:rPr>
            </w:pPr>
            <w:r>
              <w:rPr>
                <w:rFonts w:ascii="Arial" w:cs="Arial" w:eastAsia="Arial" w:hAnsi="Arial"/>
                <w:sz w:val="11"/>
                <w:szCs w:val="11"/>
                <w:color w:val="auto"/>
              </w:rPr>
              <w:t>Balance, September 30,</w:t>
            </w: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7"/>
        </w:trPr>
        <w:tc>
          <w:tcPr>
            <w:tcW w:w="1260" w:type="dxa"/>
            <w:vAlign w:val="bottom"/>
            <w:shd w:val="clear" w:color="auto" w:fill="CCEEFF"/>
          </w:tcPr>
          <w:p>
            <w:pPr>
              <w:spacing w:after="0"/>
              <w:rPr>
                <w:sz w:val="20"/>
                <w:szCs w:val="20"/>
                <w:color w:val="auto"/>
              </w:rPr>
            </w:pPr>
            <w:r>
              <w:rPr>
                <w:rFonts w:ascii="Arial" w:cs="Arial" w:eastAsia="Arial" w:hAnsi="Arial"/>
                <w:sz w:val="11"/>
                <w:szCs w:val="11"/>
                <w:color w:val="auto"/>
              </w:rPr>
              <w:t>2019</w:t>
            </w: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EEFF"/>
          </w:tcPr>
          <w:p>
            <w:pPr>
              <w:jc w:val="right"/>
              <w:ind w:right="583"/>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11,811,011</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118,110</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68,755,776</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4,441,716</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16,132,568</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1,027,439</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(2,712,552)</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86,735,618</w:t>
            </w:r>
          </w:p>
        </w:tc>
        <w:tc>
          <w:tcPr>
            <w:tcW w:w="100" w:type="dxa"/>
            <w:vAlign w:val="bottom"/>
            <w:shd w:val="clear" w:color="auto" w:fill="CCEEFF"/>
          </w:tcPr>
          <w:p>
            <w:pPr>
              <w:spacing w:after="0"/>
              <w:rPr>
                <w:sz w:val="13"/>
                <w:szCs w:val="13"/>
                <w:color w:val="auto"/>
              </w:rPr>
            </w:pPr>
          </w:p>
        </w:tc>
      </w:tr>
      <w:tr>
        <w:trPr>
          <w:trHeight w:val="20"/>
        </w:trPr>
        <w:tc>
          <w:tcPr>
            <w:tcW w:w="12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3"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_______________________________________________________________________________</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481" w:right="239" w:bottom="1440" w:gutter="0" w:footer="0" w:header="0"/>
        </w:sectPr>
      </w:pPr>
    </w:p>
    <w:bookmarkStart w:id="8" w:name="page9"/>
    <w:bookmarkEnd w:id="8"/>
    <w:p>
      <w:pPr>
        <w:ind w:left="7200"/>
        <w:spacing w:after="0"/>
        <w:rPr>
          <w:sz w:val="20"/>
          <w:szCs w:val="20"/>
          <w:color w:val="auto"/>
        </w:rPr>
      </w:pPr>
      <w:r>
        <w:rPr>
          <w:rFonts w:ascii="Arial" w:cs="Arial" w:eastAsia="Arial" w:hAnsi="Arial"/>
          <w:sz w:val="16"/>
          <w:szCs w:val="16"/>
          <w:b w:val="1"/>
          <w:bCs w:val="1"/>
          <w:color w:val="auto"/>
        </w:rPr>
        <w:t>KINGSTONE COMPANIES, INC. AND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19685</wp:posOffset>
            </wp:positionV>
            <wp:extent cx="7254875" cy="15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4875" cy="15875"/>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70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Nine months ended September 30,</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19"/>
                <w:szCs w:val="19"/>
                <w:color w:val="auto"/>
              </w:rPr>
            </w:pPr>
          </w:p>
        </w:tc>
      </w:tr>
      <w:tr>
        <w:trPr>
          <w:trHeight w:val="455"/>
        </w:trPr>
        <w:tc>
          <w:tcPr>
            <w:tcW w:w="8700" w:type="dxa"/>
            <w:vAlign w:val="bottom"/>
          </w:tcPr>
          <w:p>
            <w:pPr>
              <w:ind w:left="40"/>
              <w:spacing w:after="0"/>
              <w:rPr>
                <w:sz w:val="20"/>
                <w:szCs w:val="20"/>
                <w:color w:val="auto"/>
              </w:rPr>
            </w:pPr>
            <w:r>
              <w:rPr>
                <w:rFonts w:ascii="Arial" w:cs="Arial" w:eastAsia="Arial" w:hAnsi="Arial"/>
                <w:sz w:val="16"/>
                <w:szCs w:val="16"/>
                <w:b w:val="1"/>
                <w:bCs w:val="1"/>
                <w:color w:val="auto"/>
              </w:rPr>
              <w:t>Cash flows from operating activities</w:t>
            </w: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4"/>
        </w:trPr>
        <w:tc>
          <w:tcPr>
            <w:tcW w:w="8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(loss) income</w:t>
            </w:r>
          </w:p>
        </w:tc>
        <w:tc>
          <w:tcPr>
            <w:tcW w:w="320" w:type="dxa"/>
            <w:vAlign w:val="bottom"/>
            <w:gridSpan w:val="2"/>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(7,420,972)</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3,973,093</w:t>
            </w:r>
          </w:p>
        </w:tc>
      </w:tr>
      <w:tr>
        <w:trPr>
          <w:trHeight w:val="203"/>
        </w:trPr>
        <w:tc>
          <w:tcPr>
            <w:tcW w:w="8700" w:type="dxa"/>
            <w:vAlign w:val="bottom"/>
          </w:tcPr>
          <w:p>
            <w:pPr>
              <w:spacing w:after="0"/>
              <w:rPr>
                <w:sz w:val="20"/>
                <w:szCs w:val="20"/>
                <w:color w:val="auto"/>
              </w:rPr>
            </w:pPr>
            <w:r>
              <w:rPr>
                <w:rFonts w:ascii="Arial" w:cs="Arial" w:eastAsia="Arial" w:hAnsi="Arial"/>
                <w:sz w:val="16"/>
                <w:szCs w:val="16"/>
                <w:color w:val="auto"/>
              </w:rPr>
              <w:t>Adjustments to reconcile net (loss) income to net cash flows provided by operating activities: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8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losses on sale of investments</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54,759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377,303</w:t>
            </w:r>
          </w:p>
        </w:tc>
      </w:tr>
      <w:tr>
        <w:trPr>
          <w:trHeight w:val="203"/>
        </w:trPr>
        <w:tc>
          <w:tcPr>
            <w:tcW w:w="8700" w:type="dxa"/>
            <w:vAlign w:val="bottom"/>
          </w:tcPr>
          <w:p>
            <w:pPr>
              <w:ind w:left="200"/>
              <w:spacing w:after="0"/>
              <w:rPr>
                <w:sz w:val="20"/>
                <w:szCs w:val="20"/>
                <w:color w:val="auto"/>
              </w:rPr>
            </w:pPr>
            <w:r>
              <w:rPr>
                <w:rFonts w:ascii="Arial" w:cs="Arial" w:eastAsia="Arial" w:hAnsi="Arial"/>
                <w:sz w:val="16"/>
                <w:szCs w:val="16"/>
                <w:color w:val="auto"/>
              </w:rPr>
              <w:t>Net unrealized (gains) losses of equity investments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(3,196,260)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141,976</w:t>
            </w:r>
          </w:p>
        </w:tc>
      </w:tr>
      <w:tr>
        <w:trPr>
          <w:trHeight w:val="203"/>
        </w:trPr>
        <w:tc>
          <w:tcPr>
            <w:tcW w:w="8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unrealized gains of other investments</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(570,679)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(241,444)</w:t>
            </w:r>
          </w:p>
        </w:tc>
      </w:tr>
      <w:tr>
        <w:trPr>
          <w:trHeight w:val="203"/>
        </w:trPr>
        <w:tc>
          <w:tcPr>
            <w:tcW w:w="870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1,876,202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1,273,975</w:t>
            </w:r>
          </w:p>
        </w:tc>
      </w:tr>
      <w:tr>
        <w:trPr>
          <w:trHeight w:val="203"/>
        </w:trPr>
        <w:tc>
          <w:tcPr>
            <w:tcW w:w="8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Amortization of bond premium, net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283,620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284,204</w:t>
            </w:r>
          </w:p>
        </w:tc>
      </w:tr>
      <w:tr>
        <w:trPr>
          <w:trHeight w:val="203"/>
        </w:trPr>
        <w:tc>
          <w:tcPr>
            <w:tcW w:w="8700" w:type="dxa"/>
            <w:vAlign w:val="bottom"/>
          </w:tcPr>
          <w:p>
            <w:pPr>
              <w:ind w:left="180"/>
              <w:spacing w:after="0"/>
              <w:rPr>
                <w:sz w:val="20"/>
                <w:szCs w:val="20"/>
                <w:color w:val="auto"/>
              </w:rPr>
            </w:pPr>
            <w:r>
              <w:rPr>
                <w:rFonts w:ascii="Arial" w:cs="Arial" w:eastAsia="Arial" w:hAnsi="Arial"/>
                <w:sz w:val="16"/>
                <w:szCs w:val="16"/>
                <w:color w:val="auto"/>
              </w:rPr>
              <w:t>Amortization of discount and issuance costs on long-term debt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132,135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124,241</w:t>
            </w:r>
          </w:p>
        </w:tc>
      </w:tr>
      <w:tr>
        <w:trPr>
          <w:trHeight w:val="203"/>
        </w:trPr>
        <w:tc>
          <w:tcPr>
            <w:tcW w:w="8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Stock-based compensation</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1,116,921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481,812</w:t>
            </w:r>
          </w:p>
        </w:tc>
      </w:tr>
      <w:tr>
        <w:trPr>
          <w:trHeight w:val="203"/>
        </w:trPr>
        <w:tc>
          <w:tcPr>
            <w:tcW w:w="8700" w:type="dxa"/>
            <w:vAlign w:val="bottom"/>
          </w:tcPr>
          <w:p>
            <w:pPr>
              <w:ind w:left="200"/>
              <w:spacing w:after="0"/>
              <w:rPr>
                <w:sz w:val="20"/>
                <w:szCs w:val="20"/>
                <w:color w:val="auto"/>
              </w:rPr>
            </w:pPr>
            <w:r>
              <w:rPr>
                <w:rFonts w:ascii="Arial" w:cs="Arial" w:eastAsia="Arial" w:hAnsi="Arial"/>
                <w:sz w:val="16"/>
                <w:szCs w:val="16"/>
                <w:color w:val="auto"/>
              </w:rPr>
              <w:t>Deferred income tax (benefit) expense</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(2,133,486)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136,032</w:t>
            </w:r>
          </w:p>
        </w:tc>
      </w:tr>
      <w:tr>
        <w:trPr>
          <w:trHeight w:val="203"/>
        </w:trPr>
        <w:tc>
          <w:tcPr>
            <w:tcW w:w="8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(Increase) decrease in operating assets:</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8700" w:type="dxa"/>
            <w:vAlign w:val="bottom"/>
          </w:tcPr>
          <w:p>
            <w:pPr>
              <w:ind w:left="200"/>
              <w:spacing w:after="0"/>
              <w:rPr>
                <w:sz w:val="20"/>
                <w:szCs w:val="20"/>
                <w:color w:val="auto"/>
              </w:rPr>
            </w:pPr>
            <w:r>
              <w:rPr>
                <w:rFonts w:ascii="Arial" w:cs="Arial" w:eastAsia="Arial" w:hAnsi="Arial"/>
                <w:sz w:val="16"/>
                <w:szCs w:val="16"/>
                <w:color w:val="auto"/>
              </w:rPr>
              <w:t>Premiums receivable, net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(390,922)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(266,849)</w:t>
            </w:r>
          </w:p>
        </w:tc>
      </w:tr>
      <w:tr>
        <w:trPr>
          <w:trHeight w:val="203"/>
        </w:trPr>
        <w:tc>
          <w:tcPr>
            <w:tcW w:w="8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Reinsurance receivables, net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(213,334)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3,500,669</w:t>
            </w:r>
          </w:p>
        </w:tc>
      </w:tr>
      <w:tr>
        <w:trPr>
          <w:trHeight w:val="203"/>
        </w:trPr>
        <w:tc>
          <w:tcPr>
            <w:tcW w:w="8700" w:type="dxa"/>
            <w:vAlign w:val="bottom"/>
          </w:tcPr>
          <w:p>
            <w:pPr>
              <w:ind w:left="200"/>
              <w:spacing w:after="0"/>
              <w:rPr>
                <w:sz w:val="20"/>
                <w:szCs w:val="20"/>
                <w:color w:val="auto"/>
              </w:rPr>
            </w:pPr>
            <w:r>
              <w:rPr>
                <w:rFonts w:ascii="Arial" w:cs="Arial" w:eastAsia="Arial" w:hAnsi="Arial"/>
                <w:sz w:val="16"/>
                <w:szCs w:val="16"/>
                <w:color w:val="auto"/>
              </w:rPr>
              <w:t>Deferred policy acquisition costs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(2,583,831)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(2,276,012)</w:t>
            </w:r>
          </w:p>
        </w:tc>
      </w:tr>
      <w:tr>
        <w:trPr>
          <w:trHeight w:val="203"/>
        </w:trPr>
        <w:tc>
          <w:tcPr>
            <w:tcW w:w="8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assets</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(882,320)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(1,824,401)</w:t>
            </w:r>
          </w:p>
        </w:tc>
      </w:tr>
      <w:tr>
        <w:trPr>
          <w:trHeight w:val="203"/>
        </w:trPr>
        <w:tc>
          <w:tcPr>
            <w:tcW w:w="8700" w:type="dxa"/>
            <w:vAlign w:val="bottom"/>
          </w:tcPr>
          <w:p>
            <w:pPr>
              <w:ind w:left="40"/>
              <w:spacing w:after="0"/>
              <w:rPr>
                <w:sz w:val="20"/>
                <w:szCs w:val="20"/>
                <w:color w:val="auto"/>
              </w:rPr>
            </w:pPr>
            <w:r>
              <w:rPr>
                <w:rFonts w:ascii="Arial" w:cs="Arial" w:eastAsia="Arial" w:hAnsi="Arial"/>
                <w:sz w:val="16"/>
                <w:szCs w:val="16"/>
                <w:color w:val="auto"/>
              </w:rPr>
              <w:t>Increase (decrease) in operating liabilities: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8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Loss and loss adjustment expense reserves</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21,212,317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5,143,335</w:t>
            </w:r>
          </w:p>
        </w:tc>
      </w:tr>
      <w:tr>
        <w:trPr>
          <w:trHeight w:val="203"/>
        </w:trPr>
        <w:tc>
          <w:tcPr>
            <w:tcW w:w="8700" w:type="dxa"/>
            <w:vAlign w:val="bottom"/>
          </w:tcPr>
          <w:p>
            <w:pPr>
              <w:ind w:left="200"/>
              <w:spacing w:after="0"/>
              <w:rPr>
                <w:sz w:val="20"/>
                <w:szCs w:val="20"/>
                <w:color w:val="auto"/>
              </w:rPr>
            </w:pPr>
            <w:r>
              <w:rPr>
                <w:rFonts w:ascii="Arial" w:cs="Arial" w:eastAsia="Arial" w:hAnsi="Arial"/>
                <w:sz w:val="16"/>
                <w:szCs w:val="16"/>
                <w:color w:val="auto"/>
              </w:rPr>
              <w:t>Unearned premiums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11,036,552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9,926,741</w:t>
            </w:r>
          </w:p>
        </w:tc>
      </w:tr>
      <w:tr>
        <w:trPr>
          <w:trHeight w:val="203"/>
        </w:trPr>
        <w:tc>
          <w:tcPr>
            <w:tcW w:w="8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Advance premiums</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1,629,862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1,411,027</w:t>
            </w:r>
          </w:p>
        </w:tc>
      </w:tr>
      <w:tr>
        <w:trPr>
          <w:trHeight w:val="203"/>
        </w:trPr>
        <w:tc>
          <w:tcPr>
            <w:tcW w:w="8700" w:type="dxa"/>
            <w:vAlign w:val="bottom"/>
          </w:tcPr>
          <w:p>
            <w:pPr>
              <w:ind w:left="200"/>
              <w:spacing w:after="0"/>
              <w:rPr>
                <w:sz w:val="20"/>
                <w:szCs w:val="20"/>
                <w:color w:val="auto"/>
              </w:rPr>
            </w:pPr>
            <w:r>
              <w:rPr>
                <w:rFonts w:ascii="Arial" w:cs="Arial" w:eastAsia="Arial" w:hAnsi="Arial"/>
                <w:sz w:val="16"/>
                <w:szCs w:val="16"/>
                <w:color w:val="auto"/>
              </w:rPr>
              <w:t>Reinsurance balances payable</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(1,123,540)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(840,122)</w:t>
            </w:r>
          </w:p>
        </w:tc>
      </w:tr>
      <w:tr>
        <w:trPr>
          <w:trHeight w:val="203"/>
        </w:trPr>
        <w:tc>
          <w:tcPr>
            <w:tcW w:w="8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Deferred ceding commission revenue</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(857,805)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(1,748,944)</w:t>
            </w:r>
          </w:p>
        </w:tc>
      </w:tr>
      <w:tr>
        <w:trPr>
          <w:trHeight w:val="203"/>
        </w:trPr>
        <w:tc>
          <w:tcPr>
            <w:tcW w:w="8700" w:type="dxa"/>
            <w:vAlign w:val="bottom"/>
          </w:tcPr>
          <w:p>
            <w:pPr>
              <w:ind w:left="180"/>
              <w:spacing w:after="0"/>
              <w:rPr>
                <w:sz w:val="20"/>
                <w:szCs w:val="20"/>
                <w:color w:val="auto"/>
              </w:rPr>
            </w:pPr>
            <w:r>
              <w:rPr>
                <w:rFonts w:ascii="Arial" w:cs="Arial" w:eastAsia="Arial" w:hAnsi="Arial"/>
                <w:sz w:val="16"/>
                <w:szCs w:val="16"/>
                <w:color w:val="auto"/>
              </w:rPr>
              <w:t>Accounts payable, accrued expenses and other liabilities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1,568,746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(1,379,309)</w:t>
            </w:r>
          </w:p>
        </w:tc>
      </w:tr>
      <w:tr>
        <w:trPr>
          <w:trHeight w:val="25"/>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08"/>
        </w:trPr>
        <w:tc>
          <w:tcPr>
            <w:tcW w:w="87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Net cash flows provided by operating activities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19,537,965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18,197,327</w:t>
            </w:r>
          </w:p>
        </w:tc>
      </w:tr>
      <w:tr>
        <w:trPr>
          <w:trHeight w:val="203"/>
        </w:trPr>
        <w:tc>
          <w:tcPr>
            <w:tcW w:w="87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r>
      <w:tr>
        <w:trPr>
          <w:trHeight w:val="203"/>
        </w:trPr>
        <w:tc>
          <w:tcPr>
            <w:tcW w:w="87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8700" w:type="dxa"/>
            <w:vAlign w:val="bottom"/>
          </w:tcPr>
          <w:p>
            <w:pPr>
              <w:ind w:left="40"/>
              <w:spacing w:after="0"/>
              <w:rPr>
                <w:sz w:val="20"/>
                <w:szCs w:val="20"/>
                <w:color w:val="auto"/>
              </w:rPr>
            </w:pPr>
            <w:r>
              <w:rPr>
                <w:rFonts w:ascii="Arial" w:cs="Arial" w:eastAsia="Arial" w:hAnsi="Arial"/>
                <w:sz w:val="16"/>
                <w:szCs w:val="16"/>
                <w:color w:val="auto"/>
              </w:rPr>
              <w:t>Purchase - fixed-maturity securities available-for-sale</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(15,373,113)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(43,957,529)</w:t>
            </w:r>
          </w:p>
        </w:tc>
      </w:tr>
      <w:tr>
        <w:trPr>
          <w:trHeight w:val="203"/>
        </w:trPr>
        <w:tc>
          <w:tcPr>
            <w:tcW w:w="8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Purchase - equity securities</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(6,657,676)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(10,357,210)</w:t>
            </w:r>
          </w:p>
        </w:tc>
      </w:tr>
      <w:tr>
        <w:trPr>
          <w:trHeight w:val="203"/>
        </w:trPr>
        <w:tc>
          <w:tcPr>
            <w:tcW w:w="8700" w:type="dxa"/>
            <w:vAlign w:val="bottom"/>
          </w:tcPr>
          <w:p>
            <w:pPr>
              <w:ind w:left="40"/>
              <w:spacing w:after="0"/>
              <w:rPr>
                <w:sz w:val="20"/>
                <w:szCs w:val="20"/>
                <w:color w:val="auto"/>
              </w:rPr>
            </w:pPr>
            <w:r>
              <w:rPr>
                <w:rFonts w:ascii="Arial" w:cs="Arial" w:eastAsia="Arial" w:hAnsi="Arial"/>
                <w:sz w:val="16"/>
                <w:szCs w:val="16"/>
                <w:color w:val="auto"/>
              </w:rPr>
              <w:t>Sale and redemption - fixed-maturity securities held-to-maturity</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400,000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624,963</w:t>
            </w:r>
          </w:p>
        </w:tc>
      </w:tr>
      <w:tr>
        <w:trPr>
          <w:trHeight w:val="203"/>
        </w:trPr>
        <w:tc>
          <w:tcPr>
            <w:tcW w:w="8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 or maturity - fixed-maturity securities available-for-sale</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9,835,464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17,740,260</w:t>
            </w:r>
          </w:p>
        </w:tc>
      </w:tr>
      <w:tr>
        <w:trPr>
          <w:trHeight w:val="203"/>
        </w:trPr>
        <w:tc>
          <w:tcPr>
            <w:tcW w:w="8700" w:type="dxa"/>
            <w:vAlign w:val="bottom"/>
          </w:tcPr>
          <w:p>
            <w:pPr>
              <w:ind w:left="40"/>
              <w:spacing w:after="0"/>
              <w:rPr>
                <w:sz w:val="20"/>
                <w:szCs w:val="20"/>
                <w:color w:val="auto"/>
              </w:rPr>
            </w:pPr>
            <w:r>
              <w:rPr>
                <w:rFonts w:ascii="Arial" w:cs="Arial" w:eastAsia="Arial" w:hAnsi="Arial"/>
                <w:sz w:val="16"/>
                <w:szCs w:val="16"/>
                <w:color w:val="auto"/>
              </w:rPr>
              <w:t>Sale - equity securities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2,941,492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5,694,121</w:t>
            </w:r>
          </w:p>
        </w:tc>
      </w:tr>
      <w:tr>
        <w:trPr>
          <w:trHeight w:val="203"/>
        </w:trPr>
        <w:tc>
          <w:tcPr>
            <w:tcW w:w="8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Acquisition of property and equipment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(3,231,483)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(2,044,440)</w:t>
            </w:r>
          </w:p>
        </w:tc>
      </w:tr>
      <w:tr>
        <w:trPr>
          <w:trHeight w:val="25"/>
        </w:trPr>
        <w:tc>
          <w:tcPr>
            <w:tcW w:w="8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08"/>
        </w:trPr>
        <w:tc>
          <w:tcPr>
            <w:tcW w:w="8700" w:type="dxa"/>
            <w:vAlign w:val="bottom"/>
          </w:tcPr>
          <w:p>
            <w:pPr>
              <w:ind w:left="40"/>
              <w:spacing w:after="0"/>
              <w:rPr>
                <w:sz w:val="20"/>
                <w:szCs w:val="20"/>
                <w:color w:val="auto"/>
              </w:rPr>
            </w:pPr>
            <w:r>
              <w:rPr>
                <w:rFonts w:ascii="Arial" w:cs="Arial" w:eastAsia="Arial" w:hAnsi="Arial"/>
                <w:sz w:val="16"/>
                <w:szCs w:val="16"/>
                <w:b w:val="1"/>
                <w:bCs w:val="1"/>
                <w:color w:val="auto"/>
              </w:rPr>
              <w:t>Net cash flows used in investing activitie</w:t>
            </w:r>
            <w:r>
              <w:rPr>
                <w:rFonts w:ascii="Arial" w:cs="Arial" w:eastAsia="Arial" w:hAnsi="Arial"/>
                <w:sz w:val="16"/>
                <w:szCs w:val="16"/>
                <w:color w:val="auto"/>
              </w:rPr>
              <w: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(12,085,316)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(32,299,835)</w:t>
            </w:r>
          </w:p>
        </w:tc>
      </w:tr>
      <w:tr>
        <w:trPr>
          <w:trHeight w:val="203"/>
        </w:trPr>
        <w:tc>
          <w:tcPr>
            <w:tcW w:w="8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870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8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Proceeds from exercise of stock options</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23,552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74,139</w:t>
            </w:r>
          </w:p>
        </w:tc>
      </w:tr>
      <w:tr>
        <w:trPr>
          <w:trHeight w:val="203"/>
        </w:trPr>
        <w:tc>
          <w:tcPr>
            <w:tcW w:w="8700" w:type="dxa"/>
            <w:vAlign w:val="bottom"/>
          </w:tcPr>
          <w:p>
            <w:pPr>
              <w:ind w:left="40"/>
              <w:spacing w:after="0"/>
              <w:rPr>
                <w:sz w:val="20"/>
                <w:szCs w:val="20"/>
                <w:color w:val="auto"/>
              </w:rPr>
            </w:pPr>
            <w:r>
              <w:rPr>
                <w:rFonts w:ascii="Arial" w:cs="Arial" w:eastAsia="Arial" w:hAnsi="Arial"/>
                <w:sz w:val="16"/>
                <w:szCs w:val="16"/>
                <w:color w:val="auto"/>
              </w:rPr>
              <w:t>Withholding taxes paid on net exercise of stock options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(674,651)</w:t>
            </w:r>
          </w:p>
        </w:tc>
      </w:tr>
      <w:tr>
        <w:trPr>
          <w:trHeight w:val="203"/>
        </w:trPr>
        <w:tc>
          <w:tcPr>
            <w:tcW w:w="8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Withholding taxes paid on vested retricted stock awards</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(148,278)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(39,871)</w:t>
            </w:r>
          </w:p>
        </w:tc>
      </w:tr>
      <w:tr>
        <w:trPr>
          <w:trHeight w:val="203"/>
        </w:trPr>
        <w:tc>
          <w:tcPr>
            <w:tcW w:w="8700" w:type="dxa"/>
            <w:vAlign w:val="bottom"/>
          </w:tcPr>
          <w:p>
            <w:pPr>
              <w:ind w:left="40"/>
              <w:spacing w:after="0"/>
              <w:rPr>
                <w:sz w:val="20"/>
                <w:szCs w:val="20"/>
                <w:color w:val="auto"/>
              </w:rPr>
            </w:pPr>
            <w:r>
              <w:rPr>
                <w:rFonts w:ascii="Arial" w:cs="Arial" w:eastAsia="Arial" w:hAnsi="Arial"/>
                <w:sz w:val="16"/>
                <w:szCs w:val="16"/>
                <w:color w:val="auto"/>
              </w:rPr>
              <w:t>Purchase of treasury stock</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(540,253)</w:t>
            </w:r>
          </w:p>
        </w:tc>
      </w:tr>
      <w:tr>
        <w:trPr>
          <w:trHeight w:val="203"/>
        </w:trPr>
        <w:tc>
          <w:tcPr>
            <w:tcW w:w="8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Dividends paid</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(2,827,276)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(3,204,813)</w:t>
            </w:r>
          </w:p>
        </w:tc>
      </w:tr>
      <w:tr>
        <w:trPr>
          <w:trHeight w:val="25"/>
        </w:trPr>
        <w:tc>
          <w:tcPr>
            <w:tcW w:w="8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08"/>
        </w:trPr>
        <w:tc>
          <w:tcPr>
            <w:tcW w:w="8700" w:type="dxa"/>
            <w:vAlign w:val="bottom"/>
          </w:tcPr>
          <w:p>
            <w:pPr>
              <w:ind w:left="40"/>
              <w:spacing w:after="0"/>
              <w:rPr>
                <w:sz w:val="20"/>
                <w:szCs w:val="20"/>
                <w:color w:val="auto"/>
              </w:rPr>
            </w:pPr>
            <w:r>
              <w:rPr>
                <w:rFonts w:ascii="Arial" w:cs="Arial" w:eastAsia="Arial" w:hAnsi="Arial"/>
                <w:sz w:val="16"/>
                <w:szCs w:val="16"/>
                <w:b w:val="1"/>
                <w:bCs w:val="1"/>
                <w:color w:val="auto"/>
              </w:rPr>
              <w:t>Net cash flows used in financing activitie</w:t>
            </w:r>
            <w:r>
              <w:rPr>
                <w:rFonts w:ascii="Arial" w:cs="Arial" w:eastAsia="Arial" w:hAnsi="Arial"/>
                <w:sz w:val="16"/>
                <w:szCs w:val="16"/>
                <w:color w:val="auto"/>
              </w:rPr>
              <w: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(2,952,002)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(4,385,449)</w:t>
            </w:r>
          </w:p>
        </w:tc>
      </w:tr>
      <w:tr>
        <w:trPr>
          <w:trHeight w:val="203"/>
        </w:trPr>
        <w:tc>
          <w:tcPr>
            <w:tcW w:w="8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8700" w:type="dxa"/>
            <w:vAlign w:val="bottom"/>
          </w:tcPr>
          <w:p>
            <w:pPr>
              <w:ind w:left="40"/>
              <w:spacing w:after="0"/>
              <w:rPr>
                <w:sz w:val="20"/>
                <w:szCs w:val="20"/>
                <w:color w:val="auto"/>
              </w:rPr>
            </w:pPr>
            <w:r>
              <w:rPr>
                <w:rFonts w:ascii="Arial" w:cs="Arial" w:eastAsia="Arial" w:hAnsi="Arial"/>
                <w:sz w:val="16"/>
                <w:szCs w:val="16"/>
                <w:color w:val="auto"/>
              </w:rPr>
              <w:t>Increase (decrease) in cash and cash equivalents</w:t>
            </w:r>
          </w:p>
        </w:tc>
        <w:tc>
          <w:tcPr>
            <w:tcW w:w="320" w:type="dxa"/>
            <w:vAlign w:val="bottom"/>
            <w:gridSpan w:val="2"/>
          </w:tcPr>
          <w:p>
            <w:pPr>
              <w:jc w:val="right"/>
              <w:ind w:right="43"/>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4,500,647</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(18,487,957)</w:t>
            </w:r>
          </w:p>
        </w:tc>
      </w:tr>
      <w:tr>
        <w:trPr>
          <w:trHeight w:val="203"/>
        </w:trPr>
        <w:tc>
          <w:tcPr>
            <w:tcW w:w="8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21,138,403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48,381,633</w:t>
            </w:r>
          </w:p>
        </w:tc>
      </w:tr>
      <w:tr>
        <w:trPr>
          <w:trHeight w:val="25"/>
        </w:trPr>
        <w:tc>
          <w:tcPr>
            <w:tcW w:w="8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03"/>
        </w:trPr>
        <w:tc>
          <w:tcPr>
            <w:tcW w:w="8700" w:type="dxa"/>
            <w:vAlign w:val="bottom"/>
          </w:tcPr>
          <w:p>
            <w:pPr>
              <w:ind w:left="40"/>
              <w:spacing w:after="0"/>
              <w:rPr>
                <w:sz w:val="20"/>
                <w:szCs w:val="20"/>
                <w:color w:val="auto"/>
              </w:rPr>
            </w:pPr>
            <w:r>
              <w:rPr>
                <w:rFonts w:ascii="Arial" w:cs="Arial" w:eastAsia="Arial" w:hAnsi="Arial"/>
                <w:sz w:val="16"/>
                <w:szCs w:val="16"/>
                <w:b w:val="1"/>
                <w:bCs w:val="1"/>
                <w:color w:val="auto"/>
              </w:rPr>
              <w:t>Cash and cash equivalents, end of period</w:t>
            </w:r>
          </w:p>
        </w:tc>
        <w:tc>
          <w:tcPr>
            <w:tcW w:w="120" w:type="dxa"/>
            <w:vAlign w:val="bottom"/>
          </w:tcPr>
          <w:p>
            <w:pPr>
              <w:spacing w:after="0"/>
              <w:rPr>
                <w:sz w:val="17"/>
                <w:szCs w:val="17"/>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25,639,050</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29,893,676</w:t>
            </w:r>
          </w:p>
        </w:tc>
      </w:tr>
      <w:tr>
        <w:trPr>
          <w:trHeight w:val="20"/>
        </w:trPr>
        <w:tc>
          <w:tcPr>
            <w:tcW w:w="8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3"/>
        </w:trPr>
        <w:tc>
          <w:tcPr>
            <w:tcW w:w="8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03"/>
        </w:trPr>
        <w:tc>
          <w:tcPr>
            <w:tcW w:w="8700" w:type="dxa"/>
            <w:vAlign w:val="bottom"/>
          </w:tcPr>
          <w:p>
            <w:pPr>
              <w:ind w:left="4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8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paid for income taxes</w:t>
            </w:r>
          </w:p>
        </w:tc>
        <w:tc>
          <w:tcPr>
            <w:tcW w:w="320" w:type="dxa"/>
            <w:vAlign w:val="bottom"/>
            <w:gridSpan w:val="2"/>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388,000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1,250,000</w:t>
            </w:r>
          </w:p>
        </w:tc>
      </w:tr>
      <w:tr>
        <w:trPr>
          <w:trHeight w:val="209"/>
        </w:trPr>
        <w:tc>
          <w:tcPr>
            <w:tcW w:w="8700" w:type="dxa"/>
            <w:vAlign w:val="bottom"/>
          </w:tcPr>
          <w:p>
            <w:pPr>
              <w:ind w:left="40"/>
              <w:spacing w:after="0"/>
              <w:rPr>
                <w:sz w:val="20"/>
                <w:szCs w:val="20"/>
                <w:color w:val="auto"/>
              </w:rPr>
            </w:pPr>
            <w:r>
              <w:rPr>
                <w:rFonts w:ascii="Arial" w:cs="Arial" w:eastAsia="Arial" w:hAnsi="Arial"/>
                <w:sz w:val="16"/>
                <w:szCs w:val="16"/>
                <w:color w:val="auto"/>
              </w:rPr>
              <w:t>Cash paid for interest</w:t>
            </w:r>
          </w:p>
        </w:tc>
        <w:tc>
          <w:tcPr>
            <w:tcW w:w="320" w:type="dxa"/>
            <w:vAlign w:val="bottom"/>
            <w:gridSpan w:val="2"/>
          </w:tcPr>
          <w:p>
            <w:pPr>
              <w:jc w:val="right"/>
              <w:ind w:right="43"/>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825,000</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875,417</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_____________________________________________________________________________________</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329" w:right="239" w:bottom="1440" w:gutter="0" w:footer="0" w:header="0"/>
        </w:sectPr>
      </w:pPr>
    </w:p>
    <w:bookmarkStart w:id="9" w:name="page10"/>
    <w:bookmarkEnd w:id="9"/>
    <w:p>
      <w:pPr>
        <w:ind w:left="3680"/>
        <w:spacing w:after="0"/>
        <w:rPr>
          <w:sz w:val="20"/>
          <w:szCs w:val="20"/>
          <w:color w:val="auto"/>
        </w:rPr>
      </w:pPr>
      <w:r>
        <w:rPr>
          <w:rFonts w:ascii="Arial" w:cs="Arial" w:eastAsia="Arial" w:hAnsi="Arial"/>
          <w:sz w:val="16"/>
          <w:szCs w:val="16"/>
          <w:b w:val="1"/>
          <w:bCs w:val="1"/>
          <w:color w:val="auto"/>
        </w:rPr>
        <w:t>KINGSTONE COMPANIES, INC. AND SUBSIDIARIES</w:t>
      </w:r>
    </w:p>
    <w:p>
      <w:pPr>
        <w:spacing w:after="0" w:line="158" w:lineRule="exact"/>
        <w:rPr>
          <w:sz w:val="20"/>
          <w:szCs w:val="20"/>
          <w:color w:val="auto"/>
        </w:rPr>
      </w:pPr>
    </w:p>
    <w:p>
      <w:pPr>
        <w:ind w:left="3020"/>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 Nature of Business and Basis of Presentation</w:t>
      </w:r>
    </w:p>
    <w:p>
      <w:pPr>
        <w:spacing w:after="0" w:line="162"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Kingstone Companies, Inc. (referred to herein as "Kingstone" or the “Company”), through its wholly owned subsidiary, Kingstone Insurance Company (“KICO”), underwrites property and casualty insurance to small businesses and individuals exclusively through agents and brokers. KICO is a licensed insurance company in the States of New York, New Jersey, Rhode Island, Massachusetts, Pennsylvania, Connecticut, Maine and New Hampshire. KICO is currently offering its property and casualty insurance products in New York, New Jersey, Rhode Island, Massachusetts, and Connecticut. Although New Jersey, Rhode Island, Massachusetts and Connecticut continue to be growing markets for the Company, 84.0% and 86.8% of KICO’s direct written premiums for the three months and nine months ended September 30, 2019, respectively, came from the New York policies. Kingstone, through its subsidiary, Cosi Agency, Inc. (“Cosi”), a multi-state licensed general agency, accesses alternate forms of distribution outside of the independent agent and broker network, through which KICO currently distributes its various products. Kingstone (through Cosi) now has the opportunity to partner with name-brand carriers and access nationwide insurance agencies.</w:t>
      </w:r>
    </w:p>
    <w:p>
      <w:pPr>
        <w:spacing w:after="0" w:line="99"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The accompanying unaudited condensed consolidated financial statements have been prepared in accordance with U.S. generally accepted accounting principles (“GAAP”). The principles for condensed interim financial information do not require the inclusion of all the information and footnotes required by GAAP for complete financial statements. Therefore, these condensed consolidated financial statements should be read in conjunction with the consolidated financial statements as of and for the year ended December 31, 2018 and notes thereto included in the Company’s Annual Report on Form 10-K filed with the SEC on March 18, 2019. The accompanying condensed consolidated financial statements have not been audited by an independent registered public accounting firm in accordance with standards of the Public Company Accounting Oversight Board (United States) but, in the opinion of management, such financial statements include all adjustments, consisting only of normal recurring adjustments, necessary for a fair statement of the Company’s financial position and results of operations. The results of operations for the nine months ended September 30, 2019 may not be indicative of the results that may be expected for the year ending December 31, 2019.</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 Accounting Policies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Use of Estimates</w:t>
      </w:r>
    </w:p>
    <w:p>
      <w:pPr>
        <w:spacing w:after="0" w:line="22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these estimates and assumptions, which include the reserves for losses and loss adjustment expenses, and are subject to estimation errors due to the inherent uncertainty in projecting ultimate claim amounts that will be reported and settled over a period of many years. In addition, estimates and assumptions associated with receivables under reinsurance contracts related to contingent ceding commission revenue require judgments by management. On an on-going basis, management reevaluates its assumptions and the methods for calculating these estimates. Actual results may differ significantly from the estimates and assumptions used in preparing the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Principles of Consolidation</w:t>
      </w:r>
    </w:p>
    <w:p>
      <w:pPr>
        <w:spacing w:after="0" w:line="221"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The accompanying condensed consolidated financial statements consist of Kingstone and its wholly owned subsidiaries, including KICO and its wholly owned subsidiaries, CMIC Properties, Inc. (“Properties”) and 15 Joys Lane, LLC (“15 Joys Lane”), which together own the land and building from which KICO operates. All significant inter-company account balances and transactions have been eliminated in consolidation.</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Accounting Changes</w:t>
      </w:r>
    </w:p>
    <w:p>
      <w:pPr>
        <w:spacing w:after="0" w:line="158" w:lineRule="exact"/>
        <w:rPr>
          <w:sz w:val="20"/>
          <w:szCs w:val="20"/>
          <w:color w:val="auto"/>
        </w:rPr>
      </w:pPr>
    </w:p>
    <w:p>
      <w:pPr>
        <w:jc w:val="both"/>
        <w:spacing w:after="0" w:line="292" w:lineRule="auto"/>
        <w:rPr>
          <w:sz w:val="20"/>
          <w:szCs w:val="20"/>
          <w:color w:val="auto"/>
        </w:rPr>
      </w:pPr>
      <w:r>
        <w:rPr>
          <w:rFonts w:ascii="Arial" w:cs="Arial" w:eastAsia="Arial" w:hAnsi="Arial"/>
          <w:sz w:val="15"/>
          <w:szCs w:val="15"/>
          <w:color w:val="auto"/>
        </w:rPr>
        <w:t>In August 2018, the SEC adopted the final rule under SEC Release No. 33-10532, “Disclosure Update and Simplification,” amending certain disclosure requirements that were redundant, duplicative, overlapping, outdated or superseded. In addition, the amendments expanded the disclosure requirements on the analysis of stockholders' equity for interim financial statements. Under the amendments, an analysis of changes in each caption of stockholders' equity presented in the balance sheet must be provided in a note or separate statement. The analysis should present a reconciliation of the beginning balance to the ending balance of each period for which a statement of comprehensive income is required to be filed. This final rule was effective on November 5, 2018. The Company adopted the provisions of this Release effective January 1, 2019, and included the required presentation of changes in stockholders’ equity for the nine months ended September 30, 2019 and 2018.</w:t>
      </w:r>
    </w:p>
    <w:p>
      <w:pPr>
        <w:spacing w:after="0" w:line="96"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In February 2016, the FASB issued ASU 2016-02 – Leases (Topic 842) (“ASU 2016-02”). Under this ASU, the Company recognized a right-of-use-asset and corresponding liability on the balance sheet for all leases, except for leases covering a period of fewer than 12 months. The liability has been measured at the present value of the future minimum lease payments taking into account renewal options if applicable plus initial incremental direct costs such as commissions. The minimum payments are discounted using the Company’s incremental borrowing rate. The Company adopted ASU 2016-02 effective January 1, 2019 using the cumulative effect adjustment transition method, which applies the provision of the standard at the effective date without adjusting the comparative periods presented. The adoption of the updated guidance resulted in the Company recognizing a right-of-use asset of $855,000 as part of other assets and a lease liability of $855,000 as part of accounts payable, accrued expenses and other liabilities in the condensed consolidated balance sheet. The right-of-use asset is amortized as rent expense on a straight line basis. The adoption of this ASU did not have a material effect on the Company's results of operations or liquidity.</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481" w:right="239" w:bottom="1440" w:gutter="0" w:footer="0" w:header="0"/>
        </w:sectPr>
      </w:pPr>
    </w:p>
    <w:bookmarkStart w:id="10" w:name="page11"/>
    <w:bookmarkEnd w:id="10"/>
    <w:p>
      <w:pPr>
        <w:spacing w:after="0"/>
        <w:rPr>
          <w:sz w:val="20"/>
          <w:szCs w:val="20"/>
          <w:color w:val="auto"/>
        </w:rPr>
      </w:pPr>
      <w:r>
        <w:rPr>
          <w:rFonts w:ascii="Arial" w:cs="Arial" w:eastAsia="Arial" w:hAnsi="Arial"/>
          <w:sz w:val="16"/>
          <w:szCs w:val="16"/>
          <w:u w:val="single" w:color="auto"/>
          <w:color w:val="auto"/>
        </w:rPr>
        <w:t>Accounting Pronouncements</w:t>
      </w:r>
    </w:p>
    <w:p>
      <w:pPr>
        <w:spacing w:after="0" w:line="158" w:lineRule="exact"/>
        <w:rPr>
          <w:sz w:val="20"/>
          <w:szCs w:val="20"/>
          <w:color w:val="auto"/>
        </w:rPr>
      </w:pPr>
    </w:p>
    <w:p>
      <w:pPr>
        <w:jc w:val="both"/>
        <w:spacing w:after="0" w:line="292" w:lineRule="auto"/>
        <w:rPr>
          <w:sz w:val="20"/>
          <w:szCs w:val="20"/>
          <w:color w:val="auto"/>
        </w:rPr>
      </w:pPr>
      <w:r>
        <w:rPr>
          <w:rFonts w:ascii="Arial" w:cs="Arial" w:eastAsia="Arial" w:hAnsi="Arial"/>
          <w:sz w:val="15"/>
          <w:szCs w:val="15"/>
          <w:color w:val="auto"/>
        </w:rPr>
        <w:t>In June 2016, the FASB issued ASU 2016-13 - Financial Instruments - Credit Losses (Topic 326): Measurement of Credit Losses on Financial Instruments (“ASU 2016-13”). The revised accounting guidance requires the measurement of all expected credit losses for financial assets held at the reporting date based on historical experience, current conditions, and reasonable and supportable forecasts and requires enhanced disclosures related to the significant estimates and judgments used in estimating credit losses, as well as the credit quality and underwriting standards of an organization’s portfolio. In addition, ASU 2016-13 amends the accounting for credit losses of available-for-sale debt securities and purchased financial assets with credit deterioration. ASU 2016-13 will be effective for the Company on January 1, 2020. The Company is currently evaluating the effect the updated guidance will have on its consolidated financial statements.</w:t>
      </w:r>
    </w:p>
    <w:p>
      <w:pPr>
        <w:spacing w:after="0" w:line="96" w:lineRule="exact"/>
        <w:rPr>
          <w:sz w:val="20"/>
          <w:szCs w:val="20"/>
          <w:color w:val="auto"/>
        </w:rPr>
      </w:pPr>
    </w:p>
    <w:p>
      <w:pPr>
        <w:jc w:val="both"/>
        <w:spacing w:after="0" w:line="292" w:lineRule="auto"/>
        <w:rPr>
          <w:sz w:val="20"/>
          <w:szCs w:val="20"/>
          <w:color w:val="auto"/>
        </w:rPr>
      </w:pPr>
      <w:r>
        <w:rPr>
          <w:rFonts w:ascii="Arial" w:cs="Arial" w:eastAsia="Arial" w:hAnsi="Arial"/>
          <w:sz w:val="15"/>
          <w:szCs w:val="15"/>
          <w:color w:val="auto"/>
        </w:rPr>
        <w:t>In August 2018, the FASB issued ASU No. 2018-13, Fair Value Measurement (Topic 820): Disclosure Framework - Changes to the Disclosure Requirements for Fair Value Measurement (“ASU 2018-13”). This update modifies the existing disclosure requirements on fair value measurements in Topic 820 by changing requirements regarding Level 1, Level 2 and Level 3 investments. ASU 2018-13 is effective for annual reporting periods beginning after December 15, 2019, including interim periods within those annual periods, with early adoption permitted. Entities are permitted to early adopt any removed or modified disclosures of ASU 2018-13 immediately and delay the adoption of the additional disclosures until their effective date. The Company does not intend to early adopt the additional disclosures and are assessing the impact of retrospectively adopting the additions from this new accounting standard on the fair value disclosures herein.</w:t>
      </w:r>
    </w:p>
    <w:p>
      <w:pPr>
        <w:spacing w:after="0" w:line="9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has determined that all other recently issued accounting pronouncements will not have a material impact on its consolidated financial position, results of operations and cash flows, or do not apply to its operations.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 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Fixed-Maturity Securities</w:t>
      </w:r>
    </w:p>
    <w:p>
      <w:pPr>
        <w:spacing w:after="0" w:line="22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amortized cost, estimated fair value, and unrealized gains and losses of investments in fixed-maturity securities classified as available-for-sale as of September 30, 2019 and December 31, 2018 are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w w:val="93"/>
              </w:rPr>
              <w:t>September 30, 2019</w:t>
            </w: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217"/>
        </w:trPr>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2"/>
              <w:spacing w:after="0"/>
              <w:rPr>
                <w:sz w:val="20"/>
                <w:szCs w:val="20"/>
                <w:color w:val="auto"/>
              </w:rPr>
            </w:pPr>
            <w:r>
              <w:rPr>
                <w:rFonts w:ascii="Arial" w:cs="Arial" w:eastAsia="Arial" w:hAnsi="Arial"/>
                <w:sz w:val="14"/>
                <w:szCs w:val="14"/>
                <w:b w:val="1"/>
                <w:bCs w:val="1"/>
                <w:color w:val="auto"/>
                <w:w w:val="89"/>
              </w:rPr>
              <w:t>Cost or</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right="22"/>
              <w:spacing w:after="0"/>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5"/>
          </w:tcPr>
          <w:p>
            <w:pPr>
              <w:jc w:val="right"/>
              <w:ind w:right="213"/>
              <w:spacing w:after="0"/>
              <w:rPr>
                <w:sz w:val="20"/>
                <w:szCs w:val="20"/>
                <w:color w:val="auto"/>
              </w:rPr>
            </w:pPr>
            <w:r>
              <w:rPr>
                <w:rFonts w:ascii="Arial" w:cs="Arial" w:eastAsia="Arial" w:hAnsi="Arial"/>
                <w:sz w:val="14"/>
                <w:szCs w:val="14"/>
                <w:b w:val="1"/>
                <w:bCs w:val="1"/>
                <w:color w:val="auto"/>
                <w:w w:val="98"/>
              </w:rPr>
              <w:t>Gross Unrealized Losses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Estimated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Unrealized</w:t>
            </w:r>
          </w:p>
        </w:tc>
        <w:tc>
          <w:tcPr>
            <w:tcW w:w="0" w:type="dxa"/>
            <w:vAlign w:val="bottom"/>
          </w:tcPr>
          <w:p>
            <w:pPr>
              <w:spacing w:after="0"/>
              <w:rPr>
                <w:sz w:val="1"/>
                <w:szCs w:val="1"/>
                <w:color w:val="auto"/>
              </w:rPr>
            </w:pPr>
          </w:p>
        </w:tc>
      </w:tr>
      <w:tr>
        <w:trPr>
          <w:trHeight w:val="245"/>
        </w:trPr>
        <w:tc>
          <w:tcPr>
            <w:tcW w:w="46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Categor</w:t>
            </w:r>
            <w:r>
              <w:rPr>
                <w:rFonts w:ascii="Arial" w:cs="Arial" w:eastAsia="Arial" w:hAnsi="Arial"/>
                <w:sz w:val="16"/>
                <w:szCs w:val="16"/>
                <w:color w:val="auto"/>
              </w:rPr>
              <w:t>y</w:t>
            </w:r>
          </w:p>
        </w:tc>
        <w:tc>
          <w:tcPr>
            <w:tcW w:w="100" w:type="dxa"/>
            <w:vAlign w:val="bottom"/>
          </w:tcPr>
          <w:p>
            <w:pPr>
              <w:spacing w:after="0"/>
              <w:rPr>
                <w:sz w:val="21"/>
                <w:szCs w:val="21"/>
                <w:color w:val="auto"/>
              </w:rPr>
            </w:pPr>
          </w:p>
        </w:tc>
        <w:tc>
          <w:tcPr>
            <w:tcW w:w="840" w:type="dxa"/>
            <w:vAlign w:val="bottom"/>
          </w:tcPr>
          <w:p>
            <w:pPr>
              <w:jc w:val="center"/>
              <w:ind w:right="2"/>
              <w:spacing w:after="0"/>
              <w:rPr>
                <w:sz w:val="20"/>
                <w:szCs w:val="20"/>
                <w:color w:val="auto"/>
              </w:rPr>
            </w:pPr>
            <w:r>
              <w:rPr>
                <w:rFonts w:ascii="Arial" w:cs="Arial" w:eastAsia="Arial" w:hAnsi="Arial"/>
                <w:sz w:val="14"/>
                <w:szCs w:val="14"/>
                <w:b w:val="1"/>
                <w:bCs w:val="1"/>
                <w:color w:val="auto"/>
                <w:w w:val="93"/>
              </w:rPr>
              <w:t>Amortized</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center"/>
              <w:ind w:right="2"/>
              <w:spacing w:after="0"/>
              <w:rPr>
                <w:sz w:val="20"/>
                <w:szCs w:val="20"/>
                <w:color w:val="auto"/>
              </w:rPr>
            </w:pPr>
            <w:r>
              <w:rPr>
                <w:rFonts w:ascii="Arial" w:cs="Arial" w:eastAsia="Arial" w:hAnsi="Arial"/>
                <w:sz w:val="14"/>
                <w:szCs w:val="14"/>
                <w:b w:val="1"/>
                <w:bCs w:val="1"/>
                <w:color w:val="auto"/>
                <w:w w:val="90"/>
              </w:rPr>
              <w:t>Unrealized</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4"/>
              </w:rPr>
              <w:t>Less than 12</w:t>
            </w:r>
          </w:p>
        </w:tc>
        <w:tc>
          <w:tcPr>
            <w:tcW w:w="80" w:type="dxa"/>
            <w:vAlign w:val="bottom"/>
          </w:tcPr>
          <w:p>
            <w:pPr>
              <w:spacing w:after="0"/>
              <w:rPr>
                <w:sz w:val="21"/>
                <w:szCs w:val="21"/>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9"/>
              </w:rPr>
              <w:t>More than 12</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Gains/</w:t>
            </w:r>
          </w:p>
        </w:tc>
        <w:tc>
          <w:tcPr>
            <w:tcW w:w="0" w:type="dxa"/>
            <w:vAlign w:val="bottom"/>
          </w:tcPr>
          <w:p>
            <w:pPr>
              <w:spacing w:after="0"/>
              <w:rPr>
                <w:sz w:val="1"/>
                <w:szCs w:val="1"/>
                <w:color w:val="auto"/>
              </w:rPr>
            </w:pPr>
          </w:p>
        </w:tc>
      </w:tr>
      <w:tr>
        <w:trPr>
          <w:trHeight w:val="217"/>
        </w:trPr>
        <w:tc>
          <w:tcPr>
            <w:tcW w:w="46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Cost</w:t>
            </w: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7"/>
              </w:rPr>
              <w:t>Gains</w:t>
            </w: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Months</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Months</w:t>
            </w: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83"/>
              </w:rPr>
              <w:t>(Losses</w:t>
            </w:r>
            <w:r>
              <w:rPr>
                <w:rFonts w:ascii="Arial" w:cs="Arial" w:eastAsia="Arial" w:hAnsi="Arial"/>
                <w:sz w:val="14"/>
                <w:szCs w:val="14"/>
                <w:color w:val="auto"/>
                <w:w w:val="83"/>
              </w:rPr>
              <w:t>)</w:t>
            </w:r>
          </w:p>
        </w:tc>
        <w:tc>
          <w:tcPr>
            <w:tcW w:w="0" w:type="dxa"/>
            <w:vAlign w:val="bottom"/>
          </w:tcPr>
          <w:p>
            <w:pPr>
              <w:spacing w:after="0"/>
              <w:rPr>
                <w:sz w:val="1"/>
                <w:szCs w:val="1"/>
                <w:color w:val="auto"/>
              </w:rPr>
            </w:pPr>
          </w:p>
        </w:tc>
      </w:tr>
      <w:tr>
        <w:trPr>
          <w:trHeight w:val="453"/>
        </w:trPr>
        <w:tc>
          <w:tcPr>
            <w:tcW w:w="4680" w:type="dxa"/>
            <w:vAlign w:val="bottom"/>
          </w:tcPr>
          <w:p>
            <w:pPr>
              <w:spacing w:after="0"/>
              <w:rPr>
                <w:sz w:val="20"/>
                <w:szCs w:val="20"/>
                <w:color w:val="auto"/>
              </w:rPr>
            </w:pPr>
            <w:r>
              <w:rPr>
                <w:rFonts w:ascii="Arial" w:cs="Arial" w:eastAsia="Arial" w:hAnsi="Arial"/>
                <w:sz w:val="16"/>
                <w:szCs w:val="16"/>
                <w:b w:val="1"/>
                <w:bCs w:val="1"/>
                <w:color w:val="auto"/>
              </w:rPr>
              <w:t>Fixed-Maturity Securities:</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680" w:type="dxa"/>
            <w:vAlign w:val="bottom"/>
          </w:tcPr>
          <w:p>
            <w:pPr>
              <w:spacing w:after="0"/>
              <w:rPr>
                <w:sz w:val="20"/>
                <w:szCs w:val="20"/>
                <w:color w:val="auto"/>
              </w:rPr>
            </w:pPr>
            <w:r>
              <w:rPr>
                <w:rFonts w:ascii="Arial" w:cs="Arial" w:eastAsia="Arial" w:hAnsi="Arial"/>
                <w:sz w:val="16"/>
                <w:szCs w:val="16"/>
                <w:color w:val="auto"/>
              </w:rPr>
              <w:t>U.S. Treasury securities and</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tcPr>
          <w:p>
            <w:pPr>
              <w:spacing w:after="0"/>
              <w:rPr>
                <w:sz w:val="20"/>
                <w:szCs w:val="20"/>
                <w:color w:val="auto"/>
              </w:rPr>
            </w:pPr>
            <w:r>
              <w:rPr>
                <w:rFonts w:ascii="Arial" w:cs="Arial" w:eastAsia="Arial" w:hAnsi="Arial"/>
                <w:sz w:val="16"/>
                <w:szCs w:val="16"/>
                <w:color w:val="auto"/>
              </w:rPr>
              <w:t>obligations of U.S. government</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corporations and agencies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8,243,486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156,066</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20"/>
                <w:szCs w:val="2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spacing w:after="0"/>
              <w:rPr>
                <w:sz w:val="19"/>
                <w:szCs w:val="19"/>
                <w:color w:val="auto"/>
              </w:rPr>
            </w:pP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20"/>
                <w:szCs w:val="20"/>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8,399,552</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156,066</w:t>
            </w:r>
          </w:p>
        </w:tc>
        <w:tc>
          <w:tcPr>
            <w:tcW w:w="1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Political subdivisions of States,</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680" w:type="dxa"/>
            <w:vAlign w:val="bottom"/>
          </w:tcPr>
          <w:p>
            <w:pPr>
              <w:ind w:left="40"/>
              <w:spacing w:after="0"/>
              <w:rPr>
                <w:sz w:val="20"/>
                <w:szCs w:val="20"/>
                <w:color w:val="auto"/>
              </w:rPr>
            </w:pPr>
            <w:r>
              <w:rPr>
                <w:rFonts w:ascii="Arial" w:cs="Arial" w:eastAsia="Arial" w:hAnsi="Arial"/>
                <w:sz w:val="16"/>
                <w:szCs w:val="16"/>
                <w:color w:val="auto"/>
              </w:rPr>
              <w:t>Territories and Possessions</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5,662,999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187,006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line="228" w:lineRule="exact"/>
              <w:rPr>
                <w:sz w:val="20"/>
                <w:szCs w:val="20"/>
                <w:color w:val="auto"/>
              </w:rPr>
            </w:pPr>
            <w:r>
              <w:rPr>
                <w:rFonts w:ascii="Arial" w:cs="Arial" w:eastAsia="Arial" w:hAnsi="Arial"/>
                <w:sz w:val="20"/>
                <w:szCs w:val="20"/>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line="228" w:lineRule="exact"/>
              <w:rPr>
                <w:sz w:val="20"/>
                <w:szCs w:val="20"/>
                <w:color w:val="auto"/>
              </w:rPr>
            </w:pPr>
            <w:r>
              <w:rPr>
                <w:rFonts w:ascii="Arial" w:cs="Arial" w:eastAsia="Arial" w:hAnsi="Arial"/>
                <w:sz w:val="20"/>
                <w:szCs w:val="20"/>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5,850,005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187,006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6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680" w:type="dxa"/>
            <w:vAlign w:val="bottom"/>
          </w:tcPr>
          <w:p>
            <w:pPr>
              <w:spacing w:after="0"/>
              <w:rPr>
                <w:sz w:val="20"/>
                <w:szCs w:val="20"/>
                <w:color w:val="auto"/>
              </w:rPr>
            </w:pPr>
            <w:r>
              <w:rPr>
                <w:rFonts w:ascii="Arial" w:cs="Arial" w:eastAsia="Arial" w:hAnsi="Arial"/>
                <w:sz w:val="16"/>
                <w:szCs w:val="16"/>
                <w:color w:val="auto"/>
              </w:rPr>
              <w:t>Corporate and other bonds</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468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Industrial and miscellaneous</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124,956,806</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5,365,954</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(33,073)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(20,893)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130,268,794</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5,311,988</w:t>
            </w: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Residential mortgage and other</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680" w:type="dxa"/>
            <w:vAlign w:val="bottom"/>
          </w:tcPr>
          <w:p>
            <w:pPr>
              <w:ind w:left="40"/>
              <w:spacing w:after="0"/>
              <w:rPr>
                <w:sz w:val="20"/>
                <w:szCs w:val="20"/>
                <w:color w:val="auto"/>
              </w:rPr>
            </w:pPr>
            <w:r>
              <w:rPr>
                <w:rFonts w:ascii="Arial" w:cs="Arial" w:eastAsia="Arial" w:hAnsi="Arial"/>
                <w:sz w:val="16"/>
                <w:szCs w:val="16"/>
                <w:color w:val="auto"/>
              </w:rPr>
              <w:t>asset backed securities (1)</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21,737,713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297,257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(19,924)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(312,685)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21,702,361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(35,352)</w:t>
            </w:r>
          </w:p>
        </w:tc>
        <w:tc>
          <w:tcPr>
            <w:tcW w:w="0" w:type="dxa"/>
            <w:vAlign w:val="bottom"/>
          </w:tcPr>
          <w:p>
            <w:pPr>
              <w:spacing w:after="0"/>
              <w:rPr>
                <w:sz w:val="1"/>
                <w:szCs w:val="1"/>
                <w:color w:val="auto"/>
              </w:rPr>
            </w:pPr>
          </w:p>
        </w:tc>
      </w:tr>
      <w:tr>
        <w:trPr>
          <w:trHeight w:val="25"/>
        </w:trPr>
        <w:tc>
          <w:tcPr>
            <w:tcW w:w="4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68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u w:val="single" w:color="auto"/>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160,601,004</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6,006,283</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(52,997)</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(333,578)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166,220,712</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5,619,708</w:t>
            </w:r>
          </w:p>
        </w:tc>
        <w:tc>
          <w:tcPr>
            <w:tcW w:w="1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left="600" w:hanging="295"/>
        <w:spacing w:after="0" w:line="275" w:lineRule="auto"/>
        <w:tabs>
          <w:tab w:leader="none" w:pos="60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2017, KICO placed certain residential mortgage backed securities as eligible collateral in a designated custodian account related to its membership in the Federal Home Loan Bank of New York ("FHLBNY") (See Note 7). The eligible collateral would be pledged to FHLBNY if KICO draws an advance from the FHLBNY credit line. As of September 30, 2019, the estimated fair value of the eligible investments was approximately $5,144,000. KICO will retain all rights regarding all securities if pledged as collateral. As of September 30, 2019, there was no outstanding balance on the FHLBNY credit line.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1"/>
              </w:rPr>
              <w:t>December 31, 2018</w:t>
            </w:r>
          </w:p>
        </w:tc>
        <w:tc>
          <w:tcPr>
            <w:tcW w:w="7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217"/>
        </w:trPr>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2"/>
              <w:spacing w:after="0"/>
              <w:rPr>
                <w:sz w:val="20"/>
                <w:szCs w:val="20"/>
                <w:color w:val="auto"/>
              </w:rPr>
            </w:pPr>
            <w:r>
              <w:rPr>
                <w:rFonts w:ascii="Arial" w:cs="Arial" w:eastAsia="Arial" w:hAnsi="Arial"/>
                <w:sz w:val="14"/>
                <w:szCs w:val="14"/>
                <w:b w:val="1"/>
                <w:bCs w:val="1"/>
                <w:color w:val="auto"/>
                <w:w w:val="89"/>
              </w:rPr>
              <w:t>Cost or</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right="22"/>
              <w:spacing w:after="0"/>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b w:val="1"/>
                <w:bCs w:val="1"/>
                <w:color w:val="auto"/>
                <w:w w:val="98"/>
              </w:rPr>
              <w:t>Gross Unrealized Losses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Estimated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Unrealized</w:t>
            </w:r>
          </w:p>
        </w:tc>
        <w:tc>
          <w:tcPr>
            <w:tcW w:w="0" w:type="dxa"/>
            <w:vAlign w:val="bottom"/>
          </w:tcPr>
          <w:p>
            <w:pPr>
              <w:spacing w:after="0"/>
              <w:rPr>
                <w:sz w:val="1"/>
                <w:szCs w:val="1"/>
                <w:color w:val="auto"/>
              </w:rPr>
            </w:pPr>
          </w:p>
        </w:tc>
      </w:tr>
      <w:tr>
        <w:trPr>
          <w:trHeight w:val="245"/>
        </w:trPr>
        <w:tc>
          <w:tcPr>
            <w:tcW w:w="46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Categor</w:t>
            </w:r>
            <w:r>
              <w:rPr>
                <w:rFonts w:ascii="Arial" w:cs="Arial" w:eastAsia="Arial" w:hAnsi="Arial"/>
                <w:sz w:val="16"/>
                <w:szCs w:val="16"/>
                <w:color w:val="auto"/>
              </w:rPr>
              <w:t>y</w:t>
            </w:r>
          </w:p>
        </w:tc>
        <w:tc>
          <w:tcPr>
            <w:tcW w:w="100" w:type="dxa"/>
            <w:vAlign w:val="bottom"/>
          </w:tcPr>
          <w:p>
            <w:pPr>
              <w:spacing w:after="0"/>
              <w:rPr>
                <w:sz w:val="21"/>
                <w:szCs w:val="21"/>
                <w:color w:val="auto"/>
              </w:rPr>
            </w:pPr>
          </w:p>
        </w:tc>
        <w:tc>
          <w:tcPr>
            <w:tcW w:w="840" w:type="dxa"/>
            <w:vAlign w:val="bottom"/>
          </w:tcPr>
          <w:p>
            <w:pPr>
              <w:jc w:val="center"/>
              <w:ind w:right="2"/>
              <w:spacing w:after="0"/>
              <w:rPr>
                <w:sz w:val="20"/>
                <w:szCs w:val="20"/>
                <w:color w:val="auto"/>
              </w:rPr>
            </w:pPr>
            <w:r>
              <w:rPr>
                <w:rFonts w:ascii="Arial" w:cs="Arial" w:eastAsia="Arial" w:hAnsi="Arial"/>
                <w:sz w:val="14"/>
                <w:szCs w:val="14"/>
                <w:b w:val="1"/>
                <w:bCs w:val="1"/>
                <w:color w:val="auto"/>
                <w:w w:val="93"/>
              </w:rPr>
              <w:t>Amortized</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center"/>
              <w:ind w:right="2"/>
              <w:spacing w:after="0"/>
              <w:rPr>
                <w:sz w:val="20"/>
                <w:szCs w:val="20"/>
                <w:color w:val="auto"/>
              </w:rPr>
            </w:pPr>
            <w:r>
              <w:rPr>
                <w:rFonts w:ascii="Arial" w:cs="Arial" w:eastAsia="Arial" w:hAnsi="Arial"/>
                <w:sz w:val="14"/>
                <w:szCs w:val="14"/>
                <w:b w:val="1"/>
                <w:bCs w:val="1"/>
                <w:color w:val="auto"/>
                <w:w w:val="90"/>
              </w:rPr>
              <w:t>Unrealized</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Less than 12</w:t>
            </w:r>
          </w:p>
        </w:tc>
        <w:tc>
          <w:tcPr>
            <w:tcW w:w="80" w:type="dxa"/>
            <w:vAlign w:val="bottom"/>
          </w:tcPr>
          <w:p>
            <w:pPr>
              <w:spacing w:after="0"/>
              <w:rPr>
                <w:sz w:val="21"/>
                <w:szCs w:val="21"/>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9"/>
              </w:rPr>
              <w:t>More than 12</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Gains/</w:t>
            </w:r>
          </w:p>
        </w:tc>
        <w:tc>
          <w:tcPr>
            <w:tcW w:w="0" w:type="dxa"/>
            <w:vAlign w:val="bottom"/>
          </w:tcPr>
          <w:p>
            <w:pPr>
              <w:spacing w:after="0"/>
              <w:rPr>
                <w:sz w:val="1"/>
                <w:szCs w:val="1"/>
                <w:color w:val="auto"/>
              </w:rPr>
            </w:pPr>
          </w:p>
        </w:tc>
      </w:tr>
      <w:tr>
        <w:trPr>
          <w:trHeight w:val="217"/>
        </w:trPr>
        <w:tc>
          <w:tcPr>
            <w:tcW w:w="46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Cost</w:t>
            </w: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7"/>
              </w:rPr>
              <w:t>Gains</w:t>
            </w: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Months</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Months</w:t>
            </w: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83"/>
              </w:rPr>
              <w:t>(Losses</w:t>
            </w:r>
            <w:r>
              <w:rPr>
                <w:rFonts w:ascii="Arial" w:cs="Arial" w:eastAsia="Arial" w:hAnsi="Arial"/>
                <w:sz w:val="14"/>
                <w:szCs w:val="14"/>
                <w:color w:val="auto"/>
                <w:w w:val="83"/>
              </w:rPr>
              <w:t>)</w:t>
            </w:r>
          </w:p>
        </w:tc>
        <w:tc>
          <w:tcPr>
            <w:tcW w:w="0" w:type="dxa"/>
            <w:vAlign w:val="bottom"/>
          </w:tcPr>
          <w:p>
            <w:pPr>
              <w:spacing w:after="0"/>
              <w:rPr>
                <w:sz w:val="1"/>
                <w:szCs w:val="1"/>
                <w:color w:val="auto"/>
              </w:rPr>
            </w:pPr>
          </w:p>
        </w:tc>
      </w:tr>
      <w:tr>
        <w:trPr>
          <w:trHeight w:val="453"/>
        </w:trPr>
        <w:tc>
          <w:tcPr>
            <w:tcW w:w="4680" w:type="dxa"/>
            <w:vAlign w:val="bottom"/>
          </w:tcPr>
          <w:p>
            <w:pPr>
              <w:ind w:left="40"/>
              <w:spacing w:after="0"/>
              <w:rPr>
                <w:sz w:val="20"/>
                <w:szCs w:val="20"/>
                <w:color w:val="auto"/>
              </w:rPr>
            </w:pPr>
            <w:r>
              <w:rPr>
                <w:rFonts w:ascii="Arial" w:cs="Arial" w:eastAsia="Arial" w:hAnsi="Arial"/>
                <w:sz w:val="16"/>
                <w:szCs w:val="16"/>
                <w:b w:val="1"/>
                <w:bCs w:val="1"/>
                <w:color w:val="auto"/>
              </w:rPr>
              <w:t>Fixed-Maturity Securities:</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680" w:type="dxa"/>
            <w:vAlign w:val="bottom"/>
          </w:tcPr>
          <w:p>
            <w:pPr>
              <w:spacing w:after="0"/>
              <w:rPr>
                <w:sz w:val="20"/>
                <w:szCs w:val="20"/>
                <w:color w:val="auto"/>
              </w:rPr>
            </w:pPr>
            <w:r>
              <w:rPr>
                <w:rFonts w:ascii="Arial" w:cs="Arial" w:eastAsia="Arial" w:hAnsi="Arial"/>
                <w:sz w:val="16"/>
                <w:szCs w:val="16"/>
                <w:color w:val="auto"/>
              </w:rPr>
              <w:t>U.S. Treasury securities and</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tcPr>
          <w:p>
            <w:pPr>
              <w:spacing w:after="0"/>
              <w:rPr>
                <w:sz w:val="20"/>
                <w:szCs w:val="20"/>
                <w:color w:val="auto"/>
              </w:rPr>
            </w:pPr>
            <w:r>
              <w:rPr>
                <w:rFonts w:ascii="Arial" w:cs="Arial" w:eastAsia="Arial" w:hAnsi="Arial"/>
                <w:sz w:val="16"/>
                <w:szCs w:val="16"/>
                <w:color w:val="auto"/>
              </w:rPr>
              <w:t>obligations of U.S. government</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468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corporations and agencies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8,222,050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26,331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(28,000)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8,220,381</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(1,669)</w:t>
            </w:r>
          </w:p>
        </w:tc>
        <w:tc>
          <w:tcPr>
            <w:tcW w:w="0" w:type="dxa"/>
            <w:vAlign w:val="bottom"/>
          </w:tcPr>
          <w:p>
            <w:pPr>
              <w:spacing w:after="0"/>
              <w:rPr>
                <w:sz w:val="1"/>
                <w:szCs w:val="1"/>
                <w:color w:val="auto"/>
              </w:rPr>
            </w:pPr>
          </w:p>
        </w:tc>
      </w:tr>
      <w:tr>
        <w:trPr>
          <w:trHeight w:val="203"/>
        </w:trPr>
        <w:tc>
          <w:tcPr>
            <w:tcW w:w="4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Political subdivisions of States,</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680" w:type="dxa"/>
            <w:vAlign w:val="bottom"/>
          </w:tcPr>
          <w:p>
            <w:pPr>
              <w:ind w:left="40"/>
              <w:spacing w:after="0"/>
              <w:rPr>
                <w:sz w:val="20"/>
                <w:szCs w:val="20"/>
                <w:color w:val="auto"/>
              </w:rPr>
            </w:pPr>
            <w:r>
              <w:rPr>
                <w:rFonts w:ascii="Arial" w:cs="Arial" w:eastAsia="Arial" w:hAnsi="Arial"/>
                <w:sz w:val="16"/>
                <w:szCs w:val="16"/>
                <w:color w:val="auto"/>
              </w:rPr>
              <w:t>Territories and Possessions</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6,339,540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50,903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(12,327)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(36,508)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6,341,608</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680" w:type="dxa"/>
            <w:vAlign w:val="bottom"/>
          </w:tcPr>
          <w:p>
            <w:pPr>
              <w:spacing w:after="0"/>
              <w:rPr>
                <w:sz w:val="20"/>
                <w:szCs w:val="20"/>
                <w:color w:val="auto"/>
              </w:rPr>
            </w:pPr>
            <w:r>
              <w:rPr>
                <w:rFonts w:ascii="Arial" w:cs="Arial" w:eastAsia="Arial" w:hAnsi="Arial"/>
                <w:sz w:val="16"/>
                <w:szCs w:val="16"/>
                <w:color w:val="auto"/>
              </w:rPr>
              <w:t>Corporate and other bonds</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468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Industrial and miscellaneous</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119,078,698</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123,740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(2,775,540)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(676,605)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115,750,293</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(3,328,405)</w:t>
            </w:r>
          </w:p>
        </w:tc>
        <w:tc>
          <w:tcPr>
            <w:tcW w:w="0" w:type="dxa"/>
            <w:vAlign w:val="bottom"/>
          </w:tcPr>
          <w:p>
            <w:pPr>
              <w:spacing w:after="0"/>
              <w:rPr>
                <w:sz w:val="1"/>
                <w:szCs w:val="1"/>
                <w:color w:val="auto"/>
              </w:rPr>
            </w:pPr>
          </w:p>
        </w:tc>
      </w:tr>
      <w:tr>
        <w:trPr>
          <w:trHeight w:val="203"/>
        </w:trPr>
        <w:tc>
          <w:tcPr>
            <w:tcW w:w="4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Residential mortgage and other</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680" w:type="dxa"/>
            <w:vAlign w:val="bottom"/>
          </w:tcPr>
          <w:p>
            <w:pPr>
              <w:ind w:left="40"/>
              <w:spacing w:after="0"/>
              <w:rPr>
                <w:sz w:val="20"/>
                <w:szCs w:val="20"/>
                <w:color w:val="auto"/>
              </w:rPr>
            </w:pPr>
            <w:r>
              <w:rPr>
                <w:rFonts w:ascii="Arial" w:cs="Arial" w:eastAsia="Arial" w:hAnsi="Arial"/>
                <w:sz w:val="16"/>
                <w:szCs w:val="16"/>
                <w:color w:val="auto"/>
              </w:rPr>
              <w:t>asset backed securities (1)</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21,790,973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236,502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(231,229)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(331,012)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21,465,234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(325,739)</w:t>
            </w:r>
          </w:p>
        </w:tc>
        <w:tc>
          <w:tcPr>
            <w:tcW w:w="0" w:type="dxa"/>
            <w:vAlign w:val="bottom"/>
          </w:tcPr>
          <w:p>
            <w:pPr>
              <w:spacing w:after="0"/>
              <w:rPr>
                <w:sz w:val="1"/>
                <w:szCs w:val="1"/>
                <w:color w:val="auto"/>
              </w:rPr>
            </w:pPr>
          </w:p>
        </w:tc>
      </w:tr>
      <w:tr>
        <w:trPr>
          <w:trHeight w:val="25"/>
        </w:trPr>
        <w:tc>
          <w:tcPr>
            <w:tcW w:w="4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68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u w:val="single" w:color="auto"/>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155,431,261</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437,476</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(3,047,096)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7"/>
              </w:rPr>
              <w:t>(1,044,125)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151,777,516</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(3,653,745)</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left="600" w:hanging="295"/>
        <w:spacing w:after="0" w:line="275" w:lineRule="auto"/>
        <w:tabs>
          <w:tab w:leader="none" w:pos="60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2017, KICO placed certain residential mortgage backed securities as eligible collateral in a designated custodian account related to its membership in the FHLBNY (see Note 7). The eligible collateral would be pledged to FHLBNY if KICO draws an advance from the FHLBNY credit line. As of December 31, 2018, the estimated fair value of the eligible investments was approximately $5,116,000. KICO will retain all rights regarding all securities if pledged as collateral. As of December 31, 2018, there was no outstanding balance on the FHLBNY credit line.</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color w:val="auto"/>
        </w:rPr>
        <w:t>A summary of the amortized cost and estimated fair value of the Company’s investments in available-for-sale fixed-maturity securities by contractual maturity as of</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2019 and December 31, 2018 is shown below:</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4"/>
          </w:tcPr>
          <w:p>
            <w:pPr>
              <w:jc w:val="right"/>
              <w:ind w:right="661"/>
              <w:spacing w:after="0"/>
              <w:rPr>
                <w:sz w:val="20"/>
                <w:szCs w:val="20"/>
                <w:color w:val="auto"/>
              </w:rPr>
            </w:pPr>
            <w:r>
              <w:rPr>
                <w:rFonts w:ascii="Arial" w:cs="Arial" w:eastAsia="Arial" w:hAnsi="Arial"/>
                <w:sz w:val="14"/>
                <w:szCs w:val="14"/>
                <w:b w:val="1"/>
                <w:bCs w:val="1"/>
                <w:color w:val="auto"/>
              </w:rPr>
              <w:t>September 30, 2019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5"/>
          </w:tcPr>
          <w:p>
            <w:pPr>
              <w:jc w:val="right"/>
              <w:ind w:right="621"/>
              <w:spacing w:after="0"/>
              <w:rPr>
                <w:sz w:val="20"/>
                <w:szCs w:val="20"/>
                <w:color w:val="auto"/>
              </w:rPr>
            </w:pPr>
            <w:r>
              <w:rPr>
                <w:rFonts w:ascii="Arial" w:cs="Arial" w:eastAsia="Arial" w:hAnsi="Arial"/>
                <w:sz w:val="14"/>
                <w:szCs w:val="14"/>
                <w:b w:val="1"/>
                <w:bCs w:val="1"/>
                <w:color w:val="auto"/>
              </w:rPr>
              <w:t>December 31, 2018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61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Remaining Time to Maturit</w:t>
            </w:r>
            <w:r>
              <w:rPr>
                <w:rFonts w:ascii="Arial" w:cs="Arial" w:eastAsia="Arial" w:hAnsi="Arial"/>
                <w:sz w:val="16"/>
                <w:szCs w:val="16"/>
                <w:color w:val="auto"/>
              </w:rPr>
              <w:t>y</w:t>
            </w:r>
          </w:p>
        </w:tc>
        <w:tc>
          <w:tcPr>
            <w:tcW w:w="140" w:type="dxa"/>
            <w:vAlign w:val="bottom"/>
          </w:tcPr>
          <w:p>
            <w:pPr>
              <w:spacing w:after="0"/>
              <w:rPr>
                <w:sz w:val="23"/>
                <w:szCs w:val="23"/>
                <w:color w:val="auto"/>
              </w:rPr>
            </w:pPr>
          </w:p>
        </w:tc>
        <w:tc>
          <w:tcPr>
            <w:tcW w:w="940" w:type="dxa"/>
            <w:vAlign w:val="bottom"/>
          </w:tcPr>
          <w:p>
            <w:pPr>
              <w:jc w:val="right"/>
              <w:ind w:right="142"/>
              <w:spacing w:after="0"/>
              <w:rPr>
                <w:sz w:val="20"/>
                <w:szCs w:val="20"/>
                <w:color w:val="auto"/>
              </w:rPr>
            </w:pPr>
            <w:r>
              <w:rPr>
                <w:rFonts w:ascii="Arial" w:cs="Arial" w:eastAsia="Arial" w:hAnsi="Arial"/>
                <w:sz w:val="14"/>
                <w:szCs w:val="14"/>
                <w:b w:val="1"/>
                <w:bCs w:val="1"/>
                <w:color w:val="auto"/>
              </w:rPr>
              <w:t>Amortized</w:t>
            </w: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Estimated</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Amortized</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Estimated</w:t>
            </w:r>
          </w:p>
        </w:tc>
        <w:tc>
          <w:tcPr>
            <w:tcW w:w="0" w:type="dxa"/>
            <w:vAlign w:val="bottom"/>
          </w:tcPr>
          <w:p>
            <w:pPr>
              <w:spacing w:after="0"/>
              <w:rPr>
                <w:sz w:val="1"/>
                <w:szCs w:val="1"/>
                <w:color w:val="auto"/>
              </w:rPr>
            </w:pPr>
          </w:p>
        </w:tc>
      </w:tr>
      <w:tr>
        <w:trPr>
          <w:trHeight w:val="183"/>
        </w:trPr>
        <w:tc>
          <w:tcPr>
            <w:tcW w:w="61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vMerge w:val="restart"/>
          </w:tcPr>
          <w:p>
            <w:pPr>
              <w:jc w:val="right"/>
              <w:ind w:right="322"/>
              <w:spacing w:after="0"/>
              <w:rPr>
                <w:sz w:val="20"/>
                <w:szCs w:val="20"/>
                <w:color w:val="auto"/>
              </w:rPr>
            </w:pPr>
            <w:r>
              <w:rPr>
                <w:rFonts w:ascii="Arial" w:cs="Arial" w:eastAsia="Arial" w:hAnsi="Arial"/>
                <w:sz w:val="14"/>
                <w:szCs w:val="14"/>
                <w:b w:val="1"/>
                <w:bCs w:val="1"/>
                <w:color w:val="auto"/>
              </w:rPr>
              <w:t>Cost</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59"/>
        </w:trPr>
        <w:tc>
          <w:tcPr>
            <w:tcW w:w="6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gridSpan w:val="2"/>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gridSpan w:val="2"/>
            <w:vMerge w:val="continue"/>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6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than one year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12,273,128</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12,322,490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6,742,519</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6,738,014</w:t>
            </w:r>
          </w:p>
        </w:tc>
        <w:tc>
          <w:tcPr>
            <w:tcW w:w="0" w:type="dxa"/>
            <w:vAlign w:val="bottom"/>
          </w:tcPr>
          <w:p>
            <w:pPr>
              <w:spacing w:after="0"/>
              <w:rPr>
                <w:sz w:val="1"/>
                <w:szCs w:val="1"/>
                <w:color w:val="auto"/>
              </w:rPr>
            </w:pPr>
          </w:p>
        </w:tc>
      </w:tr>
      <w:tr>
        <w:trPr>
          <w:trHeight w:val="203"/>
        </w:trPr>
        <w:tc>
          <w:tcPr>
            <w:tcW w:w="6100" w:type="dxa"/>
            <w:vAlign w:val="bottom"/>
          </w:tcPr>
          <w:p>
            <w:pPr>
              <w:ind w:left="40"/>
              <w:spacing w:after="0"/>
              <w:rPr>
                <w:sz w:val="20"/>
                <w:szCs w:val="20"/>
                <w:color w:val="auto"/>
              </w:rPr>
            </w:pPr>
            <w:r>
              <w:rPr>
                <w:rFonts w:ascii="Arial" w:cs="Arial" w:eastAsia="Arial" w:hAnsi="Arial"/>
                <w:sz w:val="16"/>
                <w:szCs w:val="16"/>
                <w:color w:val="auto"/>
              </w:rPr>
              <w:t>One to five years</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50,106,836</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51,297,620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47,038,838</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46,640,012</w:t>
            </w:r>
          </w:p>
        </w:tc>
        <w:tc>
          <w:tcPr>
            <w:tcW w:w="0" w:type="dxa"/>
            <w:vAlign w:val="bottom"/>
          </w:tcPr>
          <w:p>
            <w:pPr>
              <w:spacing w:after="0"/>
              <w:rPr>
                <w:sz w:val="1"/>
                <w:szCs w:val="1"/>
                <w:color w:val="auto"/>
              </w:rPr>
            </w:pPr>
          </w:p>
        </w:tc>
      </w:tr>
      <w:tr>
        <w:trPr>
          <w:trHeight w:val="203"/>
        </w:trPr>
        <w:tc>
          <w:tcPr>
            <w:tcW w:w="6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Five to ten years</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74,473,145</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78,850,661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76,884,505</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74,290,076</w:t>
            </w:r>
          </w:p>
        </w:tc>
        <w:tc>
          <w:tcPr>
            <w:tcW w:w="0" w:type="dxa"/>
            <w:vAlign w:val="bottom"/>
          </w:tcPr>
          <w:p>
            <w:pPr>
              <w:spacing w:after="0"/>
              <w:rPr>
                <w:sz w:val="1"/>
                <w:szCs w:val="1"/>
                <w:color w:val="auto"/>
              </w:rPr>
            </w:pPr>
          </w:p>
        </w:tc>
      </w:tr>
      <w:tr>
        <w:trPr>
          <w:trHeight w:val="203"/>
        </w:trPr>
        <w:tc>
          <w:tcPr>
            <w:tcW w:w="6100" w:type="dxa"/>
            <w:vAlign w:val="bottom"/>
          </w:tcPr>
          <w:p>
            <w:pPr>
              <w:ind w:left="40"/>
              <w:spacing w:after="0"/>
              <w:rPr>
                <w:sz w:val="20"/>
                <w:szCs w:val="20"/>
                <w:color w:val="auto"/>
              </w:rPr>
            </w:pPr>
            <w:r>
              <w:rPr>
                <w:rFonts w:ascii="Arial" w:cs="Arial" w:eastAsia="Arial" w:hAnsi="Arial"/>
                <w:sz w:val="16"/>
                <w:szCs w:val="16"/>
                <w:color w:val="auto"/>
              </w:rPr>
              <w:t>More than 10 years</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2,010,182</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2,047,580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2,974,426</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2,644,180</w:t>
            </w:r>
          </w:p>
        </w:tc>
        <w:tc>
          <w:tcPr>
            <w:tcW w:w="0" w:type="dxa"/>
            <w:vAlign w:val="bottom"/>
          </w:tcPr>
          <w:p>
            <w:pPr>
              <w:spacing w:after="0"/>
              <w:rPr>
                <w:sz w:val="1"/>
                <w:szCs w:val="1"/>
                <w:color w:val="auto"/>
              </w:rPr>
            </w:pPr>
          </w:p>
        </w:tc>
      </w:tr>
      <w:tr>
        <w:trPr>
          <w:trHeight w:val="203"/>
        </w:trPr>
        <w:tc>
          <w:tcPr>
            <w:tcW w:w="6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Residential mortgage and other asset backed securities</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21,737,713</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21,702,361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21,790,973</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21,465,234</w:t>
            </w:r>
          </w:p>
        </w:tc>
        <w:tc>
          <w:tcPr>
            <w:tcW w:w="0" w:type="dxa"/>
            <w:vAlign w:val="bottom"/>
          </w:tcPr>
          <w:p>
            <w:pPr>
              <w:spacing w:after="0"/>
              <w:rPr>
                <w:sz w:val="1"/>
                <w:szCs w:val="1"/>
                <w:color w:val="auto"/>
              </w:rPr>
            </w:pPr>
          </w:p>
        </w:tc>
      </w:tr>
      <w:tr>
        <w:trPr>
          <w:trHeight w:val="25"/>
        </w:trPr>
        <w:tc>
          <w:tcPr>
            <w:tcW w:w="6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100" w:type="dxa"/>
            <w:vAlign w:val="bottom"/>
          </w:tcPr>
          <w:p>
            <w:pPr>
              <w:ind w:left="40"/>
              <w:spacing w:after="0"/>
              <w:rPr>
                <w:sz w:val="20"/>
                <w:szCs w:val="20"/>
                <w:color w:val="auto"/>
              </w:rPr>
            </w:pPr>
            <w:r>
              <w:rPr>
                <w:rFonts w:ascii="Arial" w:cs="Arial" w:eastAsia="Arial" w:hAnsi="Arial"/>
                <w:sz w:val="16"/>
                <w:szCs w:val="16"/>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160,601,004</w:t>
            </w:r>
          </w:p>
        </w:tc>
        <w:tc>
          <w:tcPr>
            <w:tcW w:w="4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166,220,712</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155,431,261</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151,777,516</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actual maturities may differ from contractual maturities because certain borrowers have the right to call or prepay obligations with or without penalties.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2" w:name="page13"/>
    <w:bookmarkEnd w:id="12"/>
    <w:p>
      <w:pPr>
        <w:spacing w:after="0"/>
        <w:rPr>
          <w:sz w:val="20"/>
          <w:szCs w:val="20"/>
          <w:color w:val="auto"/>
        </w:rPr>
      </w:pPr>
      <w:r>
        <w:rPr>
          <w:rFonts w:ascii="Arial" w:cs="Arial" w:eastAsia="Arial" w:hAnsi="Arial"/>
          <w:sz w:val="16"/>
          <w:szCs w:val="16"/>
          <w:u w:val="single" w:color="auto"/>
          <w:color w:val="auto"/>
        </w:rPr>
        <w:t>Equity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cost, estimated fair value, and gross gains and losses of investments in equity securities as of September 30, 2019 and December 31, 2018 are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w w:val="91"/>
              </w:rPr>
              <w:t>September 30, 2019</w:t>
            </w: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61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Categor</w:t>
            </w:r>
            <w:r>
              <w:rPr>
                <w:rFonts w:ascii="Arial" w:cs="Arial" w:eastAsia="Arial" w:hAnsi="Arial"/>
                <w:sz w:val="16"/>
                <w:szCs w:val="16"/>
                <w:color w:val="auto"/>
              </w:rPr>
              <w:t>y</w:t>
            </w: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217"/>
        </w:trPr>
        <w:tc>
          <w:tcPr>
            <w:tcW w:w="610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Cost</w:t>
            </w:r>
          </w:p>
        </w:tc>
        <w:tc>
          <w:tcPr>
            <w:tcW w:w="2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Gains</w:t>
            </w: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78"/>
              </w:rPr>
              <w:t>Losses</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455"/>
        </w:trPr>
        <w:tc>
          <w:tcPr>
            <w:tcW w:w="6100" w:type="dxa"/>
            <w:vAlign w:val="bottom"/>
          </w:tcPr>
          <w:p>
            <w:pPr>
              <w:ind w:left="40"/>
              <w:spacing w:after="0"/>
              <w:rPr>
                <w:sz w:val="20"/>
                <w:szCs w:val="20"/>
                <w:color w:val="auto"/>
              </w:rPr>
            </w:pPr>
            <w:r>
              <w:rPr>
                <w:rFonts w:ascii="Arial" w:cs="Arial" w:eastAsia="Arial" w:hAnsi="Arial"/>
                <w:sz w:val="16"/>
                <w:szCs w:val="16"/>
                <w:b w:val="1"/>
                <w:bCs w:val="1"/>
                <w:color w:val="auto"/>
              </w:rPr>
              <w:t>Equity Securities:</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610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Preferred stocks</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8,415,227</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394,815</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(16,042)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8,794,000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6100" w:type="dxa"/>
            <w:vAlign w:val="bottom"/>
          </w:tcPr>
          <w:p>
            <w:pPr>
              <w:ind w:left="100"/>
              <w:spacing w:after="0"/>
              <w:rPr>
                <w:sz w:val="20"/>
                <w:szCs w:val="20"/>
                <w:color w:val="auto"/>
              </w:rPr>
            </w:pPr>
            <w:r>
              <w:rPr>
                <w:rFonts w:ascii="Arial" w:cs="Arial" w:eastAsia="Arial" w:hAnsi="Arial"/>
                <w:sz w:val="16"/>
                <w:szCs w:val="16"/>
                <w:color w:val="auto"/>
              </w:rPr>
              <w:t>Common stocks and exchange</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610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traded mutual funds</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13,655,339</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1,537,211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(487,351)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14,705,199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610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100" w:type="dxa"/>
            <w:vAlign w:val="bottom"/>
          </w:tcPr>
          <w:p>
            <w:pPr>
              <w:ind w:left="40"/>
              <w:spacing w:after="0"/>
              <w:rPr>
                <w:sz w:val="20"/>
                <w:szCs w:val="20"/>
                <w:color w:val="auto"/>
              </w:rPr>
            </w:pPr>
            <w:r>
              <w:rPr>
                <w:rFonts w:ascii="Arial" w:cs="Arial" w:eastAsia="Arial" w:hAnsi="Arial"/>
                <w:sz w:val="16"/>
                <w:szCs w:val="16"/>
                <w:color w:val="auto"/>
              </w:rPr>
              <w:t>Total</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22,070,566</w:t>
            </w:r>
          </w:p>
        </w:tc>
        <w:tc>
          <w:tcPr>
            <w:tcW w:w="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1,932,026</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(503,393)</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23,499,199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6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w w:val="93"/>
              </w:rPr>
              <w:t>December 31, 2018</w:t>
            </w: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61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Categor</w:t>
            </w:r>
            <w:r>
              <w:rPr>
                <w:rFonts w:ascii="Arial" w:cs="Arial" w:eastAsia="Arial" w:hAnsi="Arial"/>
                <w:sz w:val="16"/>
                <w:szCs w:val="16"/>
                <w:color w:val="auto"/>
              </w:rPr>
              <w:t>y</w:t>
            </w: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217"/>
        </w:trPr>
        <w:tc>
          <w:tcPr>
            <w:tcW w:w="610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Cost</w:t>
            </w:r>
          </w:p>
        </w:tc>
        <w:tc>
          <w:tcPr>
            <w:tcW w:w="2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Gains</w:t>
            </w: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78"/>
              </w:rPr>
              <w:t>Losses</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455"/>
        </w:trPr>
        <w:tc>
          <w:tcPr>
            <w:tcW w:w="6100" w:type="dxa"/>
            <w:vAlign w:val="bottom"/>
          </w:tcPr>
          <w:p>
            <w:pPr>
              <w:ind w:left="40"/>
              <w:spacing w:after="0"/>
              <w:rPr>
                <w:sz w:val="20"/>
                <w:szCs w:val="20"/>
                <w:color w:val="auto"/>
              </w:rPr>
            </w:pPr>
            <w:r>
              <w:rPr>
                <w:rFonts w:ascii="Arial" w:cs="Arial" w:eastAsia="Arial" w:hAnsi="Arial"/>
                <w:sz w:val="16"/>
                <w:szCs w:val="16"/>
                <w:b w:val="1"/>
                <w:bCs w:val="1"/>
                <w:color w:val="auto"/>
              </w:rPr>
              <w:t>Equity Securities:</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610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Preferred stocks</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6,694,754</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(541,798)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6,152,956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6100" w:type="dxa"/>
            <w:vAlign w:val="bottom"/>
          </w:tcPr>
          <w:p>
            <w:pPr>
              <w:ind w:left="100"/>
              <w:spacing w:after="0"/>
              <w:rPr>
                <w:sz w:val="20"/>
                <w:szCs w:val="20"/>
                <w:color w:val="auto"/>
              </w:rPr>
            </w:pPr>
            <w:r>
              <w:rPr>
                <w:rFonts w:ascii="Arial" w:cs="Arial" w:eastAsia="Arial" w:hAnsi="Arial"/>
                <w:sz w:val="16"/>
                <w:szCs w:val="16"/>
                <w:color w:val="auto"/>
              </w:rPr>
              <w:t>Common stocks and exchange</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610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traded mutual funds</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11,611,232</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99,817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(1,291,389)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10,419,660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610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100" w:type="dxa"/>
            <w:vAlign w:val="bottom"/>
          </w:tcPr>
          <w:p>
            <w:pPr>
              <w:ind w:left="40"/>
              <w:spacing w:after="0"/>
              <w:rPr>
                <w:sz w:val="20"/>
                <w:szCs w:val="20"/>
                <w:color w:val="auto"/>
              </w:rPr>
            </w:pPr>
            <w:r>
              <w:rPr>
                <w:rFonts w:ascii="Arial" w:cs="Arial" w:eastAsia="Arial" w:hAnsi="Arial"/>
                <w:sz w:val="16"/>
                <w:szCs w:val="16"/>
                <w:color w:val="auto"/>
              </w:rPr>
              <w:t>Total</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18,305,986</w:t>
            </w:r>
          </w:p>
        </w:tc>
        <w:tc>
          <w:tcPr>
            <w:tcW w:w="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99,817</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(1,833,187)</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16,572,616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Other Investments</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The cost, estimated fair value, and gross unrealized gains and losses of the Company’s other investments as of September 30, 2019 and December 31, 2018 are as follows: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 2019</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4"/>
                <w:szCs w:val="14"/>
                <w:b w:val="1"/>
                <w:bCs w:val="1"/>
                <w:color w:val="auto"/>
              </w:rPr>
              <w:t>December 31, 2018</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6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Categor</w:t>
            </w:r>
            <w:r>
              <w:rPr>
                <w:rFonts w:ascii="Arial" w:cs="Arial" w:eastAsia="Arial" w:hAnsi="Arial"/>
                <w:sz w:val="16"/>
                <w:szCs w:val="16"/>
                <w:color w:val="auto"/>
              </w:rPr>
              <w:t>y</w:t>
            </w: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204"/>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84"/>
              <w:spacing w:after="0"/>
              <w:rPr>
                <w:sz w:val="20"/>
                <w:szCs w:val="20"/>
                <w:color w:val="auto"/>
              </w:rPr>
            </w:pPr>
            <w:r>
              <w:rPr>
                <w:rFonts w:ascii="Arial" w:cs="Arial" w:eastAsia="Arial" w:hAnsi="Arial"/>
                <w:sz w:val="14"/>
                <w:szCs w:val="14"/>
                <w:b w:val="1"/>
                <w:bCs w:val="1"/>
                <w:color w:val="auto"/>
                <w:w w:val="92"/>
              </w:rPr>
              <w:t>Estimated</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217"/>
        </w:trPr>
        <w:tc>
          <w:tcPr>
            <w:tcW w:w="468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Cost</w:t>
            </w: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Gains</w:t>
            </w: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w w:val="92"/>
              </w:rPr>
              <w:t>Fair Value</w:t>
            </w: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Cost</w:t>
            </w: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w w:val="95"/>
              </w:rPr>
              <w:t>Losses</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455"/>
        </w:trPr>
        <w:tc>
          <w:tcPr>
            <w:tcW w:w="4680" w:type="dxa"/>
            <w:vAlign w:val="bottom"/>
          </w:tcPr>
          <w:p>
            <w:pPr>
              <w:ind w:left="40"/>
              <w:spacing w:after="0"/>
              <w:rPr>
                <w:sz w:val="20"/>
                <w:szCs w:val="20"/>
                <w:color w:val="auto"/>
              </w:rPr>
            </w:pPr>
            <w:r>
              <w:rPr>
                <w:rFonts w:ascii="Arial" w:cs="Arial" w:eastAsia="Arial" w:hAnsi="Arial"/>
                <w:sz w:val="16"/>
                <w:szCs w:val="16"/>
                <w:b w:val="1"/>
                <w:bCs w:val="1"/>
                <w:color w:val="auto"/>
              </w:rPr>
              <w:t>Other Investments:</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4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Hedge fund</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1,999,381</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426,523</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2,425,904</w:t>
            </w:r>
          </w:p>
        </w:tc>
        <w:tc>
          <w:tcPr>
            <w:tcW w:w="2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1,999,381</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(144,156)</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1,855,225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46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680" w:type="dxa"/>
            <w:vAlign w:val="bottom"/>
          </w:tcPr>
          <w:p>
            <w:pPr>
              <w:ind w:left="40"/>
              <w:spacing w:after="0"/>
              <w:rPr>
                <w:sz w:val="20"/>
                <w:szCs w:val="20"/>
                <w:color w:val="auto"/>
              </w:rPr>
            </w:pPr>
            <w:r>
              <w:rPr>
                <w:rFonts w:ascii="Arial" w:cs="Arial" w:eastAsia="Arial" w:hAnsi="Arial"/>
                <w:sz w:val="16"/>
                <w:szCs w:val="16"/>
                <w:color w:val="auto"/>
              </w:rPr>
              <w:t>Total</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1,999,381</w:t>
            </w:r>
          </w:p>
        </w:tc>
        <w:tc>
          <w:tcPr>
            <w:tcW w:w="220" w:type="dxa"/>
            <w:vAlign w:val="bottom"/>
          </w:tcPr>
          <w:p>
            <w:pPr>
              <w:spacing w:after="0"/>
              <w:rPr>
                <w:sz w:val="17"/>
                <w:szCs w:val="17"/>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426,523</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2,425,904</w:t>
            </w:r>
          </w:p>
        </w:tc>
        <w:tc>
          <w:tcPr>
            <w:tcW w:w="220" w:type="dxa"/>
            <w:vAlign w:val="bottom"/>
          </w:tcPr>
          <w:p>
            <w:pPr>
              <w:spacing w:after="0"/>
              <w:rPr>
                <w:sz w:val="17"/>
                <w:szCs w:val="17"/>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1,999,381</w:t>
            </w:r>
          </w:p>
        </w:tc>
        <w:tc>
          <w:tcPr>
            <w:tcW w:w="220" w:type="dxa"/>
            <w:vAlign w:val="bottom"/>
          </w:tcPr>
          <w:p>
            <w:pPr>
              <w:spacing w:after="0"/>
              <w:rPr>
                <w:sz w:val="17"/>
                <w:szCs w:val="17"/>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(144,156)</w:t>
            </w: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1,855,225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w w:val="89"/>
              </w:rPr>
              <w:t>11</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4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11" w:right="239" w:bottom="1440" w:gutter="0" w:footer="0" w:header="0"/>
        </w:sectPr>
      </w:pPr>
    </w:p>
    <w:bookmarkStart w:id="13" w:name="page14"/>
    <w:bookmarkEnd w:id="13"/>
    <w:p>
      <w:pPr>
        <w:spacing w:after="0"/>
        <w:rPr>
          <w:sz w:val="20"/>
          <w:szCs w:val="20"/>
          <w:color w:val="auto"/>
        </w:rPr>
      </w:pPr>
      <w:r>
        <w:rPr>
          <w:rFonts w:ascii="Arial" w:cs="Arial" w:eastAsia="Arial" w:hAnsi="Arial"/>
          <w:sz w:val="16"/>
          <w:szCs w:val="16"/>
          <w:u w:val="single" w:color="auto"/>
          <w:color w:val="auto"/>
        </w:rPr>
        <w:t>Held-to-Maturity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color w:val="auto"/>
        </w:rPr>
        <w:t>The amortized cost, estimated fair value, and unrealized gains and losses of investments in held-to-maturity fixed-maturity securities as of September 30, 2019 and</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2018 are summarized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3"/>
              </w:rPr>
              <w:t>September 30, 2019</w:t>
            </w: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4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center"/>
              <w:ind w:right="23"/>
              <w:spacing w:after="0"/>
              <w:rPr>
                <w:sz w:val="20"/>
                <w:szCs w:val="20"/>
                <w:color w:val="auto"/>
              </w:rPr>
            </w:pPr>
            <w:r>
              <w:rPr>
                <w:rFonts w:ascii="Arial" w:cs="Arial" w:eastAsia="Arial" w:hAnsi="Arial"/>
                <w:sz w:val="14"/>
                <w:szCs w:val="14"/>
                <w:b w:val="1"/>
                <w:bCs w:val="1"/>
                <w:color w:val="auto"/>
                <w:w w:val="89"/>
              </w:rPr>
              <w:t>Cost or</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center"/>
              <w:ind w:right="23"/>
              <w:spacing w:after="0"/>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b w:val="1"/>
                <w:bCs w:val="1"/>
                <w:color w:val="auto"/>
                <w:w w:val="99"/>
              </w:rPr>
              <w:t>Gross Unrealized Losses</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center"/>
              <w:ind w:right="3"/>
              <w:spacing w:after="0"/>
              <w:rPr>
                <w:sz w:val="20"/>
                <w:szCs w:val="20"/>
                <w:color w:val="auto"/>
              </w:rPr>
            </w:pPr>
            <w:r>
              <w:rPr>
                <w:rFonts w:ascii="Arial" w:cs="Arial" w:eastAsia="Arial" w:hAnsi="Arial"/>
                <w:sz w:val="14"/>
                <w:szCs w:val="14"/>
                <w:b w:val="1"/>
                <w:bCs w:val="1"/>
                <w:color w:val="auto"/>
                <w:w w:val="89"/>
              </w:rPr>
              <w:t>Estimated</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ind w:right="123"/>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219"/>
        </w:trPr>
        <w:tc>
          <w:tcPr>
            <w:tcW w:w="46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Categor</w:t>
            </w:r>
            <w:r>
              <w:rPr>
                <w:rFonts w:ascii="Arial" w:cs="Arial" w:eastAsia="Arial" w:hAnsi="Arial"/>
                <w:sz w:val="16"/>
                <w:szCs w:val="16"/>
                <w:color w:val="auto"/>
              </w:rPr>
              <w:t>y</w:t>
            </w:r>
          </w:p>
        </w:tc>
        <w:tc>
          <w:tcPr>
            <w:tcW w:w="120" w:type="dxa"/>
            <w:vAlign w:val="bottom"/>
          </w:tcPr>
          <w:p>
            <w:pPr>
              <w:spacing w:after="0"/>
              <w:rPr>
                <w:sz w:val="19"/>
                <w:szCs w:val="19"/>
                <w:color w:val="auto"/>
              </w:rPr>
            </w:pPr>
          </w:p>
        </w:tc>
        <w:tc>
          <w:tcPr>
            <w:tcW w:w="820" w:type="dxa"/>
            <w:vAlign w:val="bottom"/>
          </w:tcPr>
          <w:p>
            <w:pPr>
              <w:jc w:val="center"/>
              <w:ind w:right="23"/>
              <w:spacing w:after="0"/>
              <w:rPr>
                <w:sz w:val="20"/>
                <w:szCs w:val="20"/>
                <w:color w:val="auto"/>
              </w:rPr>
            </w:pPr>
            <w:r>
              <w:rPr>
                <w:rFonts w:ascii="Arial" w:cs="Arial" w:eastAsia="Arial" w:hAnsi="Arial"/>
                <w:sz w:val="14"/>
                <w:szCs w:val="14"/>
                <w:b w:val="1"/>
                <w:bCs w:val="1"/>
                <w:color w:val="auto"/>
                <w:w w:val="93"/>
              </w:rPr>
              <w:t>Amortized</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center"/>
              <w:ind w:right="3"/>
              <w:spacing w:after="0"/>
              <w:rPr>
                <w:sz w:val="20"/>
                <w:szCs w:val="20"/>
                <w:color w:val="auto"/>
              </w:rPr>
            </w:pPr>
            <w:r>
              <w:rPr>
                <w:rFonts w:ascii="Arial" w:cs="Arial" w:eastAsia="Arial" w:hAnsi="Arial"/>
                <w:sz w:val="14"/>
                <w:szCs w:val="14"/>
                <w:b w:val="1"/>
                <w:bCs w:val="1"/>
                <w:color w:val="auto"/>
                <w:w w:val="90"/>
              </w:rPr>
              <w:t>Unrealized</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Less than 12</w:t>
            </w:r>
          </w:p>
        </w:tc>
        <w:tc>
          <w:tcPr>
            <w:tcW w:w="80" w:type="dxa"/>
            <w:vAlign w:val="bottom"/>
          </w:tcPr>
          <w:p>
            <w:pPr>
              <w:spacing w:after="0"/>
              <w:rPr>
                <w:sz w:val="19"/>
                <w:szCs w:val="19"/>
                <w:color w:val="auto"/>
              </w:rPr>
            </w:pPr>
          </w:p>
        </w:tc>
        <w:tc>
          <w:tcPr>
            <w:tcW w:w="10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More than 12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center"/>
              <w:ind w:right="23"/>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center"/>
              <w:ind w:right="103"/>
              <w:spacing w:after="0"/>
              <w:rPr>
                <w:sz w:val="20"/>
                <w:szCs w:val="20"/>
                <w:color w:val="auto"/>
              </w:rPr>
            </w:pPr>
            <w:r>
              <w:rPr>
                <w:rFonts w:ascii="Arial" w:cs="Arial" w:eastAsia="Arial" w:hAnsi="Arial"/>
                <w:sz w:val="14"/>
                <w:szCs w:val="14"/>
                <w:b w:val="1"/>
                <w:bCs w:val="1"/>
                <w:color w:val="auto"/>
                <w:w w:val="90"/>
              </w:rPr>
              <w:t>Unrealized</w:t>
            </w:r>
          </w:p>
        </w:tc>
        <w:tc>
          <w:tcPr>
            <w:tcW w:w="0" w:type="dxa"/>
            <w:vAlign w:val="bottom"/>
          </w:tcPr>
          <w:p>
            <w:pPr>
              <w:spacing w:after="0"/>
              <w:rPr>
                <w:sz w:val="1"/>
                <w:szCs w:val="1"/>
                <w:color w:val="auto"/>
              </w:rPr>
            </w:pPr>
          </w:p>
        </w:tc>
      </w:tr>
      <w:tr>
        <w:trPr>
          <w:trHeight w:val="191"/>
        </w:trPr>
        <w:tc>
          <w:tcPr>
            <w:tcW w:w="4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3"/>
              <w:spacing w:after="0"/>
              <w:rPr>
                <w:sz w:val="20"/>
                <w:szCs w:val="20"/>
                <w:color w:val="auto"/>
              </w:rPr>
            </w:pPr>
            <w:r>
              <w:rPr>
                <w:rFonts w:ascii="Arial" w:cs="Arial" w:eastAsia="Arial" w:hAnsi="Arial"/>
                <w:sz w:val="14"/>
                <w:szCs w:val="14"/>
                <w:b w:val="1"/>
                <w:bCs w:val="1"/>
                <w:color w:val="auto"/>
                <w:w w:val="83"/>
              </w:rPr>
              <w:t>Cost</w:t>
            </w: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w w:val="87"/>
              </w:rPr>
              <w:t>Gains</w:t>
            </w: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Months</w:t>
            </w: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Months</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w w:val="87"/>
              </w:rPr>
              <w:t>Gains</w:t>
            </w:r>
          </w:p>
        </w:tc>
        <w:tc>
          <w:tcPr>
            <w:tcW w:w="0" w:type="dxa"/>
            <w:vAlign w:val="bottom"/>
          </w:tcPr>
          <w:p>
            <w:pPr>
              <w:spacing w:after="0"/>
              <w:rPr>
                <w:sz w:val="1"/>
                <w:szCs w:val="1"/>
                <w:color w:val="auto"/>
              </w:rPr>
            </w:pPr>
          </w:p>
        </w:tc>
      </w:tr>
      <w:tr>
        <w:trPr>
          <w:trHeight w:val="455"/>
        </w:trPr>
        <w:tc>
          <w:tcPr>
            <w:tcW w:w="4680" w:type="dxa"/>
            <w:vAlign w:val="bottom"/>
          </w:tcPr>
          <w:p>
            <w:pPr>
              <w:spacing w:after="0"/>
              <w:rPr>
                <w:sz w:val="20"/>
                <w:szCs w:val="20"/>
                <w:color w:val="auto"/>
              </w:rPr>
            </w:pPr>
            <w:r>
              <w:rPr>
                <w:rFonts w:ascii="Arial" w:cs="Arial" w:eastAsia="Arial" w:hAnsi="Arial"/>
                <w:sz w:val="16"/>
                <w:szCs w:val="16"/>
                <w:b w:val="1"/>
                <w:bCs w:val="1"/>
                <w:color w:val="auto"/>
              </w:rPr>
              <w:t>Held-to-Maturity Securities:</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4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U.S. Treasury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729,539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153,088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882,627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right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153,088</w:t>
            </w:r>
          </w:p>
        </w:tc>
        <w:tc>
          <w:tcPr>
            <w:tcW w:w="0" w:type="dxa"/>
            <w:vAlign w:val="bottom"/>
          </w:tcPr>
          <w:p>
            <w:pPr>
              <w:spacing w:after="0"/>
              <w:rPr>
                <w:sz w:val="1"/>
                <w:szCs w:val="1"/>
                <w:color w:val="auto"/>
              </w:rPr>
            </w:pPr>
          </w:p>
        </w:tc>
      </w:tr>
      <w:tr>
        <w:trPr>
          <w:trHeight w:val="203"/>
        </w:trPr>
        <w:tc>
          <w:tcPr>
            <w:tcW w:w="4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Political subdivisions of States,</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tcBorders>
              <w:righ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680" w:type="dxa"/>
            <w:vAlign w:val="bottom"/>
          </w:tcPr>
          <w:p>
            <w:pPr>
              <w:ind w:left="160"/>
              <w:spacing w:after="0"/>
              <w:rPr>
                <w:sz w:val="20"/>
                <w:szCs w:val="20"/>
                <w:color w:val="auto"/>
              </w:rPr>
            </w:pPr>
            <w:r>
              <w:rPr>
                <w:rFonts w:ascii="Arial" w:cs="Arial" w:eastAsia="Arial" w:hAnsi="Arial"/>
                <w:sz w:val="16"/>
                <w:szCs w:val="16"/>
                <w:color w:val="auto"/>
              </w:rPr>
              <w:t>Territories and Possessions</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998,668</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50,357</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1,049,025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23"/>
              <w:spacing w:after="0"/>
              <w:rPr>
                <w:sz w:val="20"/>
                <w:szCs w:val="20"/>
                <w:color w:val="auto"/>
              </w:rPr>
            </w:pPr>
            <w:r>
              <w:rPr>
                <w:rFonts w:ascii="Arial" w:cs="Arial" w:eastAsia="Arial" w:hAnsi="Arial"/>
                <w:sz w:val="16"/>
                <w:szCs w:val="16"/>
                <w:color w:val="auto"/>
              </w:rPr>
              <w:t>50,357</w:t>
            </w:r>
          </w:p>
        </w:tc>
        <w:tc>
          <w:tcPr>
            <w:tcW w:w="0" w:type="dxa"/>
            <w:vAlign w:val="bottom"/>
          </w:tcPr>
          <w:p>
            <w:pPr>
              <w:spacing w:after="0"/>
              <w:rPr>
                <w:sz w:val="1"/>
                <w:szCs w:val="1"/>
                <w:color w:val="auto"/>
              </w:rPr>
            </w:pPr>
          </w:p>
        </w:tc>
      </w:tr>
      <w:tr>
        <w:trPr>
          <w:trHeight w:val="203"/>
        </w:trPr>
        <w:tc>
          <w:tcPr>
            <w:tcW w:w="46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680" w:type="dxa"/>
            <w:vAlign w:val="bottom"/>
          </w:tcPr>
          <w:p>
            <w:pPr>
              <w:spacing w:after="0"/>
              <w:rPr>
                <w:sz w:val="20"/>
                <w:szCs w:val="20"/>
                <w:color w:val="auto"/>
              </w:rPr>
            </w:pPr>
            <w:r>
              <w:rPr>
                <w:rFonts w:ascii="Arial" w:cs="Arial" w:eastAsia="Arial" w:hAnsi="Arial"/>
                <w:sz w:val="16"/>
                <w:szCs w:val="16"/>
                <w:color w:val="auto"/>
              </w:rPr>
              <w:t>Corporate and other bonds</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68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Industrial and miscellaneous</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2,097,298</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98,434</w:t>
            </w: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2,195,732</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right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98,434</w:t>
            </w:r>
          </w:p>
        </w:tc>
        <w:tc>
          <w:tcPr>
            <w:tcW w:w="0" w:type="dxa"/>
            <w:vAlign w:val="bottom"/>
          </w:tcPr>
          <w:p>
            <w:pPr>
              <w:spacing w:after="0"/>
              <w:rPr>
                <w:sz w:val="1"/>
                <w:szCs w:val="1"/>
                <w:color w:val="auto"/>
              </w:rPr>
            </w:pPr>
          </w:p>
        </w:tc>
      </w:tr>
      <w:tr>
        <w:trPr>
          <w:trHeight w:val="203"/>
        </w:trPr>
        <w:tc>
          <w:tcPr>
            <w:tcW w:w="4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680" w:type="dxa"/>
            <w:vAlign w:val="bottom"/>
            <w:tcBorders>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3,825,505</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301,879</w:t>
            </w:r>
          </w:p>
        </w:tc>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4,127,384</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right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301,879</w:t>
            </w:r>
          </w:p>
        </w:tc>
        <w:tc>
          <w:tcPr>
            <w:tcW w:w="0" w:type="dxa"/>
            <w:vAlign w:val="bottom"/>
          </w:tcPr>
          <w:p>
            <w:pPr>
              <w:spacing w:after="0"/>
              <w:rPr>
                <w:sz w:val="1"/>
                <w:szCs w:val="1"/>
                <w:color w:val="auto"/>
              </w:rPr>
            </w:pPr>
          </w:p>
        </w:tc>
      </w:tr>
      <w:tr>
        <w:trPr>
          <w:trHeight w:val="629"/>
        </w:trPr>
        <w:tc>
          <w:tcPr>
            <w:tcW w:w="46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5"/>
              </w:rPr>
              <w:t>December 31, 2018</w:t>
            </w: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4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center"/>
              <w:ind w:right="23"/>
              <w:spacing w:after="0"/>
              <w:rPr>
                <w:sz w:val="20"/>
                <w:szCs w:val="20"/>
                <w:color w:val="auto"/>
              </w:rPr>
            </w:pPr>
            <w:r>
              <w:rPr>
                <w:rFonts w:ascii="Arial" w:cs="Arial" w:eastAsia="Arial" w:hAnsi="Arial"/>
                <w:sz w:val="14"/>
                <w:szCs w:val="14"/>
                <w:b w:val="1"/>
                <w:bCs w:val="1"/>
                <w:color w:val="auto"/>
                <w:w w:val="89"/>
              </w:rPr>
              <w:t>Cost or</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center"/>
              <w:ind w:right="23"/>
              <w:spacing w:after="0"/>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b w:val="1"/>
                <w:bCs w:val="1"/>
                <w:color w:val="auto"/>
                <w:w w:val="99"/>
              </w:rPr>
              <w:t>Gross Unrealized Losses</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center"/>
              <w:ind w:right="3"/>
              <w:spacing w:after="0"/>
              <w:rPr>
                <w:sz w:val="20"/>
                <w:szCs w:val="20"/>
                <w:color w:val="auto"/>
              </w:rPr>
            </w:pPr>
            <w:r>
              <w:rPr>
                <w:rFonts w:ascii="Arial" w:cs="Arial" w:eastAsia="Arial" w:hAnsi="Arial"/>
                <w:sz w:val="14"/>
                <w:szCs w:val="14"/>
                <w:b w:val="1"/>
                <w:bCs w:val="1"/>
                <w:color w:val="auto"/>
                <w:w w:val="89"/>
              </w:rPr>
              <w:t>Estimated</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ind w:right="123"/>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245"/>
        </w:trPr>
        <w:tc>
          <w:tcPr>
            <w:tcW w:w="46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Categor</w:t>
            </w:r>
            <w:r>
              <w:rPr>
                <w:rFonts w:ascii="Arial" w:cs="Arial" w:eastAsia="Arial" w:hAnsi="Arial"/>
                <w:sz w:val="16"/>
                <w:szCs w:val="16"/>
                <w:color w:val="auto"/>
              </w:rPr>
              <w:t>y</w:t>
            </w:r>
          </w:p>
        </w:tc>
        <w:tc>
          <w:tcPr>
            <w:tcW w:w="120" w:type="dxa"/>
            <w:vAlign w:val="bottom"/>
          </w:tcPr>
          <w:p>
            <w:pPr>
              <w:spacing w:after="0"/>
              <w:rPr>
                <w:sz w:val="21"/>
                <w:szCs w:val="21"/>
                <w:color w:val="auto"/>
              </w:rPr>
            </w:pPr>
          </w:p>
        </w:tc>
        <w:tc>
          <w:tcPr>
            <w:tcW w:w="820" w:type="dxa"/>
            <w:vAlign w:val="bottom"/>
          </w:tcPr>
          <w:p>
            <w:pPr>
              <w:jc w:val="center"/>
              <w:ind w:right="23"/>
              <w:spacing w:after="0"/>
              <w:rPr>
                <w:sz w:val="20"/>
                <w:szCs w:val="20"/>
                <w:color w:val="auto"/>
              </w:rPr>
            </w:pPr>
            <w:r>
              <w:rPr>
                <w:rFonts w:ascii="Arial" w:cs="Arial" w:eastAsia="Arial" w:hAnsi="Arial"/>
                <w:sz w:val="14"/>
                <w:szCs w:val="14"/>
                <w:b w:val="1"/>
                <w:bCs w:val="1"/>
                <w:color w:val="auto"/>
                <w:w w:val="93"/>
              </w:rPr>
              <w:t>Amortized</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center"/>
              <w:ind w:right="3"/>
              <w:spacing w:after="0"/>
              <w:rPr>
                <w:sz w:val="20"/>
                <w:szCs w:val="20"/>
                <w:color w:val="auto"/>
              </w:rPr>
            </w:pPr>
            <w:r>
              <w:rPr>
                <w:rFonts w:ascii="Arial" w:cs="Arial" w:eastAsia="Arial" w:hAnsi="Arial"/>
                <w:sz w:val="14"/>
                <w:szCs w:val="14"/>
                <w:b w:val="1"/>
                <w:bCs w:val="1"/>
                <w:color w:val="auto"/>
                <w:w w:val="90"/>
              </w:rPr>
              <w:t>Unrealized</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Less than 12</w:t>
            </w:r>
          </w:p>
        </w:tc>
        <w:tc>
          <w:tcPr>
            <w:tcW w:w="80" w:type="dxa"/>
            <w:vAlign w:val="bottom"/>
          </w:tcPr>
          <w:p>
            <w:pPr>
              <w:spacing w:after="0"/>
              <w:rPr>
                <w:sz w:val="21"/>
                <w:szCs w:val="21"/>
                <w:color w:val="auto"/>
              </w:rPr>
            </w:pPr>
          </w:p>
        </w:tc>
        <w:tc>
          <w:tcPr>
            <w:tcW w:w="10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More than 12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center"/>
              <w:ind w:right="23"/>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center"/>
              <w:ind w:right="103"/>
              <w:spacing w:after="0"/>
              <w:rPr>
                <w:sz w:val="20"/>
                <w:szCs w:val="20"/>
                <w:color w:val="auto"/>
              </w:rPr>
            </w:pPr>
            <w:r>
              <w:rPr>
                <w:rFonts w:ascii="Arial" w:cs="Arial" w:eastAsia="Arial" w:hAnsi="Arial"/>
                <w:sz w:val="14"/>
                <w:szCs w:val="14"/>
                <w:b w:val="1"/>
                <w:bCs w:val="1"/>
                <w:color w:val="auto"/>
                <w:w w:val="90"/>
              </w:rPr>
              <w:t>Unrealized</w:t>
            </w:r>
          </w:p>
        </w:tc>
        <w:tc>
          <w:tcPr>
            <w:tcW w:w="0" w:type="dxa"/>
            <w:vAlign w:val="bottom"/>
          </w:tcPr>
          <w:p>
            <w:pPr>
              <w:spacing w:after="0"/>
              <w:rPr>
                <w:sz w:val="1"/>
                <w:szCs w:val="1"/>
                <w:color w:val="auto"/>
              </w:rPr>
            </w:pPr>
          </w:p>
        </w:tc>
      </w:tr>
      <w:tr>
        <w:trPr>
          <w:trHeight w:val="217"/>
        </w:trPr>
        <w:tc>
          <w:tcPr>
            <w:tcW w:w="46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3"/>
              <w:spacing w:after="0"/>
              <w:rPr>
                <w:sz w:val="20"/>
                <w:szCs w:val="20"/>
                <w:color w:val="auto"/>
              </w:rPr>
            </w:pPr>
            <w:r>
              <w:rPr>
                <w:rFonts w:ascii="Arial" w:cs="Arial" w:eastAsia="Arial" w:hAnsi="Arial"/>
                <w:sz w:val="14"/>
                <w:szCs w:val="14"/>
                <w:b w:val="1"/>
                <w:bCs w:val="1"/>
                <w:color w:val="auto"/>
                <w:w w:val="83"/>
              </w:rPr>
              <w:t>Cost</w:t>
            </w: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w w:val="87"/>
              </w:rPr>
              <w:t>Gains</w:t>
            </w: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Months</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Months</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w w:val="87"/>
              </w:rPr>
              <w:t>Gains</w:t>
            </w:r>
          </w:p>
        </w:tc>
        <w:tc>
          <w:tcPr>
            <w:tcW w:w="0" w:type="dxa"/>
            <w:vAlign w:val="bottom"/>
          </w:tcPr>
          <w:p>
            <w:pPr>
              <w:spacing w:after="0"/>
              <w:rPr>
                <w:sz w:val="1"/>
                <w:szCs w:val="1"/>
                <w:color w:val="auto"/>
              </w:rPr>
            </w:pPr>
          </w:p>
        </w:tc>
      </w:tr>
      <w:tr>
        <w:trPr>
          <w:trHeight w:val="455"/>
        </w:trPr>
        <w:tc>
          <w:tcPr>
            <w:tcW w:w="4680" w:type="dxa"/>
            <w:vAlign w:val="bottom"/>
          </w:tcPr>
          <w:p>
            <w:pPr>
              <w:spacing w:after="0"/>
              <w:rPr>
                <w:sz w:val="20"/>
                <w:szCs w:val="20"/>
                <w:color w:val="auto"/>
              </w:rPr>
            </w:pPr>
            <w:r>
              <w:rPr>
                <w:rFonts w:ascii="Arial" w:cs="Arial" w:eastAsia="Arial" w:hAnsi="Arial"/>
                <w:sz w:val="16"/>
                <w:szCs w:val="16"/>
                <w:b w:val="1"/>
                <w:bCs w:val="1"/>
                <w:color w:val="auto"/>
              </w:rPr>
              <w:t>Held-to-Maturity Securities:</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4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U.S. Treasury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729,507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147,532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(3,964)</w:t>
            </w:r>
          </w:p>
        </w:tc>
        <w:tc>
          <w:tcPr>
            <w:tcW w:w="26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873,075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right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143,568</w:t>
            </w:r>
          </w:p>
        </w:tc>
        <w:tc>
          <w:tcPr>
            <w:tcW w:w="0" w:type="dxa"/>
            <w:vAlign w:val="bottom"/>
          </w:tcPr>
          <w:p>
            <w:pPr>
              <w:spacing w:after="0"/>
              <w:rPr>
                <w:sz w:val="1"/>
                <w:szCs w:val="1"/>
                <w:color w:val="auto"/>
              </w:rPr>
            </w:pPr>
          </w:p>
        </w:tc>
      </w:tr>
      <w:tr>
        <w:trPr>
          <w:trHeight w:val="203"/>
        </w:trPr>
        <w:tc>
          <w:tcPr>
            <w:tcW w:w="4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Political subdivisions of States,</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tcBorders>
              <w:righ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680" w:type="dxa"/>
            <w:vAlign w:val="bottom"/>
          </w:tcPr>
          <w:p>
            <w:pPr>
              <w:ind w:left="160"/>
              <w:spacing w:after="0"/>
              <w:rPr>
                <w:sz w:val="20"/>
                <w:szCs w:val="20"/>
                <w:color w:val="auto"/>
              </w:rPr>
            </w:pPr>
            <w:r>
              <w:rPr>
                <w:rFonts w:ascii="Arial" w:cs="Arial" w:eastAsia="Arial" w:hAnsi="Arial"/>
                <w:sz w:val="16"/>
                <w:szCs w:val="16"/>
                <w:color w:val="auto"/>
              </w:rPr>
              <w:t>Territories and Possessions</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998,803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33,862</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1,032,665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23"/>
              <w:spacing w:after="0"/>
              <w:rPr>
                <w:sz w:val="20"/>
                <w:szCs w:val="20"/>
                <w:color w:val="auto"/>
              </w:rPr>
            </w:pPr>
            <w:r>
              <w:rPr>
                <w:rFonts w:ascii="Arial" w:cs="Arial" w:eastAsia="Arial" w:hAnsi="Arial"/>
                <w:sz w:val="16"/>
                <w:szCs w:val="16"/>
                <w:color w:val="auto"/>
              </w:rPr>
              <w:t>33,862</w:t>
            </w:r>
          </w:p>
        </w:tc>
        <w:tc>
          <w:tcPr>
            <w:tcW w:w="0" w:type="dxa"/>
            <w:vAlign w:val="bottom"/>
          </w:tcPr>
          <w:p>
            <w:pPr>
              <w:spacing w:after="0"/>
              <w:rPr>
                <w:sz w:val="1"/>
                <w:szCs w:val="1"/>
                <w:color w:val="auto"/>
              </w:rPr>
            </w:pPr>
          </w:p>
        </w:tc>
      </w:tr>
      <w:tr>
        <w:trPr>
          <w:trHeight w:val="203"/>
        </w:trPr>
        <w:tc>
          <w:tcPr>
            <w:tcW w:w="46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680" w:type="dxa"/>
            <w:vAlign w:val="bottom"/>
          </w:tcPr>
          <w:p>
            <w:pPr>
              <w:spacing w:after="0"/>
              <w:rPr>
                <w:sz w:val="20"/>
                <w:szCs w:val="20"/>
                <w:color w:val="auto"/>
              </w:rPr>
            </w:pPr>
            <w:r>
              <w:rPr>
                <w:rFonts w:ascii="Arial" w:cs="Arial" w:eastAsia="Arial" w:hAnsi="Arial"/>
                <w:sz w:val="16"/>
                <w:szCs w:val="16"/>
                <w:color w:val="auto"/>
              </w:rPr>
              <w:t>Corporate and other bonds</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6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Industrial and miscellaneous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2,494,545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38,461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(1,425)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(10,905)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2,520,676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26,131</w:t>
            </w:r>
          </w:p>
        </w:tc>
        <w:tc>
          <w:tcPr>
            <w:tcW w:w="0" w:type="dxa"/>
            <w:vAlign w:val="bottom"/>
          </w:tcPr>
          <w:p>
            <w:pPr>
              <w:spacing w:after="0"/>
              <w:rPr>
                <w:sz w:val="1"/>
                <w:szCs w:val="1"/>
                <w:color w:val="auto"/>
              </w:rPr>
            </w:pPr>
          </w:p>
        </w:tc>
      </w:tr>
      <w:tr>
        <w:trPr>
          <w:trHeight w:val="203"/>
        </w:trPr>
        <w:tc>
          <w:tcPr>
            <w:tcW w:w="46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4,222,855</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219,855</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(5,389)</w:t>
            </w:r>
          </w:p>
        </w:tc>
        <w:tc>
          <w:tcPr>
            <w:tcW w:w="26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(10,905)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4,426,416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right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203,561</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Held-to-maturity U.S. Treasury securities are held in trust pursuant to various states’ minimum funds requirements.</w:t>
      </w:r>
    </w:p>
    <w:p>
      <w:pPr>
        <w:spacing w:after="0" w:line="247" w:lineRule="exact"/>
        <w:rPr>
          <w:sz w:val="20"/>
          <w:szCs w:val="20"/>
          <w:color w:val="auto"/>
        </w:rPr>
      </w:pPr>
    </w:p>
    <w:p>
      <w:pPr>
        <w:spacing w:after="0"/>
        <w:rPr>
          <w:sz w:val="20"/>
          <w:szCs w:val="20"/>
          <w:color w:val="auto"/>
        </w:rPr>
      </w:pPr>
      <w:r>
        <w:rPr>
          <w:rFonts w:ascii="Arial" w:cs="Arial" w:eastAsia="Arial" w:hAnsi="Arial"/>
          <w:sz w:val="15"/>
          <w:szCs w:val="15"/>
          <w:color w:val="auto"/>
        </w:rPr>
        <w:t>A summary of the amortized cost and estimated fair value of the Company’s investments in held-to-maturity securities by contractual maturity as of September 30, 2019 and</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2018 is shown below:</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5"/>
          </w:tcPr>
          <w:p>
            <w:pPr>
              <w:jc w:val="right"/>
              <w:ind w:right="581"/>
              <w:spacing w:after="0"/>
              <w:rPr>
                <w:sz w:val="20"/>
                <w:szCs w:val="20"/>
                <w:color w:val="auto"/>
              </w:rPr>
            </w:pPr>
            <w:r>
              <w:rPr>
                <w:rFonts w:ascii="Arial" w:cs="Arial" w:eastAsia="Arial" w:hAnsi="Arial"/>
                <w:sz w:val="14"/>
                <w:szCs w:val="14"/>
                <w:b w:val="1"/>
                <w:bCs w:val="1"/>
                <w:color w:val="auto"/>
              </w:rPr>
              <w:t>September 30, 2019</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jc w:val="right"/>
              <w:ind w:right="581"/>
              <w:spacing w:after="0"/>
              <w:rPr>
                <w:sz w:val="20"/>
                <w:szCs w:val="20"/>
                <w:color w:val="auto"/>
              </w:rPr>
            </w:pPr>
            <w:r>
              <w:rPr>
                <w:rFonts w:ascii="Arial" w:cs="Arial" w:eastAsia="Arial" w:hAnsi="Arial"/>
                <w:sz w:val="14"/>
                <w:szCs w:val="14"/>
                <w:b w:val="1"/>
                <w:bCs w:val="1"/>
                <w:color w:val="auto"/>
              </w:rPr>
              <w:t>December 31, 2018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59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Remaining Time to Maturit</w:t>
            </w:r>
            <w:r>
              <w:rPr>
                <w:rFonts w:ascii="Arial" w:cs="Arial" w:eastAsia="Arial" w:hAnsi="Arial"/>
                <w:sz w:val="16"/>
                <w:szCs w:val="16"/>
                <w:color w:val="auto"/>
              </w:rPr>
              <w:t>y</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Amortized</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Estimated</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Amortized</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Estimated</w:t>
            </w:r>
          </w:p>
        </w:tc>
        <w:tc>
          <w:tcPr>
            <w:tcW w:w="0" w:type="dxa"/>
            <w:vAlign w:val="bottom"/>
          </w:tcPr>
          <w:p>
            <w:pPr>
              <w:spacing w:after="0"/>
              <w:rPr>
                <w:sz w:val="1"/>
                <w:szCs w:val="1"/>
                <w:color w:val="auto"/>
              </w:rPr>
            </w:pPr>
          </w:p>
        </w:tc>
      </w:tr>
      <w:tr>
        <w:trPr>
          <w:trHeight w:val="191"/>
        </w:trPr>
        <w:tc>
          <w:tcPr>
            <w:tcW w:w="59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3"/>
        </w:trPr>
        <w:tc>
          <w:tcPr>
            <w:tcW w:w="59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than one year</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623,000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629,143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960" w:type="dxa"/>
            <w:vAlign w:val="bottom"/>
          </w:tcPr>
          <w:p>
            <w:pPr>
              <w:ind w:left="40"/>
              <w:spacing w:after="0"/>
              <w:rPr>
                <w:sz w:val="20"/>
                <w:szCs w:val="20"/>
                <w:color w:val="auto"/>
              </w:rPr>
            </w:pPr>
            <w:r>
              <w:rPr>
                <w:rFonts w:ascii="Arial" w:cs="Arial" w:eastAsia="Arial" w:hAnsi="Arial"/>
                <w:sz w:val="16"/>
                <w:szCs w:val="16"/>
                <w:color w:val="auto"/>
              </w:rPr>
              <w:t>One to five years</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2,098,950</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2,214,947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2,996,685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3,036,531</w:t>
            </w:r>
          </w:p>
        </w:tc>
        <w:tc>
          <w:tcPr>
            <w:tcW w:w="0" w:type="dxa"/>
            <w:vAlign w:val="bottom"/>
          </w:tcPr>
          <w:p>
            <w:pPr>
              <w:spacing w:after="0"/>
              <w:rPr>
                <w:sz w:val="1"/>
                <w:szCs w:val="1"/>
                <w:color w:val="auto"/>
              </w:rPr>
            </w:pPr>
          </w:p>
        </w:tc>
      </w:tr>
      <w:tr>
        <w:trPr>
          <w:trHeight w:val="203"/>
        </w:trPr>
        <w:tc>
          <w:tcPr>
            <w:tcW w:w="5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Five to ten years</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497,016</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529,255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619,663</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635,846</w:t>
            </w:r>
          </w:p>
        </w:tc>
        <w:tc>
          <w:tcPr>
            <w:tcW w:w="0" w:type="dxa"/>
            <w:vAlign w:val="bottom"/>
          </w:tcPr>
          <w:p>
            <w:pPr>
              <w:spacing w:after="0"/>
              <w:rPr>
                <w:sz w:val="1"/>
                <w:szCs w:val="1"/>
                <w:color w:val="auto"/>
              </w:rPr>
            </w:pPr>
          </w:p>
        </w:tc>
      </w:tr>
      <w:tr>
        <w:trPr>
          <w:trHeight w:val="203"/>
        </w:trPr>
        <w:tc>
          <w:tcPr>
            <w:tcW w:w="5960" w:type="dxa"/>
            <w:vAlign w:val="bottom"/>
          </w:tcPr>
          <w:p>
            <w:pPr>
              <w:ind w:left="40"/>
              <w:spacing w:after="0"/>
              <w:rPr>
                <w:sz w:val="20"/>
                <w:szCs w:val="20"/>
                <w:color w:val="auto"/>
              </w:rPr>
            </w:pPr>
            <w:r>
              <w:rPr>
                <w:rFonts w:ascii="Arial" w:cs="Arial" w:eastAsia="Arial" w:hAnsi="Arial"/>
                <w:sz w:val="16"/>
                <w:szCs w:val="16"/>
                <w:color w:val="auto"/>
              </w:rPr>
              <w:t>More than 10 years</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606,539</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754,039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606,507</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754,039</w:t>
            </w:r>
          </w:p>
        </w:tc>
        <w:tc>
          <w:tcPr>
            <w:tcW w:w="0" w:type="dxa"/>
            <w:vAlign w:val="bottom"/>
          </w:tcPr>
          <w:p>
            <w:pPr>
              <w:spacing w:after="0"/>
              <w:rPr>
                <w:sz w:val="1"/>
                <w:szCs w:val="1"/>
                <w:color w:val="auto"/>
              </w:rPr>
            </w:pPr>
          </w:p>
        </w:tc>
      </w:tr>
      <w:tr>
        <w:trPr>
          <w:trHeight w:val="25"/>
        </w:trPr>
        <w:tc>
          <w:tcPr>
            <w:tcW w:w="5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3,825,505</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4,127,384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4,222,855</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4,426,416</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actual maturities may differ from contractual maturities because certain borrowers have the right to call or prepay obligations with or without penalties.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14" w:name="page15"/>
    <w:bookmarkEnd w:id="14"/>
    <w:p>
      <w:pPr>
        <w:spacing w:after="0"/>
        <w:rPr>
          <w:sz w:val="20"/>
          <w:szCs w:val="20"/>
          <w:color w:val="auto"/>
        </w:rPr>
      </w:pPr>
      <w:r>
        <w:rPr>
          <w:rFonts w:ascii="Arial" w:cs="Arial" w:eastAsia="Arial" w:hAnsi="Arial"/>
          <w:sz w:val="16"/>
          <w:szCs w:val="16"/>
          <w:u w:val="single" w:color="auto"/>
          <w:color w:val="auto"/>
        </w:rPr>
        <w:t>Investment Income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Major categories of the Company’s net investment income are summarized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9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60" w:type="dxa"/>
            <w:vAlign w:val="bottom"/>
            <w:gridSpan w:val="6"/>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4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Nine months ended</w:t>
            </w:r>
          </w:p>
        </w:tc>
      </w:tr>
      <w:tr>
        <w:trPr>
          <w:trHeight w:val="217"/>
        </w:trPr>
        <w:tc>
          <w:tcPr>
            <w:tcW w:w="39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33"/>
        </w:trPr>
        <w:tc>
          <w:tcPr>
            <w:tcW w:w="39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20"/>
                <w:szCs w:val="20"/>
                <w:color w:val="auto"/>
              </w:rPr>
            </w:pPr>
          </w:p>
        </w:tc>
      </w:tr>
      <w:tr>
        <w:trPr>
          <w:trHeight w:val="455"/>
        </w:trPr>
        <w:tc>
          <w:tcPr>
            <w:tcW w:w="3940" w:type="dxa"/>
            <w:vAlign w:val="bottom"/>
          </w:tcPr>
          <w:p>
            <w:pPr>
              <w:ind w:left="40"/>
              <w:spacing w:after="0"/>
              <w:rPr>
                <w:sz w:val="20"/>
                <w:szCs w:val="20"/>
                <w:color w:val="auto"/>
              </w:rPr>
            </w:pPr>
            <w:r>
              <w:rPr>
                <w:rFonts w:ascii="Arial" w:cs="Arial" w:eastAsia="Arial" w:hAnsi="Arial"/>
                <w:sz w:val="16"/>
                <w:szCs w:val="16"/>
                <w:b w:val="1"/>
                <w:bCs w:val="1"/>
                <w:color w:val="auto"/>
              </w:rPr>
              <w:t>Income:</w:t>
            </w:r>
          </w:p>
        </w:tc>
        <w:tc>
          <w:tcPr>
            <w:tcW w:w="2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4"/>
        </w:trPr>
        <w:tc>
          <w:tcPr>
            <w:tcW w:w="3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Fixed-maturity securities</w:t>
            </w:r>
          </w:p>
        </w:tc>
        <w:tc>
          <w:tcPr>
            <w:tcW w:w="2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1,499,135</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1,386,931</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4,500,346</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8"/>
              </w:rPr>
              <w:t>3,898,730</w:t>
            </w:r>
          </w:p>
        </w:tc>
      </w:tr>
      <w:tr>
        <w:trPr>
          <w:trHeight w:val="203"/>
        </w:trPr>
        <w:tc>
          <w:tcPr>
            <w:tcW w:w="3940" w:type="dxa"/>
            <w:vAlign w:val="bottom"/>
          </w:tcPr>
          <w:p>
            <w:pPr>
              <w:ind w:left="40"/>
              <w:spacing w:after="0"/>
              <w:rPr>
                <w:sz w:val="20"/>
                <w:szCs w:val="20"/>
                <w:color w:val="auto"/>
              </w:rPr>
            </w:pPr>
            <w:r>
              <w:rPr>
                <w:rFonts w:ascii="Arial" w:cs="Arial" w:eastAsia="Arial" w:hAnsi="Arial"/>
                <w:sz w:val="16"/>
                <w:szCs w:val="16"/>
                <w:color w:val="auto"/>
              </w:rPr>
              <w:t>Equity securities</w:t>
            </w:r>
          </w:p>
        </w:tc>
        <w:tc>
          <w:tcPr>
            <w:tcW w:w="2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253,594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214,498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666,247</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609,086</w:t>
            </w:r>
          </w:p>
        </w:tc>
      </w:tr>
      <w:tr>
        <w:trPr>
          <w:trHeight w:val="203"/>
        </w:trPr>
        <w:tc>
          <w:tcPr>
            <w:tcW w:w="3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2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75,253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44,024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288,334</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159,865</w:t>
            </w:r>
          </w:p>
        </w:tc>
      </w:tr>
      <w:tr>
        <w:trPr>
          <w:trHeight w:val="25"/>
        </w:trPr>
        <w:tc>
          <w:tcPr>
            <w:tcW w:w="394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03"/>
        </w:trPr>
        <w:tc>
          <w:tcPr>
            <w:tcW w:w="3940" w:type="dxa"/>
            <w:vAlign w:val="bottom"/>
          </w:tcPr>
          <w:p>
            <w:pPr>
              <w:ind w:left="40"/>
              <w:spacing w:after="0"/>
              <w:rPr>
                <w:sz w:val="20"/>
                <w:szCs w:val="20"/>
                <w:color w:val="auto"/>
              </w:rPr>
            </w:pPr>
            <w:r>
              <w:rPr>
                <w:rFonts w:ascii="Arial" w:cs="Arial" w:eastAsia="Arial" w:hAnsi="Arial"/>
                <w:sz w:val="16"/>
                <w:szCs w:val="16"/>
                <w:color w:val="auto"/>
              </w:rPr>
              <w:t>Total</w:t>
            </w:r>
          </w:p>
        </w:tc>
        <w:tc>
          <w:tcPr>
            <w:tcW w:w="2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1,827,982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1,645,453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5,454,927</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w w:val="98"/>
              </w:rPr>
              <w:t>4,667,681</w:t>
            </w:r>
          </w:p>
        </w:tc>
      </w:tr>
      <w:tr>
        <w:trPr>
          <w:trHeight w:val="203"/>
        </w:trPr>
        <w:tc>
          <w:tcPr>
            <w:tcW w:w="39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Expenses:</w:t>
            </w:r>
          </w:p>
        </w:tc>
        <w:tc>
          <w:tcPr>
            <w:tcW w:w="2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3940" w:type="dxa"/>
            <w:vAlign w:val="bottom"/>
          </w:tcPr>
          <w:p>
            <w:pPr>
              <w:ind w:left="40"/>
              <w:spacing w:after="0"/>
              <w:rPr>
                <w:sz w:val="20"/>
                <w:szCs w:val="20"/>
                <w:color w:val="auto"/>
              </w:rPr>
            </w:pPr>
            <w:r>
              <w:rPr>
                <w:rFonts w:ascii="Arial" w:cs="Arial" w:eastAsia="Arial" w:hAnsi="Arial"/>
                <w:sz w:val="16"/>
                <w:szCs w:val="16"/>
                <w:color w:val="auto"/>
              </w:rPr>
              <w:t>Investment expenses</w:t>
            </w:r>
          </w:p>
        </w:tc>
        <w:tc>
          <w:tcPr>
            <w:tcW w:w="2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(28,571)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43,082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254,893</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124,455</w:t>
            </w:r>
          </w:p>
        </w:tc>
      </w:tr>
      <w:tr>
        <w:trPr>
          <w:trHeight w:val="25"/>
        </w:trPr>
        <w:tc>
          <w:tcPr>
            <w:tcW w:w="39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3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investment income</w:t>
            </w:r>
          </w:p>
        </w:tc>
        <w:tc>
          <w:tcPr>
            <w:tcW w:w="2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1,856,553</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1,602,371</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5,200,034</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8"/>
              </w:rPr>
              <w:t>4,543,226</w:t>
            </w:r>
          </w:p>
        </w:tc>
      </w:tr>
      <w:tr>
        <w:trPr>
          <w:trHeight w:val="20"/>
        </w:trPr>
        <w:tc>
          <w:tcPr>
            <w:tcW w:w="394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Proceeds from the sale and redemption of fixed-maturity securities held-to-maturity were $400,000 and $624,963 for the nine months ended September 30, 2019 and 2018, respectively.</w:t>
      </w:r>
    </w:p>
    <w:p>
      <w:pPr>
        <w:spacing w:after="0" w:line="15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Proceeds from the sale or maturity of fixed-maturity securities available-for-sale were $9,835,464 and $17,740,260 for the nine months ended September 30, 2019 and 2018,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Proceeds from the sale of equity securities were $2,941,492 and $5,694,121 for the nine months ended September 30, 2019 and 2018, respectively.</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15" w:name="page16"/>
    <w:bookmarkEnd w:id="15"/>
    <w:p>
      <w:pPr>
        <w:spacing w:after="0"/>
        <w:rPr>
          <w:sz w:val="20"/>
          <w:szCs w:val="20"/>
          <w:color w:val="auto"/>
        </w:rPr>
      </w:pPr>
      <w:r>
        <w:rPr>
          <w:rFonts w:ascii="Arial" w:cs="Arial" w:eastAsia="Arial" w:hAnsi="Arial"/>
          <w:sz w:val="16"/>
          <w:szCs w:val="16"/>
          <w:color w:val="auto"/>
        </w:rPr>
        <w:t>The Company’s net gains (losses) on investments are summarized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3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8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4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17"/>
        </w:trPr>
        <w:tc>
          <w:tcPr>
            <w:tcW w:w="13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13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160" w:type="dxa"/>
            <w:vAlign w:val="bottom"/>
            <w:gridSpan w:val="2"/>
          </w:tcPr>
          <w:p>
            <w:pPr>
              <w:ind w:left="40"/>
              <w:spacing w:after="0"/>
              <w:rPr>
                <w:sz w:val="20"/>
                <w:szCs w:val="20"/>
                <w:color w:val="auto"/>
              </w:rPr>
            </w:pPr>
            <w:r>
              <w:rPr>
                <w:rFonts w:ascii="Arial" w:cs="Arial" w:eastAsia="Arial" w:hAnsi="Arial"/>
                <w:sz w:val="16"/>
                <w:szCs w:val="16"/>
                <w:b w:val="1"/>
                <w:bCs w:val="1"/>
                <w:color w:val="auto"/>
              </w:rPr>
              <w:t>Realized Gains (Losses)</w:t>
            </w:r>
          </w:p>
        </w:tc>
        <w:tc>
          <w:tcPr>
            <w:tcW w:w="1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7"/>
        </w:trPr>
        <w:tc>
          <w:tcPr>
            <w:tcW w:w="4160" w:type="dxa"/>
            <w:vAlign w:val="bottom"/>
            <w:gridSpan w:val="2"/>
          </w:tcPr>
          <w:p>
            <w:pPr>
              <w:ind w:left="40"/>
              <w:spacing w:after="0"/>
              <w:rPr>
                <w:sz w:val="20"/>
                <w:szCs w:val="20"/>
                <w:color w:val="auto"/>
              </w:rPr>
            </w:pPr>
            <w:r>
              <w:rPr>
                <w:rFonts w:ascii="Arial" w:cs="Arial" w:eastAsia="Arial" w:hAnsi="Arial"/>
                <w:sz w:val="16"/>
                <w:szCs w:val="16"/>
                <w:b w:val="1"/>
                <w:bCs w:val="1"/>
                <w:color w:val="auto"/>
              </w:rPr>
              <w:t>Fixed-maturity securities:</w:t>
            </w:r>
          </w:p>
        </w:tc>
        <w:tc>
          <w:tcPr>
            <w:tcW w:w="1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4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Gross realized gains</w:t>
            </w:r>
          </w:p>
        </w:tc>
        <w:tc>
          <w:tcPr>
            <w:tcW w:w="2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4,749</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10,954</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116,961</w:t>
            </w:r>
          </w:p>
        </w:tc>
        <w:tc>
          <w:tcPr>
            <w:tcW w:w="0" w:type="dxa"/>
            <w:vAlign w:val="bottom"/>
          </w:tcPr>
          <w:p>
            <w:pPr>
              <w:spacing w:after="0"/>
              <w:rPr>
                <w:sz w:val="1"/>
                <w:szCs w:val="1"/>
                <w:color w:val="auto"/>
              </w:rPr>
            </w:pPr>
          </w:p>
        </w:tc>
      </w:tr>
      <w:tr>
        <w:trPr>
          <w:trHeight w:val="203"/>
        </w:trPr>
        <w:tc>
          <w:tcPr>
            <w:tcW w:w="4160" w:type="dxa"/>
            <w:vAlign w:val="bottom"/>
            <w:gridSpan w:val="2"/>
          </w:tcPr>
          <w:p>
            <w:pPr>
              <w:ind w:left="40"/>
              <w:spacing w:after="0"/>
              <w:rPr>
                <w:sz w:val="20"/>
                <w:szCs w:val="20"/>
                <w:color w:val="auto"/>
              </w:rPr>
            </w:pPr>
            <w:r>
              <w:rPr>
                <w:rFonts w:ascii="Arial" w:cs="Arial" w:eastAsia="Arial" w:hAnsi="Arial"/>
                <w:sz w:val="16"/>
                <w:szCs w:val="16"/>
                <w:color w:val="auto"/>
              </w:rPr>
              <w:t>Gross realized losses</w:t>
            </w:r>
          </w:p>
        </w:tc>
        <w:tc>
          <w:tcPr>
            <w:tcW w:w="1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(46,851)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(77,191)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(92,591)</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(560,418)</w:t>
            </w:r>
          </w:p>
        </w:tc>
        <w:tc>
          <w:tcPr>
            <w:tcW w:w="0" w:type="dxa"/>
            <w:vAlign w:val="bottom"/>
          </w:tcPr>
          <w:p>
            <w:pPr>
              <w:spacing w:after="0"/>
              <w:rPr>
                <w:sz w:val="1"/>
                <w:szCs w:val="1"/>
                <w:color w:val="auto"/>
              </w:rPr>
            </w:pPr>
          </w:p>
        </w:tc>
      </w:tr>
      <w:tr>
        <w:trPr>
          <w:trHeight w:val="25"/>
        </w:trPr>
        <w:tc>
          <w:tcPr>
            <w:tcW w:w="13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13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(46,841)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(72,442)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(81,637)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(443,457)</w:t>
            </w:r>
          </w:p>
        </w:tc>
        <w:tc>
          <w:tcPr>
            <w:tcW w:w="0" w:type="dxa"/>
            <w:vAlign w:val="bottom"/>
          </w:tcPr>
          <w:p>
            <w:pPr>
              <w:spacing w:after="0"/>
              <w:rPr>
                <w:sz w:val="1"/>
                <w:szCs w:val="1"/>
                <w:color w:val="auto"/>
              </w:rPr>
            </w:pPr>
          </w:p>
        </w:tc>
      </w:tr>
      <w:tr>
        <w:trPr>
          <w:trHeight w:val="203"/>
        </w:trPr>
        <w:tc>
          <w:tcPr>
            <w:tcW w:w="1320" w:type="dxa"/>
            <w:vAlign w:val="bottom"/>
            <w:tcBorders>
              <w:top w:val="single" w:sz="8" w:color="CCEEFF"/>
            </w:tcBorders>
          </w:tcPr>
          <w:p>
            <w:pPr>
              <w:spacing w:after="0"/>
              <w:rPr>
                <w:sz w:val="17"/>
                <w:szCs w:val="17"/>
                <w:color w:val="auto"/>
              </w:rPr>
            </w:pPr>
          </w:p>
        </w:tc>
        <w:tc>
          <w:tcPr>
            <w:tcW w:w="2840" w:type="dxa"/>
            <w:vAlign w:val="bottom"/>
            <w:tcBorders>
              <w:top w:val="single" w:sz="8" w:color="CCEEFF"/>
            </w:tcBorders>
          </w:tcPr>
          <w:p>
            <w:pPr>
              <w:spacing w:after="0"/>
              <w:rPr>
                <w:sz w:val="17"/>
                <w:szCs w:val="17"/>
                <w:color w:val="auto"/>
              </w:rPr>
            </w:pPr>
          </w:p>
        </w:tc>
        <w:tc>
          <w:tcPr>
            <w:tcW w:w="19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Equity securities:</w:t>
            </w:r>
          </w:p>
        </w:tc>
        <w:tc>
          <w:tcPr>
            <w:tcW w:w="1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gridSpan w:val="2"/>
          </w:tcPr>
          <w:p>
            <w:pPr>
              <w:ind w:left="40"/>
              <w:spacing w:after="0"/>
              <w:rPr>
                <w:sz w:val="20"/>
                <w:szCs w:val="20"/>
                <w:color w:val="auto"/>
              </w:rPr>
            </w:pPr>
            <w:r>
              <w:rPr>
                <w:rFonts w:ascii="Arial" w:cs="Arial" w:eastAsia="Arial" w:hAnsi="Arial"/>
                <w:sz w:val="16"/>
                <w:szCs w:val="16"/>
                <w:color w:val="auto"/>
              </w:rPr>
              <w:t>Gross realized gains</w:t>
            </w:r>
          </w:p>
        </w:tc>
        <w:tc>
          <w:tcPr>
            <w:tcW w:w="1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38,477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121,609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83,737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436,859</w:t>
            </w:r>
          </w:p>
        </w:tc>
        <w:tc>
          <w:tcPr>
            <w:tcW w:w="0" w:type="dxa"/>
            <w:vAlign w:val="bottom"/>
          </w:tcPr>
          <w:p>
            <w:pPr>
              <w:spacing w:after="0"/>
              <w:rPr>
                <w:sz w:val="1"/>
                <w:szCs w:val="1"/>
                <w:color w:val="auto"/>
              </w:rPr>
            </w:pPr>
          </w:p>
        </w:tc>
      </w:tr>
      <w:tr>
        <w:trPr>
          <w:trHeight w:val="203"/>
        </w:trPr>
        <w:tc>
          <w:tcPr>
            <w:tcW w:w="4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Gross realized losses</w:t>
            </w:r>
          </w:p>
        </w:tc>
        <w:tc>
          <w:tcPr>
            <w:tcW w:w="1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(106,321)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(56,859)</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(370,705)</w:t>
            </w:r>
          </w:p>
        </w:tc>
        <w:tc>
          <w:tcPr>
            <w:tcW w:w="0" w:type="dxa"/>
            <w:vAlign w:val="bottom"/>
          </w:tcPr>
          <w:p>
            <w:pPr>
              <w:spacing w:after="0"/>
              <w:rPr>
                <w:sz w:val="1"/>
                <w:szCs w:val="1"/>
                <w:color w:val="auto"/>
              </w:rPr>
            </w:pPr>
          </w:p>
        </w:tc>
      </w:tr>
      <w:tr>
        <w:trPr>
          <w:trHeight w:val="25"/>
        </w:trPr>
        <w:tc>
          <w:tcPr>
            <w:tcW w:w="1320" w:type="dxa"/>
            <w:vAlign w:val="bottom"/>
            <w:shd w:val="clear" w:color="auto" w:fill="CCEEFF"/>
          </w:tcPr>
          <w:p>
            <w:pPr>
              <w:spacing w:after="0"/>
              <w:rPr>
                <w:sz w:val="2"/>
                <w:szCs w:val="2"/>
                <w:color w:val="auto"/>
              </w:rPr>
            </w:pPr>
          </w:p>
        </w:tc>
        <w:tc>
          <w:tcPr>
            <w:tcW w:w="284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13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38,477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15,288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26,878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66,154</w:t>
            </w:r>
          </w:p>
        </w:tc>
        <w:tc>
          <w:tcPr>
            <w:tcW w:w="0" w:type="dxa"/>
            <w:vAlign w:val="bottom"/>
          </w:tcPr>
          <w:p>
            <w:pPr>
              <w:spacing w:after="0"/>
              <w:rPr>
                <w:sz w:val="1"/>
                <w:szCs w:val="1"/>
                <w:color w:val="auto"/>
              </w:rPr>
            </w:pPr>
          </w:p>
        </w:tc>
      </w:tr>
      <w:tr>
        <w:trPr>
          <w:trHeight w:val="203"/>
        </w:trPr>
        <w:tc>
          <w:tcPr>
            <w:tcW w:w="132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160" w:type="dxa"/>
            <w:vAlign w:val="bottom"/>
            <w:gridSpan w:val="2"/>
          </w:tcPr>
          <w:p>
            <w:pPr>
              <w:ind w:left="200"/>
              <w:spacing w:after="0"/>
              <w:rPr>
                <w:sz w:val="20"/>
                <w:szCs w:val="20"/>
                <w:color w:val="auto"/>
              </w:rPr>
            </w:pPr>
            <w:r>
              <w:rPr>
                <w:rFonts w:ascii="Arial" w:cs="Arial" w:eastAsia="Arial" w:hAnsi="Arial"/>
                <w:sz w:val="16"/>
                <w:szCs w:val="16"/>
                <w:color w:val="auto"/>
              </w:rPr>
              <w:t>Net realized losses</w:t>
            </w:r>
          </w:p>
        </w:tc>
        <w:tc>
          <w:tcPr>
            <w:tcW w:w="1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(8,364)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(57,154)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(54,759)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(377,303)</w:t>
            </w:r>
          </w:p>
        </w:tc>
        <w:tc>
          <w:tcPr>
            <w:tcW w:w="0" w:type="dxa"/>
            <w:vAlign w:val="bottom"/>
          </w:tcPr>
          <w:p>
            <w:pPr>
              <w:spacing w:after="0"/>
              <w:rPr>
                <w:sz w:val="1"/>
                <w:szCs w:val="1"/>
                <w:color w:val="auto"/>
              </w:rPr>
            </w:pPr>
          </w:p>
        </w:tc>
      </w:tr>
      <w:tr>
        <w:trPr>
          <w:trHeight w:val="203"/>
        </w:trPr>
        <w:tc>
          <w:tcPr>
            <w:tcW w:w="132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160" w:type="dxa"/>
            <w:vAlign w:val="bottom"/>
            <w:gridSpan w:val="2"/>
          </w:tcPr>
          <w:p>
            <w:pPr>
              <w:ind w:left="60"/>
              <w:spacing w:after="0"/>
              <w:rPr>
                <w:sz w:val="20"/>
                <w:szCs w:val="20"/>
                <w:color w:val="auto"/>
              </w:rPr>
            </w:pPr>
            <w:r>
              <w:rPr>
                <w:rFonts w:ascii="Arial" w:cs="Arial" w:eastAsia="Arial" w:hAnsi="Arial"/>
                <w:sz w:val="16"/>
                <w:szCs w:val="16"/>
                <w:b w:val="1"/>
                <w:bCs w:val="1"/>
                <w:color w:val="auto"/>
              </w:rPr>
              <w:t>Unrealized Gains (Losses)</w:t>
            </w:r>
          </w:p>
        </w:tc>
        <w:tc>
          <w:tcPr>
            <w:tcW w:w="1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32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gridSpan w:val="2"/>
          </w:tcPr>
          <w:p>
            <w:pPr>
              <w:ind w:left="40"/>
              <w:spacing w:after="0"/>
              <w:rPr>
                <w:sz w:val="20"/>
                <w:szCs w:val="20"/>
                <w:color w:val="auto"/>
              </w:rPr>
            </w:pPr>
            <w:r>
              <w:rPr>
                <w:rFonts w:ascii="Arial" w:cs="Arial" w:eastAsia="Arial" w:hAnsi="Arial"/>
                <w:sz w:val="16"/>
                <w:szCs w:val="16"/>
                <w:b w:val="1"/>
                <w:bCs w:val="1"/>
                <w:color w:val="auto"/>
              </w:rPr>
              <w:t>Equity securities:</w:t>
            </w:r>
          </w:p>
        </w:tc>
        <w:tc>
          <w:tcPr>
            <w:tcW w:w="1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Gross gains</w:t>
            </w:r>
          </w:p>
        </w:tc>
        <w:tc>
          <w:tcPr>
            <w:tcW w:w="1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916,496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3,196,260</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160" w:type="dxa"/>
            <w:vAlign w:val="bottom"/>
            <w:gridSpan w:val="2"/>
          </w:tcPr>
          <w:p>
            <w:pPr>
              <w:ind w:left="40"/>
              <w:spacing w:after="0"/>
              <w:rPr>
                <w:sz w:val="20"/>
                <w:szCs w:val="20"/>
                <w:color w:val="auto"/>
              </w:rPr>
            </w:pPr>
            <w:r>
              <w:rPr>
                <w:rFonts w:ascii="Arial" w:cs="Arial" w:eastAsia="Arial" w:hAnsi="Arial"/>
                <w:sz w:val="16"/>
                <w:szCs w:val="16"/>
                <w:color w:val="auto"/>
              </w:rPr>
              <w:t>Gross losses</w:t>
            </w:r>
          </w:p>
        </w:tc>
        <w:tc>
          <w:tcPr>
            <w:tcW w:w="1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288,435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(141,976)</w:t>
            </w:r>
          </w:p>
        </w:tc>
        <w:tc>
          <w:tcPr>
            <w:tcW w:w="0" w:type="dxa"/>
            <w:vAlign w:val="bottom"/>
          </w:tcPr>
          <w:p>
            <w:pPr>
              <w:spacing w:after="0"/>
              <w:rPr>
                <w:sz w:val="1"/>
                <w:szCs w:val="1"/>
                <w:color w:val="auto"/>
              </w:rPr>
            </w:pPr>
          </w:p>
        </w:tc>
      </w:tr>
      <w:tr>
        <w:trPr>
          <w:trHeight w:val="25"/>
        </w:trPr>
        <w:tc>
          <w:tcPr>
            <w:tcW w:w="13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13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916,496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288,435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3,196,260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(141,976)</w:t>
            </w:r>
          </w:p>
        </w:tc>
        <w:tc>
          <w:tcPr>
            <w:tcW w:w="0" w:type="dxa"/>
            <w:vAlign w:val="bottom"/>
          </w:tcPr>
          <w:p>
            <w:pPr>
              <w:spacing w:after="0"/>
              <w:rPr>
                <w:sz w:val="1"/>
                <w:szCs w:val="1"/>
                <w:color w:val="auto"/>
              </w:rPr>
            </w:pPr>
          </w:p>
        </w:tc>
      </w:tr>
      <w:tr>
        <w:trPr>
          <w:trHeight w:val="203"/>
        </w:trPr>
        <w:tc>
          <w:tcPr>
            <w:tcW w:w="1320" w:type="dxa"/>
            <w:vAlign w:val="bottom"/>
            <w:tcBorders>
              <w:top w:val="single" w:sz="8" w:color="CCEEFF"/>
            </w:tcBorders>
          </w:tcPr>
          <w:p>
            <w:pPr>
              <w:spacing w:after="0"/>
              <w:rPr>
                <w:sz w:val="17"/>
                <w:szCs w:val="17"/>
                <w:color w:val="auto"/>
              </w:rPr>
            </w:pPr>
          </w:p>
        </w:tc>
        <w:tc>
          <w:tcPr>
            <w:tcW w:w="2840" w:type="dxa"/>
            <w:vAlign w:val="bottom"/>
            <w:tcBorders>
              <w:top w:val="single" w:sz="8" w:color="CCEEFF"/>
            </w:tcBorders>
          </w:tcPr>
          <w:p>
            <w:pPr>
              <w:spacing w:after="0"/>
              <w:rPr>
                <w:sz w:val="17"/>
                <w:szCs w:val="17"/>
                <w:color w:val="auto"/>
              </w:rPr>
            </w:pPr>
          </w:p>
        </w:tc>
        <w:tc>
          <w:tcPr>
            <w:tcW w:w="19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Other investments:</w:t>
            </w:r>
          </w:p>
        </w:tc>
        <w:tc>
          <w:tcPr>
            <w:tcW w:w="1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gridSpan w:val="2"/>
          </w:tcPr>
          <w:p>
            <w:pPr>
              <w:ind w:left="40"/>
              <w:spacing w:after="0"/>
              <w:rPr>
                <w:sz w:val="20"/>
                <w:szCs w:val="20"/>
                <w:color w:val="auto"/>
              </w:rPr>
            </w:pPr>
            <w:r>
              <w:rPr>
                <w:rFonts w:ascii="Arial" w:cs="Arial" w:eastAsia="Arial" w:hAnsi="Arial"/>
                <w:sz w:val="16"/>
                <w:szCs w:val="16"/>
                <w:color w:val="auto"/>
              </w:rPr>
              <w:t>Gross gains</w:t>
            </w:r>
          </w:p>
        </w:tc>
        <w:tc>
          <w:tcPr>
            <w:tcW w:w="1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90,030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120,744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570,679</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241,444</w:t>
            </w:r>
          </w:p>
        </w:tc>
        <w:tc>
          <w:tcPr>
            <w:tcW w:w="0" w:type="dxa"/>
            <w:vAlign w:val="bottom"/>
          </w:tcPr>
          <w:p>
            <w:pPr>
              <w:spacing w:after="0"/>
              <w:rPr>
                <w:sz w:val="1"/>
                <w:szCs w:val="1"/>
                <w:color w:val="auto"/>
              </w:rPr>
            </w:pPr>
          </w:p>
        </w:tc>
      </w:tr>
      <w:tr>
        <w:trPr>
          <w:trHeight w:val="203"/>
        </w:trPr>
        <w:tc>
          <w:tcPr>
            <w:tcW w:w="4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Gross losses</w:t>
            </w:r>
          </w:p>
        </w:tc>
        <w:tc>
          <w:tcPr>
            <w:tcW w:w="1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
        </w:trPr>
        <w:tc>
          <w:tcPr>
            <w:tcW w:w="1320" w:type="dxa"/>
            <w:vAlign w:val="bottom"/>
            <w:shd w:val="clear" w:color="auto" w:fill="CCEEFF"/>
          </w:tcPr>
          <w:p>
            <w:pPr>
              <w:spacing w:after="0"/>
              <w:rPr>
                <w:sz w:val="2"/>
                <w:szCs w:val="2"/>
                <w:color w:val="auto"/>
              </w:rPr>
            </w:pPr>
          </w:p>
        </w:tc>
        <w:tc>
          <w:tcPr>
            <w:tcW w:w="284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13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90,030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120,744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570,679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241,444</w:t>
            </w:r>
          </w:p>
        </w:tc>
        <w:tc>
          <w:tcPr>
            <w:tcW w:w="0" w:type="dxa"/>
            <w:vAlign w:val="bottom"/>
          </w:tcPr>
          <w:p>
            <w:pPr>
              <w:spacing w:after="0"/>
              <w:rPr>
                <w:sz w:val="1"/>
                <w:szCs w:val="1"/>
                <w:color w:val="auto"/>
              </w:rPr>
            </w:pPr>
          </w:p>
        </w:tc>
      </w:tr>
      <w:tr>
        <w:trPr>
          <w:trHeight w:val="203"/>
        </w:trPr>
        <w:tc>
          <w:tcPr>
            <w:tcW w:w="132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160" w:type="dxa"/>
            <w:vAlign w:val="bottom"/>
            <w:gridSpan w:val="2"/>
          </w:tcPr>
          <w:p>
            <w:pPr>
              <w:ind w:left="200"/>
              <w:spacing w:after="0"/>
              <w:rPr>
                <w:sz w:val="20"/>
                <w:szCs w:val="20"/>
                <w:color w:val="auto"/>
              </w:rPr>
            </w:pPr>
            <w:r>
              <w:rPr>
                <w:rFonts w:ascii="Arial" w:cs="Arial" w:eastAsia="Arial" w:hAnsi="Arial"/>
                <w:sz w:val="16"/>
                <w:szCs w:val="16"/>
                <w:color w:val="auto"/>
              </w:rPr>
              <w:t>Net unrealized gains</w:t>
            </w:r>
          </w:p>
        </w:tc>
        <w:tc>
          <w:tcPr>
            <w:tcW w:w="1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1,006,526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409,179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3,766,939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99,468</w:t>
            </w:r>
          </w:p>
        </w:tc>
        <w:tc>
          <w:tcPr>
            <w:tcW w:w="0" w:type="dxa"/>
            <w:vAlign w:val="bottom"/>
          </w:tcPr>
          <w:p>
            <w:pPr>
              <w:spacing w:after="0"/>
              <w:rPr>
                <w:sz w:val="1"/>
                <w:szCs w:val="1"/>
                <w:color w:val="auto"/>
              </w:rPr>
            </w:pPr>
          </w:p>
        </w:tc>
      </w:tr>
      <w:tr>
        <w:trPr>
          <w:trHeight w:val="203"/>
        </w:trPr>
        <w:tc>
          <w:tcPr>
            <w:tcW w:w="132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gridSpan w:val="2"/>
          </w:tcPr>
          <w:p>
            <w:pPr>
              <w:ind w:left="40"/>
              <w:spacing w:after="0"/>
              <w:rPr>
                <w:sz w:val="20"/>
                <w:szCs w:val="20"/>
                <w:color w:val="auto"/>
              </w:rPr>
            </w:pPr>
            <w:r>
              <w:rPr>
                <w:rFonts w:ascii="Arial" w:cs="Arial" w:eastAsia="Arial" w:hAnsi="Arial"/>
                <w:sz w:val="16"/>
                <w:szCs w:val="16"/>
                <w:color w:val="auto"/>
              </w:rPr>
              <w:t>Net gains (losses) on investments</w:t>
            </w:r>
          </w:p>
        </w:tc>
        <w:tc>
          <w:tcPr>
            <w:tcW w:w="2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998,162</w:t>
            </w:r>
          </w:p>
        </w:tc>
        <w:tc>
          <w:tcPr>
            <w:tcW w:w="4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352,025</w:t>
            </w: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3,712,180</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(277,835)</w:t>
            </w:r>
          </w:p>
        </w:tc>
        <w:tc>
          <w:tcPr>
            <w:tcW w:w="0" w:type="dxa"/>
            <w:vAlign w:val="bottom"/>
          </w:tcPr>
          <w:p>
            <w:pPr>
              <w:spacing w:after="0"/>
              <w:rPr>
                <w:sz w:val="1"/>
                <w:szCs w:val="1"/>
                <w:color w:val="auto"/>
              </w:rPr>
            </w:pPr>
          </w:p>
        </w:tc>
      </w:tr>
      <w:tr>
        <w:trPr>
          <w:trHeight w:val="20"/>
        </w:trPr>
        <w:tc>
          <w:tcPr>
            <w:tcW w:w="1320" w:type="dxa"/>
            <w:vAlign w:val="bottom"/>
            <w:vMerge w:val="restart"/>
          </w:tcPr>
          <w:p>
            <w:pPr>
              <w:spacing w:after="0"/>
              <w:rPr>
                <w:sz w:val="20"/>
                <w:szCs w:val="20"/>
                <w:color w:val="auto"/>
              </w:rPr>
            </w:pPr>
            <w:r>
              <w:rPr>
                <w:rFonts w:ascii="Arial" w:cs="Arial" w:eastAsia="Arial" w:hAnsi="Arial"/>
                <w:sz w:val="16"/>
                <w:szCs w:val="16"/>
                <w:color w:val="auto"/>
                <w:w w:val="94"/>
              </w:rPr>
              <w:t>Impairment Review</w:t>
            </w:r>
          </w:p>
        </w:tc>
        <w:tc>
          <w:tcPr>
            <w:tcW w:w="2840" w:type="dxa"/>
            <w:vAlign w:val="bottom"/>
            <w:vMerge w:val="restart"/>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1320" w:type="dxa"/>
            <w:vAlign w:val="bottom"/>
            <w:tcBorders>
              <w:bottom w:val="single" w:sz="8" w:color="auto"/>
            </w:tcBorders>
            <w:vMerge w:val="continue"/>
          </w:tcPr>
          <w:p>
            <w:pPr>
              <w:spacing w:after="0"/>
              <w:rPr>
                <w:sz w:val="24"/>
                <w:szCs w:val="24"/>
                <w:color w:val="auto"/>
              </w:rPr>
            </w:pPr>
          </w:p>
        </w:tc>
        <w:tc>
          <w:tcPr>
            <w:tcW w:w="2840" w:type="dxa"/>
            <w:vAlign w:val="bottom"/>
            <w:vMerge w:val="continue"/>
          </w:tcPr>
          <w:p>
            <w:pPr>
              <w:spacing w:after="0"/>
              <w:rPr>
                <w:sz w:val="24"/>
                <w:szCs w:val="24"/>
                <w:color w:val="auto"/>
              </w:rPr>
            </w:pPr>
          </w:p>
        </w:tc>
        <w:tc>
          <w:tcPr>
            <w:tcW w:w="1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jc w:val="both"/>
        <w:spacing w:after="0" w:line="288" w:lineRule="auto"/>
        <w:rPr>
          <w:sz w:val="20"/>
          <w:szCs w:val="20"/>
          <w:color w:val="auto"/>
        </w:rPr>
      </w:pPr>
      <w:r>
        <w:rPr>
          <w:rFonts w:ascii="Arial" w:cs="Arial" w:eastAsia="Arial" w:hAnsi="Arial"/>
          <w:sz w:val="15"/>
          <w:szCs w:val="15"/>
          <w:color w:val="auto"/>
        </w:rPr>
        <w:t>Impairment of investment securities results in a charge to operations when a market decline below cost is deemed to be other-than-temporary. The Company regularly reviews its fixed-maturity securities to evaluate the necessity of recording impairment losses for other-than-temporary declines in the estimated fair value of investments. In evaluating potential impairment, GAAP specifies (i) if the Company does not have the intent to sell a debt security prior to recovery and (ii) it is more likely than not that it will not have to sell the debt security prior to recovery, the security would not be considered other-than-temporarily impaired unless there is a credit loss. When the Company does not intend to sell the security and it is more likely than not that the Company will not have to sell the security before recovery of its cost basis, it will recognize the credit component of an other-than-temporary impairment (“OTTI”) of a debt security in earnings and the remaining portion in comprehensive income (loss). The credit loss component recognized in earnings is identified as the amount of principal cash flows not expected to be received over the remaining term of the security as projected based on cash flow projections. For held-to-maturity debt securities, the amount of OTTI recorded in comprehensive loss for the noncredit portion of a previous OTTI is amortized prospectively over the remaining life of the security on the basis of timing of future estimated cash flows of the security.</w:t>
      </w:r>
    </w:p>
    <w:p>
      <w:pPr>
        <w:spacing w:after="0" w:line="164"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OTTI losses are recorded in the condensed consolidated statements of operations and comprehensive income (loss) as net realized losses on investments and result in a permanent reduction of the cost basis of the underlying investment. The determination of OTTI is a subjective process and different judgments and assumptions could affect the timing of loss realization. At September 30, 2019 and December 31, 2018, there were 38 and 156 fixed-maturity securities, respectively, that accounted for the gross unrealized loss. The Company determined that none of the unrealized losses were deemed to be OTTI for its portfolio of investments for the nine months ended September 30, 2019 and 2018. Significant factors influencing the Company’s determination that unrealized losses were temporary included the magnitude of the unrealized losses in relation to each security’s cost, the nature of the investment and management’s intent and ability to retain the investment for a period of time sufficient to allow for an anticipated recovery of estimated fair value to the Company’s cost basis.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16" w:name="page17"/>
    <w:bookmarkEnd w:id="16"/>
    <w:p>
      <w:pPr>
        <w:spacing w:after="0"/>
        <w:rPr>
          <w:sz w:val="20"/>
          <w:szCs w:val="20"/>
          <w:color w:val="auto"/>
        </w:rPr>
      </w:pPr>
      <w:r>
        <w:rPr>
          <w:rFonts w:ascii="Arial" w:cs="Arial" w:eastAsia="Arial" w:hAnsi="Arial"/>
          <w:sz w:val="16"/>
          <w:szCs w:val="16"/>
          <w:color w:val="auto"/>
        </w:rPr>
        <w:t>The Company held available-for-sale securities with unrealized losses representing declines that were considered temporary at September 30, 2019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4"/>
                <w:szCs w:val="14"/>
                <w:b w:val="1"/>
                <w:bCs w:val="1"/>
                <w:color w:val="auto"/>
              </w:rPr>
              <w:t>September 30, 2019</w:t>
            </w: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4"/>
                <w:szCs w:val="14"/>
                <w:b w:val="1"/>
                <w:bCs w:val="1"/>
                <w:color w:val="auto"/>
              </w:rPr>
              <w:t>Less than 12 months</w:t>
            </w:r>
          </w:p>
        </w:tc>
        <w:tc>
          <w:tcPr>
            <w:tcW w:w="9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w w:val="90"/>
              </w:rPr>
              <w:t>12 months or more</w:t>
            </w:r>
          </w:p>
        </w:tc>
        <w:tc>
          <w:tcPr>
            <w:tcW w:w="9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ind w:left="680"/>
              <w:spacing w:after="0"/>
              <w:rPr>
                <w:sz w:val="20"/>
                <w:szCs w:val="20"/>
                <w:color w:val="auto"/>
              </w:rPr>
            </w:pPr>
            <w:r>
              <w:rPr>
                <w:rFonts w:ascii="Arial" w:cs="Arial" w:eastAsia="Arial" w:hAnsi="Arial"/>
                <w:sz w:val="14"/>
                <w:szCs w:val="14"/>
                <w:b w:val="1"/>
                <w:bCs w:val="1"/>
                <w:color w:val="auto"/>
                <w:w w:val="89"/>
              </w:rPr>
              <w:t>Total</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center"/>
              <w:ind w:right="43"/>
              <w:spacing w:after="0"/>
              <w:rPr>
                <w:sz w:val="20"/>
                <w:szCs w:val="20"/>
                <w:color w:val="auto"/>
              </w:rPr>
            </w:pPr>
            <w:r>
              <w:rPr>
                <w:rFonts w:ascii="Arial" w:cs="Arial" w:eastAsia="Arial" w:hAnsi="Arial"/>
                <w:sz w:val="14"/>
                <w:szCs w:val="14"/>
                <w:b w:val="1"/>
                <w:bCs w:val="1"/>
                <w:color w:val="auto"/>
                <w:w w:val="89"/>
              </w:rPr>
              <w:t>Estimated</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0"/>
              </w:rPr>
              <w:t>No. of</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center"/>
              <w:ind w:right="2"/>
              <w:spacing w:after="0"/>
              <w:rPr>
                <w:sz w:val="20"/>
                <w:szCs w:val="20"/>
                <w:color w:val="auto"/>
              </w:rPr>
            </w:pPr>
            <w:r>
              <w:rPr>
                <w:rFonts w:ascii="Arial" w:cs="Arial" w:eastAsia="Arial" w:hAnsi="Arial"/>
                <w:sz w:val="14"/>
                <w:szCs w:val="14"/>
                <w:b w:val="1"/>
                <w:bCs w:val="1"/>
                <w:color w:val="auto"/>
                <w:w w:val="89"/>
              </w:rPr>
              <w:t>Estimated</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0"/>
              </w:rPr>
              <w:t>No. of</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Estimated</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3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Categor</w:t>
            </w:r>
            <w:r>
              <w:rPr>
                <w:rFonts w:ascii="Arial" w:cs="Arial" w:eastAsia="Arial" w:hAnsi="Arial"/>
                <w:sz w:val="16"/>
                <w:szCs w:val="16"/>
                <w:color w:val="auto"/>
              </w:rPr>
              <w:t>y</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center"/>
              <w:ind w:right="23"/>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Unrealized</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5"/>
              </w:rPr>
              <w:t>Positions</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center"/>
              <w:ind w:right="22"/>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Unrealized</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5"/>
              </w:rPr>
              <w:t>Positions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Fair</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1"/>
        </w:trPr>
        <w:tc>
          <w:tcPr>
            <w:tcW w:w="238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4"/>
                <w:szCs w:val="14"/>
                <w:b w:val="1"/>
                <w:bCs w:val="1"/>
                <w:color w:val="auto"/>
              </w:rPr>
              <w:t>Losses</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Held</w:t>
            </w:r>
          </w:p>
        </w:tc>
        <w:tc>
          <w:tcPr>
            <w:tcW w:w="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4"/>
                <w:szCs w:val="14"/>
                <w:b w:val="1"/>
                <w:bCs w:val="1"/>
                <w:color w:val="auto"/>
              </w:rPr>
              <w:t>Losses</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Held</w:t>
            </w: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453"/>
        </w:trPr>
        <w:tc>
          <w:tcPr>
            <w:tcW w:w="2380" w:type="dxa"/>
            <w:vAlign w:val="bottom"/>
          </w:tcPr>
          <w:p>
            <w:pPr>
              <w:spacing w:after="0"/>
              <w:rPr>
                <w:sz w:val="20"/>
                <w:szCs w:val="20"/>
                <w:color w:val="auto"/>
              </w:rPr>
            </w:pPr>
            <w:r>
              <w:rPr>
                <w:rFonts w:ascii="Arial" w:cs="Arial" w:eastAsia="Arial" w:hAnsi="Arial"/>
                <w:sz w:val="16"/>
                <w:szCs w:val="16"/>
                <w:b w:val="1"/>
                <w:bCs w:val="1"/>
                <w:color w:val="auto"/>
              </w:rPr>
              <w:t>Fixed-Maturity Securities: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80" w:type="dxa"/>
            <w:vAlign w:val="bottom"/>
          </w:tcPr>
          <w:p>
            <w:pPr>
              <w:spacing w:after="0"/>
              <w:rPr>
                <w:sz w:val="20"/>
                <w:szCs w:val="20"/>
                <w:color w:val="auto"/>
              </w:rPr>
            </w:pPr>
            <w:r>
              <w:rPr>
                <w:rFonts w:ascii="Arial" w:cs="Arial" w:eastAsia="Arial" w:hAnsi="Arial"/>
                <w:sz w:val="16"/>
                <w:szCs w:val="16"/>
                <w:color w:val="auto"/>
              </w:rPr>
              <w:t>U.S. Treasury securities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380" w:type="dxa"/>
            <w:vAlign w:val="bottom"/>
          </w:tcPr>
          <w:p>
            <w:pPr>
              <w:spacing w:after="0"/>
              <w:rPr>
                <w:sz w:val="20"/>
                <w:szCs w:val="20"/>
                <w:color w:val="auto"/>
              </w:rPr>
            </w:pPr>
            <w:r>
              <w:rPr>
                <w:rFonts w:ascii="Arial" w:cs="Arial" w:eastAsia="Arial" w:hAnsi="Arial"/>
                <w:sz w:val="16"/>
                <w:szCs w:val="16"/>
                <w:color w:val="auto"/>
              </w:rPr>
              <w:t>and obligations of U.S.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80" w:type="dxa"/>
            <w:vAlign w:val="bottom"/>
          </w:tcPr>
          <w:p>
            <w:pPr>
              <w:spacing w:after="0"/>
              <w:rPr>
                <w:sz w:val="20"/>
                <w:szCs w:val="20"/>
                <w:color w:val="auto"/>
              </w:rPr>
            </w:pPr>
            <w:r>
              <w:rPr>
                <w:rFonts w:ascii="Arial" w:cs="Arial" w:eastAsia="Arial" w:hAnsi="Arial"/>
                <w:sz w:val="16"/>
                <w:szCs w:val="16"/>
                <w:color w:val="auto"/>
              </w:rPr>
              <w:t>government corporations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and agencies</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Political subdivisions of</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tcPr>
          <w:p>
            <w:pPr>
              <w:spacing w:after="0"/>
              <w:rPr>
                <w:sz w:val="20"/>
                <w:szCs w:val="20"/>
                <w:color w:val="auto"/>
              </w:rPr>
            </w:pPr>
            <w:r>
              <w:rPr>
                <w:rFonts w:ascii="Arial" w:cs="Arial" w:eastAsia="Arial" w:hAnsi="Arial"/>
                <w:sz w:val="16"/>
                <w:szCs w:val="16"/>
                <w:color w:val="auto"/>
              </w:rPr>
              <w:t>States, Territories and</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Possessions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Corporate and other</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tcPr>
          <w:p>
            <w:pPr>
              <w:spacing w:after="0"/>
              <w:rPr>
                <w:sz w:val="20"/>
                <w:szCs w:val="20"/>
                <w:color w:val="auto"/>
              </w:rPr>
            </w:pPr>
            <w:r>
              <w:rPr>
                <w:rFonts w:ascii="Arial" w:cs="Arial" w:eastAsia="Arial" w:hAnsi="Arial"/>
                <w:sz w:val="16"/>
                <w:szCs w:val="16"/>
                <w:color w:val="auto"/>
              </w:rPr>
              <w:t>bonds industrial and</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miscellaneous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3,258,185</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(33,073)</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3,170,889</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(20,893)</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6,429,074</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(53,966)</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Residential mortgage and other</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380" w:type="dxa"/>
            <w:vAlign w:val="bottom"/>
          </w:tcPr>
          <w:p>
            <w:pPr>
              <w:spacing w:after="0"/>
              <w:rPr>
                <w:sz w:val="20"/>
                <w:szCs w:val="20"/>
                <w:color w:val="auto"/>
              </w:rPr>
            </w:pPr>
            <w:r>
              <w:rPr>
                <w:rFonts w:ascii="Arial" w:cs="Arial" w:eastAsia="Arial" w:hAnsi="Arial"/>
                <w:sz w:val="16"/>
                <w:szCs w:val="16"/>
                <w:color w:val="auto"/>
              </w:rPr>
              <w:t>asset backed securities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3,008,874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(19,924)</w:t>
            </w:r>
          </w:p>
        </w:tc>
        <w:tc>
          <w:tcPr>
            <w:tcW w:w="920" w:type="dxa"/>
            <w:vAlign w:val="bottom"/>
          </w:tcPr>
          <w:p>
            <w:pPr>
              <w:jc w:val="right"/>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7"/>
              </w:rPr>
              <w:t>15,596,316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(312,685)</w:t>
            </w:r>
          </w:p>
        </w:tc>
        <w:tc>
          <w:tcPr>
            <w:tcW w:w="920" w:type="dxa"/>
            <w:vAlign w:val="bottom"/>
          </w:tcPr>
          <w:p>
            <w:pPr>
              <w:jc w:val="right"/>
              <w:spacing w:after="0"/>
              <w:rPr>
                <w:sz w:val="20"/>
                <w:szCs w:val="20"/>
                <w:color w:val="auto"/>
              </w:rPr>
            </w:pPr>
            <w:r>
              <w:rPr>
                <w:rFonts w:ascii="Arial" w:cs="Arial" w:eastAsia="Arial" w:hAnsi="Arial"/>
                <w:sz w:val="16"/>
                <w:szCs w:val="16"/>
                <w:color w:val="auto"/>
              </w:rPr>
              <w:t>23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7"/>
              </w:rPr>
              <w:t>18,605,190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6"/>
                <w:szCs w:val="16"/>
                <w:color w:val="auto"/>
              </w:rPr>
              <w:t>(332,609)</w:t>
            </w:r>
          </w:p>
        </w:tc>
        <w:tc>
          <w:tcPr>
            <w:tcW w:w="0" w:type="dxa"/>
            <w:vAlign w:val="bottom"/>
          </w:tcPr>
          <w:p>
            <w:pPr>
              <w:spacing w:after="0"/>
              <w:rPr>
                <w:sz w:val="1"/>
                <w:szCs w:val="1"/>
                <w:color w:val="auto"/>
              </w:rPr>
            </w:pPr>
          </w:p>
        </w:tc>
      </w:tr>
      <w:tr>
        <w:trPr>
          <w:trHeight w:val="203"/>
        </w:trPr>
        <w:tc>
          <w:tcPr>
            <w:tcW w:w="2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tcPr>
          <w:p>
            <w:pPr>
              <w:spacing w:after="0"/>
              <w:rPr>
                <w:sz w:val="20"/>
                <w:szCs w:val="20"/>
                <w:color w:val="auto"/>
              </w:rPr>
            </w:pPr>
            <w:r>
              <w:rPr>
                <w:rFonts w:ascii="Arial" w:cs="Arial" w:eastAsia="Arial" w:hAnsi="Arial"/>
                <w:sz w:val="16"/>
                <w:szCs w:val="16"/>
                <w:color w:val="auto"/>
              </w:rPr>
              <w:t>Total fixed-maturity</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securities</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6,267,059</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(52,997)</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18,767,205</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(333,578)</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25,034,264</w:t>
            </w:r>
          </w:p>
        </w:tc>
        <w:tc>
          <w:tcPr>
            <w:tcW w:w="20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(386,575)</w:t>
            </w:r>
          </w:p>
        </w:tc>
        <w:tc>
          <w:tcPr>
            <w:tcW w:w="0" w:type="dxa"/>
            <w:vAlign w:val="bottom"/>
          </w:tcPr>
          <w:p>
            <w:pPr>
              <w:spacing w:after="0"/>
              <w:rPr>
                <w:sz w:val="1"/>
                <w:szCs w:val="1"/>
                <w:color w:val="auto"/>
              </w:rPr>
            </w:pPr>
          </w:p>
        </w:tc>
      </w:tr>
      <w:tr>
        <w:trPr>
          <w:trHeight w:val="547"/>
        </w:trPr>
        <w:tc>
          <w:tcPr>
            <w:tcW w:w="23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color w:val="auto"/>
                <w:w w:val="89"/>
              </w:rPr>
              <w:t>15</w:t>
            </w:r>
          </w:p>
        </w:tc>
        <w:tc>
          <w:tcPr>
            <w:tcW w:w="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36" w:right="239" w:bottom="1440" w:gutter="0" w:footer="0" w:header="0"/>
        </w:sectPr>
      </w:pPr>
    </w:p>
    <w:bookmarkStart w:id="17" w:name="page18"/>
    <w:bookmarkEnd w:id="17"/>
    <w:p>
      <w:pPr>
        <w:spacing w:after="0"/>
        <w:rPr>
          <w:sz w:val="20"/>
          <w:szCs w:val="20"/>
          <w:color w:val="auto"/>
        </w:rPr>
      </w:pPr>
      <w:r>
        <w:rPr>
          <w:rFonts w:ascii="Arial" w:cs="Arial" w:eastAsia="Arial" w:hAnsi="Arial"/>
          <w:sz w:val="16"/>
          <w:szCs w:val="16"/>
          <w:color w:val="auto"/>
        </w:rPr>
        <w:t>The Company held available-for-sale securities with unrealized losses representing declines that were considered temporary at December 31, 2018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4"/>
                <w:szCs w:val="14"/>
                <w:b w:val="1"/>
                <w:bCs w:val="1"/>
                <w:color w:val="auto"/>
              </w:rPr>
              <w:t>December 31, 2018</w:t>
            </w: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87"/>
              </w:rPr>
              <w:t>Less than 12 months</w:t>
            </w:r>
          </w:p>
        </w:tc>
        <w:tc>
          <w:tcPr>
            <w:tcW w:w="9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3"/>
              </w:rPr>
              <w:t>12 months or more</w:t>
            </w:r>
          </w:p>
        </w:tc>
        <w:tc>
          <w:tcPr>
            <w:tcW w:w="9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Total</w:t>
            </w:r>
          </w:p>
        </w:tc>
        <w:tc>
          <w:tcPr>
            <w:tcW w:w="8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center"/>
              <w:ind w:right="42"/>
              <w:spacing w:after="0"/>
              <w:rPr>
                <w:sz w:val="20"/>
                <w:szCs w:val="20"/>
                <w:color w:val="auto"/>
              </w:rPr>
            </w:pPr>
            <w:r>
              <w:rPr>
                <w:rFonts w:ascii="Arial" w:cs="Arial" w:eastAsia="Arial" w:hAnsi="Arial"/>
                <w:sz w:val="14"/>
                <w:szCs w:val="14"/>
                <w:b w:val="1"/>
                <w:bCs w:val="1"/>
                <w:color w:val="auto"/>
                <w:w w:val="89"/>
              </w:rPr>
              <w:t>Estimated</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0"/>
              </w:rPr>
              <w:t>No. of</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center"/>
              <w:ind w:right="2"/>
              <w:spacing w:after="0"/>
              <w:rPr>
                <w:sz w:val="20"/>
                <w:szCs w:val="20"/>
                <w:color w:val="auto"/>
              </w:rPr>
            </w:pPr>
            <w:r>
              <w:rPr>
                <w:rFonts w:ascii="Arial" w:cs="Arial" w:eastAsia="Arial" w:hAnsi="Arial"/>
                <w:sz w:val="14"/>
                <w:szCs w:val="14"/>
                <w:b w:val="1"/>
                <w:bCs w:val="1"/>
                <w:color w:val="auto"/>
                <w:w w:val="89"/>
              </w:rPr>
              <w:t>Estimated</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0"/>
              </w:rPr>
              <w:t>No. of</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Estimated</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3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Categor</w:t>
            </w:r>
            <w:r>
              <w:rPr>
                <w:rFonts w:ascii="Arial" w:cs="Arial" w:eastAsia="Arial" w:hAnsi="Arial"/>
                <w:sz w:val="16"/>
                <w:szCs w:val="16"/>
                <w:color w:val="auto"/>
              </w:rPr>
              <w:t>y</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center"/>
              <w:ind w:right="22"/>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Unrealized</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5"/>
              </w:rPr>
              <w:t>Positions</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center"/>
              <w:ind w:right="22"/>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Unrealized</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5"/>
              </w:rPr>
              <w:t>Positions</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217"/>
        </w:trPr>
        <w:tc>
          <w:tcPr>
            <w:tcW w:w="238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4"/>
                <w:szCs w:val="14"/>
                <w:b w:val="1"/>
                <w:bCs w:val="1"/>
                <w:color w:val="auto"/>
              </w:rPr>
              <w:t>Losses</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Held</w:t>
            </w: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4"/>
                <w:szCs w:val="14"/>
                <w:b w:val="1"/>
                <w:bCs w:val="1"/>
                <w:color w:val="auto"/>
              </w:rPr>
              <w:t>Losses</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Held</w:t>
            </w: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453"/>
        </w:trPr>
        <w:tc>
          <w:tcPr>
            <w:tcW w:w="2380" w:type="dxa"/>
            <w:vAlign w:val="bottom"/>
          </w:tcPr>
          <w:p>
            <w:pPr>
              <w:spacing w:after="0"/>
              <w:rPr>
                <w:sz w:val="20"/>
                <w:szCs w:val="20"/>
                <w:color w:val="auto"/>
              </w:rPr>
            </w:pPr>
            <w:r>
              <w:rPr>
                <w:rFonts w:ascii="Arial" w:cs="Arial" w:eastAsia="Arial" w:hAnsi="Arial"/>
                <w:sz w:val="16"/>
                <w:szCs w:val="16"/>
                <w:b w:val="1"/>
                <w:bCs w:val="1"/>
                <w:color w:val="auto"/>
              </w:rPr>
              <w:t>Fixed-Maturity Securities: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80" w:type="dxa"/>
            <w:vAlign w:val="bottom"/>
          </w:tcPr>
          <w:p>
            <w:pPr>
              <w:spacing w:after="0"/>
              <w:rPr>
                <w:sz w:val="20"/>
                <w:szCs w:val="20"/>
                <w:color w:val="auto"/>
              </w:rPr>
            </w:pPr>
            <w:r>
              <w:rPr>
                <w:rFonts w:ascii="Arial" w:cs="Arial" w:eastAsia="Arial" w:hAnsi="Arial"/>
                <w:sz w:val="16"/>
                <w:szCs w:val="16"/>
                <w:color w:val="auto"/>
              </w:rPr>
              <w:t>U.S. Treasury securities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380" w:type="dxa"/>
            <w:vAlign w:val="bottom"/>
          </w:tcPr>
          <w:p>
            <w:pPr>
              <w:ind w:left="40"/>
              <w:spacing w:after="0"/>
              <w:rPr>
                <w:sz w:val="20"/>
                <w:szCs w:val="20"/>
                <w:color w:val="auto"/>
              </w:rPr>
            </w:pPr>
            <w:r>
              <w:rPr>
                <w:rFonts w:ascii="Arial" w:cs="Arial" w:eastAsia="Arial" w:hAnsi="Arial"/>
                <w:sz w:val="16"/>
                <w:szCs w:val="16"/>
                <w:color w:val="auto"/>
              </w:rPr>
              <w:t>and obligations of U.S.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80" w:type="dxa"/>
            <w:vAlign w:val="bottom"/>
          </w:tcPr>
          <w:p>
            <w:pPr>
              <w:spacing w:after="0"/>
              <w:rPr>
                <w:sz w:val="20"/>
                <w:szCs w:val="20"/>
                <w:color w:val="auto"/>
              </w:rPr>
            </w:pPr>
            <w:r>
              <w:rPr>
                <w:rFonts w:ascii="Arial" w:cs="Arial" w:eastAsia="Arial" w:hAnsi="Arial"/>
                <w:sz w:val="16"/>
                <w:szCs w:val="16"/>
                <w:color w:val="auto"/>
              </w:rPr>
              <w:t>government corporations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and agencies</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4,948,530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(28,000)</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4,948,530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(28,000)</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Political subdivisions of</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tcPr>
          <w:p>
            <w:pPr>
              <w:ind w:left="40"/>
              <w:spacing w:after="0"/>
              <w:rPr>
                <w:sz w:val="20"/>
                <w:szCs w:val="20"/>
                <w:color w:val="auto"/>
              </w:rPr>
            </w:pPr>
            <w:r>
              <w:rPr>
                <w:rFonts w:ascii="Arial" w:cs="Arial" w:eastAsia="Arial" w:hAnsi="Arial"/>
                <w:sz w:val="16"/>
                <w:szCs w:val="16"/>
                <w:color w:val="auto"/>
              </w:rPr>
              <w:t>States, Territories and</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Possessions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555,375</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(12,327)</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1,436,242</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(36,508)</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1,991,617</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(48,835)</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and other</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tcPr>
          <w:p>
            <w:pPr>
              <w:ind w:left="40"/>
              <w:spacing w:after="0"/>
              <w:rPr>
                <w:sz w:val="20"/>
                <w:szCs w:val="20"/>
                <w:color w:val="auto"/>
              </w:rPr>
            </w:pPr>
            <w:r>
              <w:rPr>
                <w:rFonts w:ascii="Arial" w:cs="Arial" w:eastAsia="Arial" w:hAnsi="Arial"/>
                <w:sz w:val="16"/>
                <w:szCs w:val="16"/>
                <w:color w:val="auto"/>
              </w:rPr>
              <w:t>bonds industrial and</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miscellaneous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81,004,459</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(2,775,540)</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13,424,888</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(676,605)</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94,429,347</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(3,452,145)</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Residential mortgage and other</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380" w:type="dxa"/>
            <w:vAlign w:val="bottom"/>
          </w:tcPr>
          <w:p>
            <w:pPr>
              <w:ind w:left="40"/>
              <w:spacing w:after="0"/>
              <w:rPr>
                <w:sz w:val="20"/>
                <w:szCs w:val="20"/>
                <w:color w:val="auto"/>
              </w:rPr>
            </w:pPr>
            <w:r>
              <w:rPr>
                <w:rFonts w:ascii="Arial" w:cs="Arial" w:eastAsia="Arial" w:hAnsi="Arial"/>
                <w:sz w:val="16"/>
                <w:szCs w:val="16"/>
                <w:color w:val="auto"/>
              </w:rPr>
              <w:t>asset backed securities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7,002,713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(231,229)</w:t>
            </w:r>
          </w:p>
        </w:tc>
        <w:tc>
          <w:tcPr>
            <w:tcW w:w="920" w:type="dxa"/>
            <w:vAlign w:val="bottom"/>
          </w:tcPr>
          <w:p>
            <w:pPr>
              <w:jc w:val="right"/>
              <w:spacing w:after="0"/>
              <w:rPr>
                <w:sz w:val="20"/>
                <w:szCs w:val="20"/>
                <w:color w:val="auto"/>
              </w:rPr>
            </w:pPr>
            <w:r>
              <w:rPr>
                <w:rFonts w:ascii="Arial" w:cs="Arial" w:eastAsia="Arial" w:hAnsi="Arial"/>
                <w:sz w:val="16"/>
                <w:szCs w:val="16"/>
                <w:color w:val="auto"/>
              </w:rPr>
              <w:t>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7"/>
              </w:rPr>
              <w:t>11,928,425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(331,012)</w:t>
            </w:r>
          </w:p>
        </w:tc>
        <w:tc>
          <w:tcPr>
            <w:tcW w:w="920" w:type="dxa"/>
            <w:vAlign w:val="bottom"/>
          </w:tcPr>
          <w:p>
            <w:pPr>
              <w:jc w:val="right"/>
              <w:spacing w:after="0"/>
              <w:rPr>
                <w:sz w:val="20"/>
                <w:szCs w:val="20"/>
                <w:color w:val="auto"/>
              </w:rPr>
            </w:pPr>
            <w:r>
              <w:rPr>
                <w:rFonts w:ascii="Arial" w:cs="Arial" w:eastAsia="Arial" w:hAnsi="Arial"/>
                <w:sz w:val="16"/>
                <w:szCs w:val="16"/>
                <w:color w:val="auto"/>
              </w:rPr>
              <w:t>19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18,931,138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6"/>
                <w:szCs w:val="16"/>
                <w:color w:val="auto"/>
              </w:rPr>
              <w:t>(562,241)</w:t>
            </w:r>
          </w:p>
        </w:tc>
        <w:tc>
          <w:tcPr>
            <w:tcW w:w="0" w:type="dxa"/>
            <w:vAlign w:val="bottom"/>
          </w:tcPr>
          <w:p>
            <w:pPr>
              <w:spacing w:after="0"/>
              <w:rPr>
                <w:sz w:val="1"/>
                <w:szCs w:val="1"/>
                <w:color w:val="auto"/>
              </w:rPr>
            </w:pPr>
          </w:p>
        </w:tc>
      </w:tr>
      <w:tr>
        <w:trPr>
          <w:trHeight w:val="203"/>
        </w:trPr>
        <w:tc>
          <w:tcPr>
            <w:tcW w:w="2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tcPr>
          <w:p>
            <w:pPr>
              <w:ind w:left="40"/>
              <w:spacing w:after="0"/>
              <w:rPr>
                <w:sz w:val="20"/>
                <w:szCs w:val="20"/>
                <w:color w:val="auto"/>
              </w:rPr>
            </w:pPr>
            <w:r>
              <w:rPr>
                <w:rFonts w:ascii="Arial" w:cs="Arial" w:eastAsia="Arial" w:hAnsi="Arial"/>
                <w:sz w:val="16"/>
                <w:szCs w:val="16"/>
                <w:color w:val="auto"/>
              </w:rPr>
              <w:t>Total fixed-maturity</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securities</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93,511,077</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(3,047,096)</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26,789,555</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(1,044,125)</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120,300,632</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(4,091,221)</w:t>
            </w:r>
          </w:p>
        </w:tc>
        <w:tc>
          <w:tcPr>
            <w:tcW w:w="0" w:type="dxa"/>
            <w:vAlign w:val="bottom"/>
          </w:tcPr>
          <w:p>
            <w:pPr>
              <w:spacing w:after="0"/>
              <w:rPr>
                <w:sz w:val="1"/>
                <w:szCs w:val="1"/>
                <w:color w:val="auto"/>
              </w:rPr>
            </w:pPr>
          </w:p>
        </w:tc>
      </w:tr>
      <w:tr>
        <w:trPr>
          <w:trHeight w:val="623"/>
        </w:trPr>
        <w:tc>
          <w:tcPr>
            <w:tcW w:w="23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color w:val="auto"/>
                <w:w w:val="89"/>
              </w:rPr>
              <w:t>16</w:t>
            </w:r>
          </w:p>
        </w:tc>
        <w:tc>
          <w:tcPr>
            <w:tcW w:w="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85" w:right="23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color w:val="auto"/>
        </w:rPr>
        <w:t>Note 4 - Fair Value Measurements</w:t>
      </w:r>
    </w:p>
    <w:p>
      <w:pPr>
        <w:spacing w:after="0" w:line="225"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Fair value is the price that would be received upon sale of an asset or paid to transfer a liability in an orderly transaction between market participants at the measurement date. The valuation technique used by the Company to fair value its financial instruments is the market approach, which uses prices and other relevant information generated by market transactions involving identical or comparable assets.</w:t>
      </w:r>
    </w:p>
    <w:p>
      <w:pPr>
        <w:spacing w:after="0" w:line="167"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The fair value hierarchy gives the highest priority to quoted prices in active markets for identical assets or liabilities (Level 1) and the lowest priority to unobservable inputs (Level 3). If the inputs used to measure the assets or liabilities fall within different levels of the hierarchy, the classification is based on the lowest level input that is significant to the fair value measurement of the asset or liability. Classification of assets and liabilities within the hierarchy considers the markets in which the assets and liabilities are traded, including during period of market disruption, and the reliability and transparency of the assumptions used to determine fair value. The hierarchy requires the use of observable market data when available. The levels of the hierarchy and those investments included in each are as follows:</w:t>
      </w:r>
    </w:p>
    <w:p>
      <w:pPr>
        <w:spacing w:after="0" w:line="160" w:lineRule="exact"/>
        <w:rPr>
          <w:sz w:val="20"/>
          <w:szCs w:val="20"/>
          <w:color w:val="auto"/>
        </w:rPr>
      </w:pPr>
    </w:p>
    <w:p>
      <w:pPr>
        <w:jc w:val="both"/>
        <w:spacing w:after="0" w:line="280" w:lineRule="auto"/>
        <w:rPr>
          <w:sz w:val="20"/>
          <w:szCs w:val="20"/>
          <w:color w:val="auto"/>
        </w:rPr>
      </w:pPr>
      <w:r>
        <w:rPr>
          <w:rFonts w:ascii="Arial" w:cs="Arial" w:eastAsia="Arial" w:hAnsi="Arial"/>
          <w:sz w:val="16"/>
          <w:szCs w:val="16"/>
          <w:i w:val="1"/>
          <w:iCs w:val="1"/>
          <w:color w:val="auto"/>
        </w:rPr>
        <w:t>Level 1</w:t>
      </w:r>
      <w:r>
        <w:rPr>
          <w:rFonts w:ascii="Arial" w:cs="Arial" w:eastAsia="Arial" w:hAnsi="Arial"/>
          <w:sz w:val="16"/>
          <w:szCs w:val="16"/>
          <w:color w:val="auto"/>
        </w:rPr>
        <w:t>—Inputs to the valuation methodology are quoted prices (unadjusted) for identical assets or liabilities traded in active markets. Included are those investments traded</w:t>
      </w:r>
      <w:r>
        <w:rPr>
          <w:rFonts w:ascii="Arial" w:cs="Arial" w:eastAsia="Arial" w:hAnsi="Arial"/>
          <w:sz w:val="16"/>
          <w:szCs w:val="16"/>
          <w:i w:val="1"/>
          <w:iCs w:val="1"/>
          <w:color w:val="auto"/>
        </w:rPr>
        <w:t xml:space="preserve"> </w:t>
      </w:r>
      <w:r>
        <w:rPr>
          <w:rFonts w:ascii="Arial" w:cs="Arial" w:eastAsia="Arial" w:hAnsi="Arial"/>
          <w:sz w:val="16"/>
          <w:szCs w:val="16"/>
          <w:color w:val="auto"/>
        </w:rPr>
        <w:t>on an active exchange, such as the Nasdaq Global Select Market, U.S. Treasury securities and obligations of U.S. government agencies, together with corporate debt securities that are generally investment grade.</w:t>
      </w:r>
    </w:p>
    <w:p>
      <w:pPr>
        <w:spacing w:after="0" w:line="16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i w:val="1"/>
          <w:iCs w:val="1"/>
          <w:color w:val="auto"/>
        </w:rPr>
        <w:t>Level 2</w:t>
      </w:r>
      <w:r>
        <w:rPr>
          <w:rFonts w:ascii="Arial" w:cs="Arial" w:eastAsia="Arial" w:hAnsi="Arial"/>
          <w:sz w:val="16"/>
          <w:szCs w:val="16"/>
          <w:color w:val="auto"/>
        </w:rPr>
        <w:t>—Inputs to the valuation methodology include quoted prices for similar assets or liabilities in active markets, quoted prices for identical or similar assets or liabilities</w:t>
      </w:r>
      <w:r>
        <w:rPr>
          <w:rFonts w:ascii="Arial" w:cs="Arial" w:eastAsia="Arial" w:hAnsi="Arial"/>
          <w:sz w:val="16"/>
          <w:szCs w:val="16"/>
          <w:i w:val="1"/>
          <w:iCs w:val="1"/>
          <w:color w:val="auto"/>
        </w:rPr>
        <w:t xml:space="preserve"> </w:t>
      </w:r>
      <w:r>
        <w:rPr>
          <w:rFonts w:ascii="Arial" w:cs="Arial" w:eastAsia="Arial" w:hAnsi="Arial"/>
          <w:sz w:val="16"/>
          <w:szCs w:val="16"/>
          <w:color w:val="auto"/>
        </w:rPr>
        <w:t>in markets that are not active, inputs other than quoted prices that are observable for the asset or liability and market-corroborated inputs. Municipal and corporate bonds, and residential mortgage-backed securities, that are traded in less active markets are classified as Level 2. These securities are valued using market price quotations for recently executed transactions.</w:t>
      </w:r>
    </w:p>
    <w:p>
      <w:pPr>
        <w:spacing w:after="0" w:line="170" w:lineRule="exact"/>
        <w:rPr>
          <w:sz w:val="20"/>
          <w:szCs w:val="20"/>
          <w:color w:val="auto"/>
        </w:rPr>
      </w:pPr>
    </w:p>
    <w:p>
      <w:pPr>
        <w:jc w:val="both"/>
        <w:spacing w:after="0" w:line="280" w:lineRule="auto"/>
        <w:rPr>
          <w:sz w:val="20"/>
          <w:szCs w:val="20"/>
          <w:color w:val="auto"/>
        </w:rPr>
      </w:pPr>
      <w:r>
        <w:rPr>
          <w:rFonts w:ascii="Arial" w:cs="Arial" w:eastAsia="Arial" w:hAnsi="Arial"/>
          <w:sz w:val="16"/>
          <w:szCs w:val="16"/>
          <w:i w:val="1"/>
          <w:iCs w:val="1"/>
          <w:color w:val="auto"/>
        </w:rPr>
        <w:t>Level 3</w:t>
      </w:r>
      <w:r>
        <w:rPr>
          <w:rFonts w:ascii="Arial" w:cs="Arial" w:eastAsia="Arial" w:hAnsi="Arial"/>
          <w:sz w:val="16"/>
          <w:szCs w:val="16"/>
          <w:color w:val="auto"/>
        </w:rPr>
        <w:t>—Inputs to the valuation methodology are unobservable for the asset or liability and are significant to the fair value measurement. Material assumptions and factors</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considered in pricing investment securities and other assets may include appraisals, projected cash flows, market clearing activity or liquidity circumstances in the security or similar securities that may have occurred since the prior pricing period.</w:t>
      </w:r>
    </w:p>
    <w:p>
      <w:pPr>
        <w:spacing w:after="0" w:line="167"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The availability of observable inputs varies and is affected by a wide variety of factors. When the valuation is based on models or inputs that are less observable or unobservable in the market, the determination of fair value requires significantly more judgment. The degree of judgment exercised by management in determining fair value is greatest for investments categorized as Level 3. For investments in this category, the Company considers prices and inputs that are current as of the measurement date. In periods of market dislocation, as characterized by current market conditions, the ability to observe prices and inputs may be reduced for many instruments. This condition could cause a security to be reclassified between levels.</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532" w:right="239" w:bottom="1440" w:gutter="0" w:footer="0" w:header="0"/>
        </w:sectPr>
      </w:pPr>
    </w:p>
    <w:bookmarkStart w:id="19" w:name="page20"/>
    <w:bookmarkEnd w:id="19"/>
    <w:p>
      <w:pPr>
        <w:spacing w:after="0" w:line="296" w:lineRule="auto"/>
        <w:rPr>
          <w:sz w:val="20"/>
          <w:szCs w:val="20"/>
          <w:color w:val="auto"/>
        </w:rPr>
      </w:pPr>
      <w:r>
        <w:rPr>
          <w:rFonts w:ascii="Arial" w:cs="Arial" w:eastAsia="Arial" w:hAnsi="Arial"/>
          <w:sz w:val="16"/>
          <w:szCs w:val="16"/>
          <w:color w:val="auto"/>
        </w:rPr>
        <w:t>The following table presents information about the Company’s investments that are measured at fair value on a recurring basis at September 30, 2019 and December 31, 2018 indicating the fair value hierarchy of the valuation inputs the Company utilized to determine such fair value: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4"/>
                <w:szCs w:val="14"/>
                <w:b w:val="1"/>
                <w:bCs w:val="1"/>
                <w:color w:val="auto"/>
              </w:rPr>
              <w:t>September 30, 2019</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3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20"/>
                <w:szCs w:val="20"/>
                <w:color w:val="auto"/>
              </w:rPr>
            </w:pPr>
          </w:p>
        </w:tc>
        <w:tc>
          <w:tcPr>
            <w:tcW w:w="920" w:type="dxa"/>
            <w:vAlign w:val="bottom"/>
          </w:tcPr>
          <w:p>
            <w:pPr>
              <w:jc w:val="right"/>
              <w:ind w:right="7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53"/>
        </w:trPr>
        <w:tc>
          <w:tcPr>
            <w:tcW w:w="43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Fixed-maturity securities available-for-sale</w:t>
            </w:r>
          </w:p>
        </w:tc>
        <w:tc>
          <w:tcPr>
            <w:tcW w:w="16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320" w:type="dxa"/>
            <w:vAlign w:val="bottom"/>
          </w:tcPr>
          <w:p>
            <w:pPr>
              <w:ind w:left="40"/>
              <w:spacing w:after="0"/>
              <w:rPr>
                <w:sz w:val="20"/>
                <w:szCs w:val="20"/>
                <w:color w:val="auto"/>
              </w:rPr>
            </w:pPr>
            <w:r>
              <w:rPr>
                <w:rFonts w:ascii="Arial" w:cs="Arial" w:eastAsia="Arial" w:hAnsi="Arial"/>
                <w:sz w:val="16"/>
                <w:szCs w:val="16"/>
                <w:color w:val="auto"/>
              </w:rPr>
              <w:t>U.S. Treasury securities</w:t>
            </w:r>
          </w:p>
        </w:tc>
        <w:tc>
          <w:tcPr>
            <w:tcW w:w="1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320" w:type="dxa"/>
            <w:vAlign w:val="bottom"/>
          </w:tcPr>
          <w:p>
            <w:pPr>
              <w:ind w:left="40"/>
              <w:spacing w:after="0"/>
              <w:rPr>
                <w:sz w:val="20"/>
                <w:szCs w:val="20"/>
                <w:color w:val="auto"/>
              </w:rPr>
            </w:pPr>
            <w:r>
              <w:rPr>
                <w:rFonts w:ascii="Arial" w:cs="Arial" w:eastAsia="Arial" w:hAnsi="Arial"/>
                <w:sz w:val="16"/>
                <w:szCs w:val="16"/>
                <w:color w:val="auto"/>
              </w:rPr>
              <w:t>and obligations of U.S.</w:t>
            </w:r>
          </w:p>
        </w:tc>
        <w:tc>
          <w:tcPr>
            <w:tcW w:w="1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40"/>
              <w:spacing w:after="0"/>
              <w:rPr>
                <w:sz w:val="20"/>
                <w:szCs w:val="20"/>
                <w:color w:val="auto"/>
              </w:rPr>
            </w:pPr>
            <w:r>
              <w:rPr>
                <w:rFonts w:ascii="Arial" w:cs="Arial" w:eastAsia="Arial" w:hAnsi="Arial"/>
                <w:sz w:val="16"/>
                <w:szCs w:val="16"/>
                <w:color w:val="auto"/>
              </w:rPr>
              <w:t>government corporations</w:t>
            </w:r>
          </w:p>
        </w:tc>
        <w:tc>
          <w:tcPr>
            <w:tcW w:w="1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4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and agencies</w:t>
            </w:r>
          </w:p>
        </w:tc>
        <w:tc>
          <w:tcPr>
            <w:tcW w:w="19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8,399,552</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770"/>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8,399,552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Political subdivisions of</w:t>
            </w:r>
          </w:p>
        </w:tc>
        <w:tc>
          <w:tcPr>
            <w:tcW w:w="164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ind w:left="40"/>
              <w:spacing w:after="0"/>
              <w:rPr>
                <w:sz w:val="20"/>
                <w:szCs w:val="20"/>
                <w:color w:val="auto"/>
              </w:rPr>
            </w:pPr>
            <w:r>
              <w:rPr>
                <w:rFonts w:ascii="Arial" w:cs="Arial" w:eastAsia="Arial" w:hAnsi="Arial"/>
                <w:sz w:val="16"/>
                <w:szCs w:val="16"/>
                <w:color w:val="auto"/>
              </w:rPr>
              <w:t>States, Territories and</w:t>
            </w:r>
          </w:p>
        </w:tc>
        <w:tc>
          <w:tcPr>
            <w:tcW w:w="1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Possessions</w:t>
            </w:r>
          </w:p>
        </w:tc>
        <w:tc>
          <w:tcPr>
            <w:tcW w:w="164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5,850,005</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5,850,005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and other</w:t>
            </w:r>
          </w:p>
        </w:tc>
        <w:tc>
          <w:tcPr>
            <w:tcW w:w="164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ind w:left="40"/>
              <w:spacing w:after="0"/>
              <w:rPr>
                <w:sz w:val="20"/>
                <w:szCs w:val="20"/>
                <w:color w:val="auto"/>
              </w:rPr>
            </w:pPr>
            <w:r>
              <w:rPr>
                <w:rFonts w:ascii="Arial" w:cs="Arial" w:eastAsia="Arial" w:hAnsi="Arial"/>
                <w:sz w:val="16"/>
                <w:szCs w:val="16"/>
                <w:color w:val="auto"/>
              </w:rPr>
              <w:t>bonds industrial and</w:t>
            </w:r>
          </w:p>
        </w:tc>
        <w:tc>
          <w:tcPr>
            <w:tcW w:w="1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miscellaneous</w:t>
            </w:r>
          </w:p>
        </w:tc>
        <w:tc>
          <w:tcPr>
            <w:tcW w:w="164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127,148,873</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3,119,921</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130,268,794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Residential mortgage backed securities</w:t>
            </w:r>
          </w:p>
        </w:tc>
        <w:tc>
          <w:tcPr>
            <w:tcW w:w="164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21,702,361</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21,702,361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43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320" w:type="dxa"/>
            <w:vAlign w:val="bottom"/>
          </w:tcPr>
          <w:p>
            <w:pPr>
              <w:ind w:left="40"/>
              <w:spacing w:after="0"/>
              <w:rPr>
                <w:sz w:val="20"/>
                <w:szCs w:val="20"/>
                <w:color w:val="auto"/>
              </w:rPr>
            </w:pPr>
            <w:r>
              <w:rPr>
                <w:rFonts w:ascii="Arial" w:cs="Arial" w:eastAsia="Arial" w:hAnsi="Arial"/>
                <w:sz w:val="16"/>
                <w:szCs w:val="16"/>
                <w:color w:val="auto"/>
              </w:rPr>
              <w:t>Total fixed maturities</w:t>
            </w:r>
          </w:p>
        </w:tc>
        <w:tc>
          <w:tcPr>
            <w:tcW w:w="1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135,548,425</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30,672,287</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w w:val="98"/>
              </w:rPr>
              <w:t>166,220,712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Equity securities</w:t>
            </w:r>
          </w:p>
        </w:tc>
        <w:tc>
          <w:tcPr>
            <w:tcW w:w="164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23,499,199</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23,499,199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43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320" w:type="dxa"/>
            <w:vAlign w:val="bottom"/>
          </w:tcPr>
          <w:p>
            <w:pPr>
              <w:ind w:left="40"/>
              <w:spacing w:after="0"/>
              <w:rPr>
                <w:sz w:val="20"/>
                <w:szCs w:val="20"/>
                <w:color w:val="auto"/>
              </w:rPr>
            </w:pPr>
            <w:r>
              <w:rPr>
                <w:rFonts w:ascii="Arial" w:cs="Arial" w:eastAsia="Arial" w:hAnsi="Arial"/>
                <w:sz w:val="16"/>
                <w:szCs w:val="16"/>
                <w:color w:val="auto"/>
              </w:rPr>
              <w:t>Total investments</w:t>
            </w:r>
          </w:p>
        </w:tc>
        <w:tc>
          <w:tcPr>
            <w:tcW w:w="194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159,047,624</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30,672,287</w:t>
            </w:r>
          </w:p>
        </w:tc>
        <w:tc>
          <w:tcPr>
            <w:tcW w:w="1040" w:type="dxa"/>
            <w:vAlign w:val="bottom"/>
            <w:gridSpan w:val="2"/>
          </w:tcPr>
          <w:p>
            <w:pPr>
              <w:jc w:val="right"/>
              <w:ind w:right="770"/>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w w:val="98"/>
              </w:rPr>
              <w:t>189,719,911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4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4"/>
                <w:szCs w:val="14"/>
                <w:b w:val="1"/>
                <w:bCs w:val="1"/>
                <w:color w:val="auto"/>
              </w:rPr>
              <w:t>December 31, 2018</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43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20"/>
                <w:szCs w:val="20"/>
                <w:color w:val="auto"/>
              </w:rPr>
            </w:pPr>
          </w:p>
        </w:tc>
        <w:tc>
          <w:tcPr>
            <w:tcW w:w="920" w:type="dxa"/>
            <w:vAlign w:val="bottom"/>
          </w:tcPr>
          <w:p>
            <w:pPr>
              <w:jc w:val="right"/>
              <w:ind w:right="7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53"/>
        </w:trPr>
        <w:tc>
          <w:tcPr>
            <w:tcW w:w="43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Fixed-maturity securities available-for-sale</w:t>
            </w:r>
          </w:p>
        </w:tc>
        <w:tc>
          <w:tcPr>
            <w:tcW w:w="16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320" w:type="dxa"/>
            <w:vAlign w:val="bottom"/>
          </w:tcPr>
          <w:p>
            <w:pPr>
              <w:ind w:left="40"/>
              <w:spacing w:after="0"/>
              <w:rPr>
                <w:sz w:val="20"/>
                <w:szCs w:val="20"/>
                <w:color w:val="auto"/>
              </w:rPr>
            </w:pPr>
            <w:r>
              <w:rPr>
                <w:rFonts w:ascii="Arial" w:cs="Arial" w:eastAsia="Arial" w:hAnsi="Arial"/>
                <w:sz w:val="16"/>
                <w:szCs w:val="16"/>
                <w:color w:val="auto"/>
              </w:rPr>
              <w:t>U.S. Treasury securities</w:t>
            </w:r>
          </w:p>
        </w:tc>
        <w:tc>
          <w:tcPr>
            <w:tcW w:w="1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320" w:type="dxa"/>
            <w:vAlign w:val="bottom"/>
          </w:tcPr>
          <w:p>
            <w:pPr>
              <w:ind w:left="40"/>
              <w:spacing w:after="0"/>
              <w:rPr>
                <w:sz w:val="20"/>
                <w:szCs w:val="20"/>
                <w:color w:val="auto"/>
              </w:rPr>
            </w:pPr>
            <w:r>
              <w:rPr>
                <w:rFonts w:ascii="Arial" w:cs="Arial" w:eastAsia="Arial" w:hAnsi="Arial"/>
                <w:sz w:val="16"/>
                <w:szCs w:val="16"/>
                <w:color w:val="auto"/>
              </w:rPr>
              <w:t>and obligations of U.S.</w:t>
            </w:r>
          </w:p>
        </w:tc>
        <w:tc>
          <w:tcPr>
            <w:tcW w:w="1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40"/>
              <w:spacing w:after="0"/>
              <w:rPr>
                <w:sz w:val="20"/>
                <w:szCs w:val="20"/>
                <w:color w:val="auto"/>
              </w:rPr>
            </w:pPr>
            <w:r>
              <w:rPr>
                <w:rFonts w:ascii="Arial" w:cs="Arial" w:eastAsia="Arial" w:hAnsi="Arial"/>
                <w:sz w:val="16"/>
                <w:szCs w:val="16"/>
                <w:color w:val="auto"/>
              </w:rPr>
              <w:t>government corporations</w:t>
            </w:r>
          </w:p>
        </w:tc>
        <w:tc>
          <w:tcPr>
            <w:tcW w:w="1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4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and agencies</w:t>
            </w:r>
          </w:p>
        </w:tc>
        <w:tc>
          <w:tcPr>
            <w:tcW w:w="19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8,220,381</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770"/>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8,220,381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Political subdivisions of</w:t>
            </w:r>
          </w:p>
        </w:tc>
        <w:tc>
          <w:tcPr>
            <w:tcW w:w="164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ind w:left="40"/>
              <w:spacing w:after="0"/>
              <w:rPr>
                <w:sz w:val="20"/>
                <w:szCs w:val="20"/>
                <w:color w:val="auto"/>
              </w:rPr>
            </w:pPr>
            <w:r>
              <w:rPr>
                <w:rFonts w:ascii="Arial" w:cs="Arial" w:eastAsia="Arial" w:hAnsi="Arial"/>
                <w:sz w:val="16"/>
                <w:szCs w:val="16"/>
                <w:color w:val="auto"/>
              </w:rPr>
              <w:t>States, Territories and</w:t>
            </w:r>
          </w:p>
        </w:tc>
        <w:tc>
          <w:tcPr>
            <w:tcW w:w="1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Possessions</w:t>
            </w:r>
          </w:p>
        </w:tc>
        <w:tc>
          <w:tcPr>
            <w:tcW w:w="164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6,341,608</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6,341,608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and other</w:t>
            </w:r>
          </w:p>
        </w:tc>
        <w:tc>
          <w:tcPr>
            <w:tcW w:w="164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ind w:left="40"/>
              <w:spacing w:after="0"/>
              <w:rPr>
                <w:sz w:val="20"/>
                <w:szCs w:val="20"/>
                <w:color w:val="auto"/>
              </w:rPr>
            </w:pPr>
            <w:r>
              <w:rPr>
                <w:rFonts w:ascii="Arial" w:cs="Arial" w:eastAsia="Arial" w:hAnsi="Arial"/>
                <w:sz w:val="16"/>
                <w:szCs w:val="16"/>
                <w:color w:val="auto"/>
              </w:rPr>
              <w:t>bonds industrial and</w:t>
            </w:r>
          </w:p>
        </w:tc>
        <w:tc>
          <w:tcPr>
            <w:tcW w:w="1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miscellaneous</w:t>
            </w:r>
          </w:p>
        </w:tc>
        <w:tc>
          <w:tcPr>
            <w:tcW w:w="164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112,076,270</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3,674,023</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115,750,293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Residential mortgage backed securities</w:t>
            </w:r>
          </w:p>
        </w:tc>
        <w:tc>
          <w:tcPr>
            <w:tcW w:w="164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21,465,234</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21,465,234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43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320" w:type="dxa"/>
            <w:vAlign w:val="bottom"/>
          </w:tcPr>
          <w:p>
            <w:pPr>
              <w:ind w:left="40"/>
              <w:spacing w:after="0"/>
              <w:rPr>
                <w:sz w:val="20"/>
                <w:szCs w:val="20"/>
                <w:color w:val="auto"/>
              </w:rPr>
            </w:pPr>
            <w:r>
              <w:rPr>
                <w:rFonts w:ascii="Arial" w:cs="Arial" w:eastAsia="Arial" w:hAnsi="Arial"/>
                <w:sz w:val="16"/>
                <w:szCs w:val="16"/>
                <w:color w:val="auto"/>
              </w:rPr>
              <w:t>Total fixed maturities</w:t>
            </w:r>
          </w:p>
        </w:tc>
        <w:tc>
          <w:tcPr>
            <w:tcW w:w="1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120,296,651</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31,480,865</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w w:val="98"/>
              </w:rPr>
              <w:t>151,777,516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Equity securities</w:t>
            </w:r>
          </w:p>
        </w:tc>
        <w:tc>
          <w:tcPr>
            <w:tcW w:w="164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16,572,616</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16,572,616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43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320" w:type="dxa"/>
            <w:vAlign w:val="bottom"/>
          </w:tcPr>
          <w:p>
            <w:pPr>
              <w:ind w:left="40"/>
              <w:spacing w:after="0"/>
              <w:rPr>
                <w:sz w:val="20"/>
                <w:szCs w:val="20"/>
                <w:color w:val="auto"/>
              </w:rPr>
            </w:pPr>
            <w:r>
              <w:rPr>
                <w:rFonts w:ascii="Arial" w:cs="Arial" w:eastAsia="Arial" w:hAnsi="Arial"/>
                <w:sz w:val="16"/>
                <w:szCs w:val="16"/>
                <w:color w:val="auto"/>
              </w:rPr>
              <w:t>Total investments</w:t>
            </w:r>
          </w:p>
        </w:tc>
        <w:tc>
          <w:tcPr>
            <w:tcW w:w="194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136,869,267</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31,480,865</w:t>
            </w:r>
          </w:p>
        </w:tc>
        <w:tc>
          <w:tcPr>
            <w:tcW w:w="1040" w:type="dxa"/>
            <w:vAlign w:val="bottom"/>
            <w:gridSpan w:val="2"/>
          </w:tcPr>
          <w:p>
            <w:pPr>
              <w:jc w:val="right"/>
              <w:ind w:right="770"/>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w w:val="98"/>
              </w:rPr>
              <w:t>168,350,132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640" w:type="dxa"/>
            <w:vAlign w:val="bottom"/>
            <w:vMerge w:val="restart"/>
          </w:tcPr>
          <w:p>
            <w:pPr>
              <w:jc w:val="right"/>
              <w:ind w:right="78"/>
              <w:spacing w:after="0"/>
              <w:rPr>
                <w:sz w:val="20"/>
                <w:szCs w:val="20"/>
                <w:color w:val="auto"/>
              </w:rPr>
            </w:pPr>
            <w:r>
              <w:rPr>
                <w:rFonts w:ascii="Arial" w:cs="Arial" w:eastAsia="Arial" w:hAnsi="Arial"/>
                <w:sz w:val="16"/>
                <w:szCs w:val="16"/>
                <w:color w:val="auto"/>
              </w:rPr>
              <w:t>18</w:t>
            </w: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4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11" w:right="239" w:bottom="1440" w:gutter="0" w:footer="0" w:header="0"/>
        </w:sectPr>
      </w:pPr>
    </w:p>
    <w:bookmarkStart w:id="20" w:name="page21"/>
    <w:bookmarkEnd w:id="20"/>
    <w:p>
      <w:pPr>
        <w:jc w:val="both"/>
        <w:spacing w:after="0" w:line="275" w:lineRule="auto"/>
        <w:rPr>
          <w:sz w:val="20"/>
          <w:szCs w:val="20"/>
          <w:color w:val="auto"/>
        </w:rPr>
      </w:pPr>
      <w:r>
        <w:rPr>
          <w:rFonts w:ascii="Arial" w:cs="Arial" w:eastAsia="Arial" w:hAnsi="Arial"/>
          <w:sz w:val="16"/>
          <w:szCs w:val="16"/>
          <w:color w:val="auto"/>
        </w:rPr>
        <w:t>Pursuant to ASC 820 “Fair Value Measurement,” an entity is permitted, as a practical expedient, to estimate the fair value of an investment within the scope of ASC 820 using the net asset value (“NAV”) per share of the investment. The following table sets forth the Company’s investment in a hedge fund measured at NAV per share as of September 30, 2019 and December 31, 2018. The Company measures this investment at fair value on a recurring basis. Fair value using NAV per share is as follows as of the dates indicated: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20" w:type="dxa"/>
            <w:vAlign w:val="bottom"/>
            <w:vMerge w:val="restart"/>
          </w:tcPr>
          <w:p>
            <w:pPr>
              <w:spacing w:after="0"/>
              <w:rPr>
                <w:sz w:val="20"/>
                <w:szCs w:val="20"/>
                <w:color w:val="auto"/>
              </w:rPr>
            </w:pPr>
            <w:r>
              <w:rPr>
                <w:rFonts w:ascii="Arial" w:cs="Arial" w:eastAsia="Arial" w:hAnsi="Arial"/>
                <w:sz w:val="16"/>
                <w:szCs w:val="16"/>
                <w:b w:val="1"/>
                <w:bCs w:val="1"/>
                <w:color w:val="auto"/>
              </w:rPr>
              <w:t>Categor</w:t>
            </w:r>
            <w:r>
              <w:rPr>
                <w:rFonts w:ascii="Arial" w:cs="Arial" w:eastAsia="Arial" w:hAnsi="Arial"/>
                <w:sz w:val="16"/>
                <w:szCs w:val="16"/>
                <w:color w:val="auto"/>
              </w:rPr>
              <w:t>y</w:t>
            </w:r>
          </w:p>
        </w:tc>
        <w:tc>
          <w:tcPr>
            <w:tcW w:w="100" w:type="dxa"/>
            <w:vAlign w:val="bottom"/>
          </w:tcPr>
          <w:p>
            <w:pPr>
              <w:spacing w:after="0"/>
              <w:rPr>
                <w:sz w:val="14"/>
                <w:szCs w:val="14"/>
                <w:color w:val="auto"/>
              </w:rPr>
            </w:pPr>
          </w:p>
        </w:tc>
        <w:tc>
          <w:tcPr>
            <w:tcW w:w="1000" w:type="dxa"/>
            <w:vAlign w:val="bottom"/>
          </w:tcPr>
          <w:p>
            <w:pPr>
              <w:jc w:val="right"/>
              <w:ind w:right="44"/>
              <w:spacing w:after="0"/>
              <w:rPr>
                <w:sz w:val="20"/>
                <w:szCs w:val="20"/>
                <w:color w:val="auto"/>
              </w:rPr>
            </w:pPr>
            <w:r>
              <w:rPr>
                <w:rFonts w:ascii="Arial" w:cs="Arial" w:eastAsia="Arial" w:hAnsi="Arial"/>
                <w:sz w:val="14"/>
                <w:szCs w:val="14"/>
                <w:b w:val="1"/>
                <w:bCs w:val="1"/>
                <w:color w:val="auto"/>
                <w:w w:val="89"/>
              </w:rPr>
              <w:t>September 30,</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1"/>
        </w:trPr>
        <w:tc>
          <w:tcPr>
            <w:tcW w:w="88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55"/>
        </w:trPr>
        <w:tc>
          <w:tcPr>
            <w:tcW w:w="8820" w:type="dxa"/>
            <w:vAlign w:val="bottom"/>
          </w:tcPr>
          <w:p>
            <w:pPr>
              <w:ind w:left="40"/>
              <w:spacing w:after="0"/>
              <w:rPr>
                <w:sz w:val="20"/>
                <w:szCs w:val="20"/>
                <w:color w:val="auto"/>
              </w:rPr>
            </w:pPr>
            <w:r>
              <w:rPr>
                <w:rFonts w:ascii="Arial" w:cs="Arial" w:eastAsia="Arial" w:hAnsi="Arial"/>
                <w:sz w:val="16"/>
                <w:szCs w:val="16"/>
                <w:b w:val="1"/>
                <w:bCs w:val="1"/>
                <w:color w:val="auto"/>
              </w:rPr>
              <w:t>Other Investments:</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8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Hedge fund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2,425,904</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1,855,225</w:t>
            </w:r>
          </w:p>
        </w:tc>
        <w:tc>
          <w:tcPr>
            <w:tcW w:w="0" w:type="dxa"/>
            <w:vAlign w:val="bottom"/>
          </w:tcPr>
          <w:p>
            <w:pPr>
              <w:spacing w:after="0"/>
              <w:rPr>
                <w:sz w:val="1"/>
                <w:szCs w:val="1"/>
                <w:color w:val="auto"/>
              </w:rPr>
            </w:pPr>
          </w:p>
        </w:tc>
      </w:tr>
      <w:tr>
        <w:trPr>
          <w:trHeight w:val="25"/>
        </w:trPr>
        <w:tc>
          <w:tcPr>
            <w:tcW w:w="88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820" w:type="dxa"/>
            <w:vAlign w:val="bottom"/>
          </w:tcPr>
          <w:p>
            <w:pPr>
              <w:ind w:left="40"/>
              <w:spacing w:after="0"/>
              <w:rPr>
                <w:sz w:val="20"/>
                <w:szCs w:val="20"/>
                <w:color w:val="auto"/>
              </w:rPr>
            </w:pPr>
            <w:r>
              <w:rPr>
                <w:rFonts w:ascii="Arial" w:cs="Arial" w:eastAsia="Arial" w:hAnsi="Arial"/>
                <w:sz w:val="16"/>
                <w:szCs w:val="16"/>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2,425,904</w:t>
            </w:r>
          </w:p>
        </w:tc>
        <w:tc>
          <w:tcPr>
            <w:tcW w:w="3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1,855,225</w:t>
            </w: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7"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The investment is generally redeemable with at least 45 days prior written notice. The hedge fund investment is accounted for as a limited partnership by the Company. Income is earned based upon the Company’s allocated share of the partnership's changes in unrealized gains and losses to its partners. Such amounts have been recorded in the condensed consolidated statements of operations and comprehensive income (loss) within net gains (losses) on investments.</w:t>
      </w:r>
    </w:p>
    <w:p>
      <w:pPr>
        <w:spacing w:after="0" w:line="14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estimated fair value and the level of the fair value hierarchy of the Company’s long-term debt as of September 30, 2019 and December 31, 2018 not measured at fair value is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September 30, 2019</w:t>
            </w:r>
          </w:p>
        </w:tc>
        <w:tc>
          <w:tcPr>
            <w:tcW w:w="3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08"/>
        </w:trPr>
        <w:tc>
          <w:tcPr>
            <w:tcW w:w="358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Level 2</w:t>
            </w:r>
          </w:p>
        </w:tc>
        <w:tc>
          <w:tcPr>
            <w:tcW w:w="104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Level 3</w:t>
            </w:r>
          </w:p>
        </w:tc>
        <w:tc>
          <w:tcPr>
            <w:tcW w:w="3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Total</w:t>
            </w:r>
          </w:p>
        </w:tc>
      </w:tr>
      <w:tr>
        <w:trPr>
          <w:trHeight w:val="225"/>
        </w:trPr>
        <w:tc>
          <w:tcPr>
            <w:tcW w:w="3580" w:type="dxa"/>
            <w:vAlign w:val="bottom"/>
          </w:tcPr>
          <w:p>
            <w:pPr>
              <w:ind w:left="40"/>
              <w:spacing w:after="0"/>
              <w:rPr>
                <w:sz w:val="20"/>
                <w:szCs w:val="20"/>
                <w:color w:val="auto"/>
              </w:rPr>
            </w:pPr>
            <w:r>
              <w:rPr>
                <w:rFonts w:ascii="Arial" w:cs="Arial" w:eastAsia="Arial" w:hAnsi="Arial"/>
                <w:sz w:val="16"/>
                <w:szCs w:val="16"/>
                <w:b w:val="1"/>
                <w:bCs w:val="1"/>
                <w:color w:val="auto"/>
              </w:rPr>
              <w:t>Long-term debt</w:t>
            </w:r>
          </w:p>
        </w:tc>
        <w:tc>
          <w:tcPr>
            <w:tcW w:w="2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1"/>
        </w:trPr>
        <w:tc>
          <w:tcPr>
            <w:tcW w:w="35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3"/>
        </w:trPr>
        <w:tc>
          <w:tcPr>
            <w:tcW w:w="3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Senior Notes due 2022</w:t>
            </w:r>
          </w:p>
        </w:tc>
        <w:tc>
          <w:tcPr>
            <w:tcW w:w="3420" w:type="dxa"/>
            <w:vAlign w:val="bottom"/>
            <w:gridSpan w:val="2"/>
            <w:shd w:val="clear" w:color="auto" w:fill="CCEEFF"/>
          </w:tcPr>
          <w:p>
            <w:pPr>
              <w:jc w:val="right"/>
              <w:ind w:right="75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27,310,623</w:t>
            </w:r>
          </w:p>
        </w:tc>
        <w:tc>
          <w:tcPr>
            <w:tcW w:w="1040" w:type="dxa"/>
            <w:vAlign w:val="bottom"/>
            <w:shd w:val="clear" w:color="auto" w:fill="CCEEFF"/>
          </w:tcPr>
          <w:p>
            <w:pPr>
              <w:jc w:val="right"/>
              <w:ind w:right="764"/>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27,310,623</w:t>
            </w:r>
          </w:p>
        </w:tc>
        <w:tc>
          <w:tcPr>
            <w:tcW w:w="100" w:type="dxa"/>
            <w:vAlign w:val="bottom"/>
            <w:shd w:val="clear" w:color="auto" w:fill="CCEEFF"/>
          </w:tcPr>
          <w:p>
            <w:pPr>
              <w:spacing w:after="0"/>
              <w:rPr>
                <w:sz w:val="17"/>
                <w:szCs w:val="17"/>
                <w:color w:val="auto"/>
              </w:rPr>
            </w:pPr>
          </w:p>
        </w:tc>
      </w:tr>
      <w:tr>
        <w:trPr>
          <w:trHeight w:val="639"/>
        </w:trPr>
        <w:tc>
          <w:tcPr>
            <w:tcW w:w="35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December 31, 2018</w:t>
            </w:r>
          </w:p>
        </w:tc>
        <w:tc>
          <w:tcPr>
            <w:tcW w:w="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3"/>
        </w:trPr>
        <w:tc>
          <w:tcPr>
            <w:tcW w:w="358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Level 2</w:t>
            </w:r>
          </w:p>
        </w:tc>
        <w:tc>
          <w:tcPr>
            <w:tcW w:w="104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Level 3</w:t>
            </w:r>
          </w:p>
        </w:tc>
        <w:tc>
          <w:tcPr>
            <w:tcW w:w="3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Total</w:t>
            </w:r>
          </w:p>
        </w:tc>
      </w:tr>
      <w:tr>
        <w:trPr>
          <w:trHeight w:val="225"/>
        </w:trPr>
        <w:tc>
          <w:tcPr>
            <w:tcW w:w="3580" w:type="dxa"/>
            <w:vAlign w:val="bottom"/>
          </w:tcPr>
          <w:p>
            <w:pPr>
              <w:ind w:left="40"/>
              <w:spacing w:after="0"/>
              <w:rPr>
                <w:sz w:val="20"/>
                <w:szCs w:val="20"/>
                <w:color w:val="auto"/>
              </w:rPr>
            </w:pPr>
            <w:r>
              <w:rPr>
                <w:rFonts w:ascii="Arial" w:cs="Arial" w:eastAsia="Arial" w:hAnsi="Arial"/>
                <w:sz w:val="16"/>
                <w:szCs w:val="16"/>
                <w:b w:val="1"/>
                <w:bCs w:val="1"/>
                <w:color w:val="auto"/>
              </w:rPr>
              <w:t>Long-term debt</w:t>
            </w:r>
          </w:p>
        </w:tc>
        <w:tc>
          <w:tcPr>
            <w:tcW w:w="2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1"/>
        </w:trPr>
        <w:tc>
          <w:tcPr>
            <w:tcW w:w="35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3"/>
        </w:trPr>
        <w:tc>
          <w:tcPr>
            <w:tcW w:w="3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Senior Notes due 2022</w:t>
            </w:r>
          </w:p>
        </w:tc>
        <w:tc>
          <w:tcPr>
            <w:tcW w:w="3420" w:type="dxa"/>
            <w:vAlign w:val="bottom"/>
            <w:gridSpan w:val="2"/>
            <w:shd w:val="clear" w:color="auto" w:fill="CCEEFF"/>
          </w:tcPr>
          <w:p>
            <w:pPr>
              <w:jc w:val="right"/>
              <w:ind w:right="75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28,521,734</w:t>
            </w:r>
          </w:p>
        </w:tc>
        <w:tc>
          <w:tcPr>
            <w:tcW w:w="1040" w:type="dxa"/>
            <w:vAlign w:val="bottom"/>
            <w:shd w:val="clear" w:color="auto" w:fill="CCEEFF"/>
          </w:tcPr>
          <w:p>
            <w:pPr>
              <w:jc w:val="right"/>
              <w:ind w:right="764"/>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28,521,734</w:t>
            </w:r>
          </w:p>
        </w:tc>
        <w:tc>
          <w:tcPr>
            <w:tcW w:w="100" w:type="dxa"/>
            <w:vAlign w:val="bottom"/>
            <w:shd w:val="clear" w:color="auto" w:fill="CCEEFF"/>
          </w:tcPr>
          <w:p>
            <w:pPr>
              <w:spacing w:after="0"/>
              <w:rPr>
                <w:sz w:val="17"/>
                <w:szCs w:val="17"/>
                <w:color w:val="auto"/>
              </w:rPr>
            </w:pPr>
          </w:p>
        </w:tc>
      </w:tr>
      <w:tr>
        <w:trPr>
          <w:trHeight w:val="556"/>
        </w:trPr>
        <w:tc>
          <w:tcPr>
            <w:tcW w:w="35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color w:val="auto"/>
              </w:rPr>
              <w:t>19</w:t>
            </w:r>
          </w:p>
        </w:tc>
        <w:tc>
          <w:tcPr>
            <w:tcW w:w="9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11" w:right="2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color w:val="auto"/>
        </w:rPr>
        <w:t>Note 5 - Fair Value of Financial Instruments and Real Estate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 uses the following methods and assumptions in estimating the fair value of financial instruments and real estate:</w:t>
      </w:r>
    </w:p>
    <w:p>
      <w:pPr>
        <w:spacing w:after="0" w:line="22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i w:val="1"/>
          <w:iCs w:val="1"/>
          <w:color w:val="auto"/>
        </w:rPr>
        <w:t xml:space="preserve">Equity securities, available-for-sale fixed income securities, held-to-maturity fixed income securities, and other investments: </w:t>
      </w:r>
      <w:r>
        <w:rPr>
          <w:rFonts w:ascii="Arial" w:cs="Arial" w:eastAsia="Arial" w:hAnsi="Arial"/>
          <w:sz w:val="16"/>
          <w:szCs w:val="16"/>
          <w:color w:val="auto"/>
        </w:rPr>
        <w:t>Fair value disclosures for these investments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included in “Note 3 - Investments” and “Note 4 – Fair Value Measurements”.</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Cash and cash equivalents: </w:t>
      </w:r>
      <w:r>
        <w:rPr>
          <w:rFonts w:ascii="Arial" w:cs="Arial" w:eastAsia="Arial" w:hAnsi="Arial"/>
          <w:sz w:val="15"/>
          <w:szCs w:val="15"/>
          <w:color w:val="auto"/>
        </w:rPr>
        <w:t>The carrying values of cash and cash equivalents approximate their fair values because of the short-term nature of these instruments.</w:t>
      </w:r>
    </w:p>
    <w:p>
      <w:pPr>
        <w:spacing w:after="0" w:line="23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i w:val="1"/>
          <w:iCs w:val="1"/>
          <w:color w:val="auto"/>
        </w:rPr>
        <w:t xml:space="preserve">Premiums receivable and reinsurance receivables: </w:t>
      </w:r>
      <w:r>
        <w:rPr>
          <w:rFonts w:ascii="Arial" w:cs="Arial" w:eastAsia="Arial" w:hAnsi="Arial"/>
          <w:sz w:val="16"/>
          <w:szCs w:val="16"/>
          <w:color w:val="auto"/>
        </w:rPr>
        <w:t>The carrying values reported in the condensed consolidated balance sheets for these financial instruments approximate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their fair values due to the short-term nature of the assets.</w:t>
      </w:r>
    </w:p>
    <w:p>
      <w:pPr>
        <w:spacing w:after="0" w:line="154" w:lineRule="exact"/>
        <w:rPr>
          <w:sz w:val="20"/>
          <w:szCs w:val="20"/>
          <w:color w:val="auto"/>
        </w:rPr>
      </w:pPr>
    </w:p>
    <w:p>
      <w:pPr>
        <w:jc w:val="both"/>
        <w:spacing w:after="0" w:line="332" w:lineRule="auto"/>
        <w:rPr>
          <w:sz w:val="20"/>
          <w:szCs w:val="20"/>
          <w:color w:val="auto"/>
        </w:rPr>
      </w:pPr>
      <w:r>
        <w:rPr>
          <w:rFonts w:ascii="Arial" w:cs="Arial" w:eastAsia="Arial" w:hAnsi="Arial"/>
          <w:sz w:val="15"/>
          <w:szCs w:val="15"/>
          <w:b w:val="1"/>
          <w:bCs w:val="1"/>
          <w:i w:val="1"/>
          <w:iCs w:val="1"/>
          <w:color w:val="auto"/>
        </w:rPr>
        <w:t xml:space="preserve">Real estate: </w:t>
      </w:r>
      <w:r>
        <w:rPr>
          <w:rFonts w:ascii="Arial" w:cs="Arial" w:eastAsia="Arial" w:hAnsi="Arial"/>
          <w:sz w:val="15"/>
          <w:szCs w:val="15"/>
          <w:color w:val="auto"/>
        </w:rPr>
        <w:t>The fair value of the land and building included in property and equipment, which is used in the Company’s operations, approximates the carrying value.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fair value was based on an appraisal prepared using the sales comparison approach, and accordingly the real estate is a Level 3 asset under the fair value hierarchy.</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Reinsurance balances payable: </w:t>
      </w:r>
      <w:r>
        <w:rPr>
          <w:rFonts w:ascii="Arial" w:cs="Arial" w:eastAsia="Arial" w:hAnsi="Arial"/>
          <w:sz w:val="15"/>
          <w:szCs w:val="15"/>
          <w:color w:val="auto"/>
        </w:rPr>
        <w:t>The carrying value reported in the condensed consolidated balance sheets for these financial instruments approximates fair value.</w:t>
      </w:r>
    </w:p>
    <w:p>
      <w:pPr>
        <w:spacing w:after="0" w:line="23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 xml:space="preserve">Long-term debt: </w:t>
      </w:r>
      <w:r>
        <w:rPr>
          <w:rFonts w:ascii="Arial" w:cs="Arial" w:eastAsia="Arial" w:hAnsi="Arial"/>
          <w:sz w:val="16"/>
          <w:szCs w:val="16"/>
          <w:color w:val="auto"/>
        </w:rPr>
        <w:t>The estimated fair value of long-term debt is based on observable market interest rates when available. When observable market interest rates were not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available, the estimated fair values of debt were based on observable market interest rates of comparable instruments adjusted for differences between the observed instruments and the instruments being valued or estimated using discounted cash flow analyses, based on current incremental borrowing rates for similar types of borrowing arrangements.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estimated fair values of the Company’s financial instruments and real estate as of September 30, 2019 and December 31, 2018 are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jc w:val="right"/>
              <w:ind w:right="640"/>
              <w:spacing w:after="0"/>
              <w:rPr>
                <w:sz w:val="20"/>
                <w:szCs w:val="20"/>
                <w:color w:val="auto"/>
              </w:rPr>
            </w:pPr>
            <w:r>
              <w:rPr>
                <w:rFonts w:ascii="Arial" w:cs="Arial" w:eastAsia="Arial" w:hAnsi="Arial"/>
                <w:sz w:val="14"/>
                <w:szCs w:val="14"/>
                <w:b w:val="1"/>
                <w:bCs w:val="1"/>
                <w:color w:val="auto"/>
              </w:rPr>
              <w:t>September 30, 2019</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jc w:val="right"/>
              <w:ind w:right="660"/>
              <w:spacing w:after="0"/>
              <w:rPr>
                <w:sz w:val="20"/>
                <w:szCs w:val="20"/>
                <w:color w:val="auto"/>
              </w:rPr>
            </w:pPr>
            <w:r>
              <w:rPr>
                <w:rFonts w:ascii="Arial" w:cs="Arial" w:eastAsia="Arial" w:hAnsi="Arial"/>
                <w:sz w:val="14"/>
                <w:szCs w:val="14"/>
                <w:b w:val="1"/>
                <w:bCs w:val="1"/>
                <w:color w:val="auto"/>
              </w:rPr>
              <w:t>December 31, 2018</w:t>
            </w:r>
          </w:p>
        </w:tc>
        <w:tc>
          <w:tcPr>
            <w:tcW w:w="140" w:type="dxa"/>
            <w:vAlign w:val="bottom"/>
          </w:tcPr>
          <w:p>
            <w:pPr>
              <w:spacing w:after="0"/>
              <w:rPr>
                <w:sz w:val="14"/>
                <w:szCs w:val="14"/>
                <w:color w:val="auto"/>
              </w:rPr>
            </w:pPr>
          </w:p>
        </w:tc>
      </w:tr>
      <w:tr>
        <w:trPr>
          <w:trHeight w:val="270"/>
        </w:trPr>
        <w:tc>
          <w:tcPr>
            <w:tcW w:w="43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Estimated</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Estimated</w:t>
            </w:r>
          </w:p>
        </w:tc>
      </w:tr>
      <w:tr>
        <w:trPr>
          <w:trHeight w:val="217"/>
        </w:trPr>
        <w:tc>
          <w:tcPr>
            <w:tcW w:w="4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Fair Value</w:t>
            </w:r>
          </w:p>
        </w:tc>
      </w:tr>
      <w:tr>
        <w:trPr>
          <w:trHeight w:val="228"/>
        </w:trPr>
        <w:tc>
          <w:tcPr>
            <w:tcW w:w="43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03"/>
        </w:trPr>
        <w:tc>
          <w:tcPr>
            <w:tcW w:w="4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Fixed-maturity securities-held-to maturity</w:t>
            </w:r>
          </w:p>
        </w:tc>
        <w:tc>
          <w:tcPr>
            <w:tcW w:w="1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3,825,505</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4,127,384</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4,222,855</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4,426,416</w:t>
            </w:r>
          </w:p>
        </w:tc>
      </w:tr>
      <w:tr>
        <w:trPr>
          <w:trHeight w:val="203"/>
        </w:trPr>
        <w:tc>
          <w:tcPr>
            <w:tcW w:w="430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19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25,639,050</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25,639,050</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21,138,403</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21,138,403</w:t>
            </w:r>
          </w:p>
        </w:tc>
      </w:tr>
      <w:tr>
        <w:trPr>
          <w:trHeight w:val="203"/>
        </w:trPr>
        <w:tc>
          <w:tcPr>
            <w:tcW w:w="4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Premiums receivable, net</w:t>
            </w:r>
          </w:p>
        </w:tc>
        <w:tc>
          <w:tcPr>
            <w:tcW w:w="1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14,352,521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14,352,521</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13,961,599</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13,961,599</w:t>
            </w:r>
          </w:p>
        </w:tc>
      </w:tr>
      <w:tr>
        <w:trPr>
          <w:trHeight w:val="203"/>
        </w:trPr>
        <w:tc>
          <w:tcPr>
            <w:tcW w:w="4300" w:type="dxa"/>
            <w:vAlign w:val="bottom"/>
          </w:tcPr>
          <w:p>
            <w:pPr>
              <w:ind w:left="40"/>
              <w:spacing w:after="0"/>
              <w:rPr>
                <w:sz w:val="20"/>
                <w:szCs w:val="20"/>
                <w:color w:val="auto"/>
              </w:rPr>
            </w:pPr>
            <w:r>
              <w:rPr>
                <w:rFonts w:ascii="Arial" w:cs="Arial" w:eastAsia="Arial" w:hAnsi="Arial"/>
                <w:sz w:val="16"/>
                <w:szCs w:val="16"/>
                <w:color w:val="auto"/>
              </w:rPr>
              <w:t>Reinsurance receivables, net</w:t>
            </w:r>
          </w:p>
        </w:tc>
        <w:tc>
          <w:tcPr>
            <w:tcW w:w="19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26,580,449</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26,580,449</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26,367,115</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26,367,115</w:t>
            </w:r>
          </w:p>
        </w:tc>
      </w:tr>
      <w:tr>
        <w:trPr>
          <w:trHeight w:val="203"/>
        </w:trPr>
        <w:tc>
          <w:tcPr>
            <w:tcW w:w="4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Real estate, net of accumulated depreciation</w:t>
            </w:r>
          </w:p>
        </w:tc>
        <w:tc>
          <w:tcPr>
            <w:tcW w:w="1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2,288,851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2,705,000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2,300,827</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2,705,000</w:t>
            </w:r>
          </w:p>
        </w:tc>
      </w:tr>
      <w:tr>
        <w:trPr>
          <w:trHeight w:val="203"/>
        </w:trPr>
        <w:tc>
          <w:tcPr>
            <w:tcW w:w="4300" w:type="dxa"/>
            <w:vAlign w:val="bottom"/>
          </w:tcPr>
          <w:p>
            <w:pPr>
              <w:ind w:left="40"/>
              <w:spacing w:after="0"/>
              <w:rPr>
                <w:sz w:val="20"/>
                <w:szCs w:val="20"/>
                <w:color w:val="auto"/>
              </w:rPr>
            </w:pPr>
            <w:r>
              <w:rPr>
                <w:rFonts w:ascii="Arial" w:cs="Arial" w:eastAsia="Arial" w:hAnsi="Arial"/>
                <w:sz w:val="16"/>
                <w:szCs w:val="16"/>
                <w:color w:val="auto"/>
              </w:rPr>
              <w:t>Reinsurance balances payable</w:t>
            </w:r>
          </w:p>
        </w:tc>
        <w:tc>
          <w:tcPr>
            <w:tcW w:w="19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809,836</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809,836</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1,933,376</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1,933,376</w:t>
            </w:r>
          </w:p>
        </w:tc>
      </w:tr>
      <w:tr>
        <w:trPr>
          <w:trHeight w:val="203"/>
        </w:trPr>
        <w:tc>
          <w:tcPr>
            <w:tcW w:w="4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debt, net</w:t>
            </w:r>
          </w:p>
        </w:tc>
        <w:tc>
          <w:tcPr>
            <w:tcW w:w="1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29,427,386</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27,310,623</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29,295,251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28,521,734</w:t>
            </w:r>
          </w:p>
        </w:tc>
      </w:tr>
      <w:tr>
        <w:trPr>
          <w:trHeight w:val="556"/>
        </w:trPr>
        <w:tc>
          <w:tcPr>
            <w:tcW w:w="43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color w:val="auto"/>
              </w:rPr>
              <w:t>20</w:t>
            </w: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07" w:right="2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color w:val="auto"/>
        </w:rPr>
        <w:t>Note 6 – Property and Casualty Insurance Activity</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Premiums Earned</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Premiums written, ceded and earned are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Direct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Assumed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Ceded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Net</w:t>
            </w:r>
          </w:p>
        </w:tc>
      </w:tr>
      <w:tr>
        <w:trPr>
          <w:trHeight w:val="455"/>
        </w:trPr>
        <w:tc>
          <w:tcPr>
            <w:tcW w:w="6100" w:type="dxa"/>
            <w:vAlign w:val="bottom"/>
          </w:tcPr>
          <w:p>
            <w:pPr>
              <w:spacing w:after="0"/>
              <w:rPr>
                <w:sz w:val="20"/>
                <w:szCs w:val="20"/>
                <w:color w:val="auto"/>
              </w:rPr>
            </w:pPr>
            <w:r>
              <w:rPr>
                <w:rFonts w:ascii="Arial" w:cs="Arial" w:eastAsia="Arial" w:hAnsi="Arial"/>
                <w:sz w:val="16"/>
                <w:szCs w:val="16"/>
                <w:b w:val="1"/>
                <w:bCs w:val="1"/>
                <w:color w:val="auto"/>
              </w:rPr>
              <w:t>Nine months ended September 30, 2019</w:t>
            </w:r>
          </w:p>
        </w:tc>
        <w:tc>
          <w:tcPr>
            <w:tcW w:w="1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04"/>
        </w:trPr>
        <w:tc>
          <w:tcPr>
            <w:tcW w:w="6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Premiums written</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128,333,117</w:t>
            </w:r>
          </w:p>
        </w:tc>
        <w:tc>
          <w:tcPr>
            <w:tcW w:w="18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938</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(20,914,074)</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8"/>
              </w:rPr>
              <w:t>107,419,981</w:t>
            </w:r>
          </w:p>
        </w:tc>
      </w:tr>
      <w:tr>
        <w:trPr>
          <w:trHeight w:val="203"/>
        </w:trPr>
        <w:tc>
          <w:tcPr>
            <w:tcW w:w="6100" w:type="dxa"/>
            <w:vAlign w:val="bottom"/>
          </w:tcPr>
          <w:p>
            <w:pPr>
              <w:ind w:left="40"/>
              <w:spacing w:after="0"/>
              <w:rPr>
                <w:sz w:val="20"/>
                <w:szCs w:val="20"/>
                <w:color w:val="auto"/>
              </w:rPr>
            </w:pPr>
            <w:r>
              <w:rPr>
                <w:rFonts w:ascii="Arial" w:cs="Arial" w:eastAsia="Arial" w:hAnsi="Arial"/>
                <w:sz w:val="16"/>
                <w:szCs w:val="16"/>
                <w:color w:val="auto"/>
              </w:rPr>
              <w:t>Change in unearned premiums</w:t>
            </w:r>
          </w:p>
        </w:tc>
        <w:tc>
          <w:tcPr>
            <w:tcW w:w="16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(11,035,993)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(559)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(1,366,251)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(12,402,803)</w:t>
            </w:r>
          </w:p>
        </w:tc>
      </w:tr>
      <w:tr>
        <w:trPr>
          <w:trHeight w:val="25"/>
        </w:trPr>
        <w:tc>
          <w:tcPr>
            <w:tcW w:w="6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43"/>
        </w:trPr>
        <w:tc>
          <w:tcPr>
            <w:tcW w:w="6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Premiums earned</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117,297,124</w:t>
            </w:r>
          </w:p>
        </w:tc>
        <w:tc>
          <w:tcPr>
            <w:tcW w:w="18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379</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(22,280,325)</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95,017,178</w:t>
            </w:r>
          </w:p>
        </w:tc>
      </w:tr>
      <w:tr>
        <w:trPr>
          <w:trHeight w:val="193"/>
        </w:trPr>
        <w:tc>
          <w:tcPr>
            <w:tcW w:w="610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r>
      <w:tr>
        <w:trPr>
          <w:trHeight w:val="228"/>
        </w:trPr>
        <w:tc>
          <w:tcPr>
            <w:tcW w:w="61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Nine months ended September 30, 2018</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03"/>
        </w:trPr>
        <w:tc>
          <w:tcPr>
            <w:tcW w:w="6100" w:type="dxa"/>
            <w:vAlign w:val="bottom"/>
          </w:tcPr>
          <w:p>
            <w:pPr>
              <w:ind w:left="40"/>
              <w:spacing w:after="0"/>
              <w:rPr>
                <w:sz w:val="20"/>
                <w:szCs w:val="20"/>
                <w:color w:val="auto"/>
              </w:rPr>
            </w:pPr>
            <w:r>
              <w:rPr>
                <w:rFonts w:ascii="Arial" w:cs="Arial" w:eastAsia="Arial" w:hAnsi="Arial"/>
                <w:sz w:val="16"/>
                <w:szCs w:val="16"/>
                <w:color w:val="auto"/>
              </w:rPr>
              <w:t>Premiums written</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107,175,413</w:t>
            </w:r>
          </w:p>
        </w:tc>
        <w:tc>
          <w:tcPr>
            <w:tcW w:w="180" w:type="dxa"/>
            <w:vAlign w:val="bottom"/>
          </w:tcPr>
          <w:p>
            <w:pPr>
              <w:spacing w:after="0"/>
              <w:rPr>
                <w:sz w:val="17"/>
                <w:szCs w:val="17"/>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842</w:t>
            </w:r>
          </w:p>
        </w:tc>
        <w:tc>
          <w:tcPr>
            <w:tcW w:w="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(19,409,423)</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87,766,832</w:t>
            </w:r>
          </w:p>
        </w:tc>
      </w:tr>
      <w:tr>
        <w:trPr>
          <w:trHeight w:val="203"/>
        </w:trPr>
        <w:tc>
          <w:tcPr>
            <w:tcW w:w="6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Change in unearned premiums</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(9,930,503)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3,762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(3,363,953)</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(13,290,694)</w:t>
            </w:r>
          </w:p>
        </w:tc>
      </w:tr>
      <w:tr>
        <w:trPr>
          <w:trHeight w:val="25"/>
        </w:trPr>
        <w:tc>
          <w:tcPr>
            <w:tcW w:w="6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03"/>
        </w:trPr>
        <w:tc>
          <w:tcPr>
            <w:tcW w:w="6100" w:type="dxa"/>
            <w:vAlign w:val="bottom"/>
          </w:tcPr>
          <w:p>
            <w:pPr>
              <w:ind w:left="40"/>
              <w:spacing w:after="0"/>
              <w:rPr>
                <w:sz w:val="20"/>
                <w:szCs w:val="20"/>
                <w:color w:val="auto"/>
              </w:rPr>
            </w:pPr>
            <w:r>
              <w:rPr>
                <w:rFonts w:ascii="Arial" w:cs="Arial" w:eastAsia="Arial" w:hAnsi="Arial"/>
                <w:sz w:val="16"/>
                <w:szCs w:val="16"/>
                <w:color w:val="auto"/>
              </w:rPr>
              <w:t>Premiums earned</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97,244,910</w:t>
            </w:r>
          </w:p>
        </w:tc>
        <w:tc>
          <w:tcPr>
            <w:tcW w:w="180" w:type="dxa"/>
            <w:vAlign w:val="bottom"/>
          </w:tcPr>
          <w:p>
            <w:pPr>
              <w:spacing w:after="0"/>
              <w:rPr>
                <w:sz w:val="17"/>
                <w:szCs w:val="17"/>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4,604</w:t>
            </w:r>
          </w:p>
        </w:tc>
        <w:tc>
          <w:tcPr>
            <w:tcW w:w="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(22,773,376)</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74,476,138</w:t>
            </w:r>
          </w:p>
        </w:tc>
      </w:tr>
      <w:tr>
        <w:trPr>
          <w:trHeight w:val="20"/>
        </w:trPr>
        <w:tc>
          <w:tcPr>
            <w:tcW w:w="6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3"/>
        </w:trPr>
        <w:tc>
          <w:tcPr>
            <w:tcW w:w="6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27"/>
        </w:trPr>
        <w:tc>
          <w:tcPr>
            <w:tcW w:w="6100" w:type="dxa"/>
            <w:vAlign w:val="bottom"/>
          </w:tcPr>
          <w:p>
            <w:pPr>
              <w:spacing w:after="0"/>
              <w:rPr>
                <w:sz w:val="20"/>
                <w:szCs w:val="20"/>
                <w:color w:val="auto"/>
              </w:rPr>
            </w:pPr>
            <w:r>
              <w:rPr>
                <w:rFonts w:ascii="Arial" w:cs="Arial" w:eastAsia="Arial" w:hAnsi="Arial"/>
                <w:sz w:val="16"/>
                <w:szCs w:val="16"/>
                <w:b w:val="1"/>
                <w:bCs w:val="1"/>
                <w:color w:val="auto"/>
              </w:rPr>
              <w:t>Three months ended September 30, 2019</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04"/>
        </w:trPr>
        <w:tc>
          <w:tcPr>
            <w:tcW w:w="6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Premiums written</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46,023,290</w:t>
            </w:r>
          </w:p>
        </w:tc>
        <w:tc>
          <w:tcPr>
            <w:tcW w:w="18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861</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(5,586,278)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40,437,873</w:t>
            </w:r>
          </w:p>
        </w:tc>
      </w:tr>
      <w:tr>
        <w:trPr>
          <w:trHeight w:val="203"/>
        </w:trPr>
        <w:tc>
          <w:tcPr>
            <w:tcW w:w="6100" w:type="dxa"/>
            <w:vAlign w:val="bottom"/>
          </w:tcPr>
          <w:p>
            <w:pPr>
              <w:ind w:left="40"/>
              <w:spacing w:after="0"/>
              <w:rPr>
                <w:sz w:val="20"/>
                <w:szCs w:val="20"/>
                <w:color w:val="auto"/>
              </w:rPr>
            </w:pPr>
            <w:r>
              <w:rPr>
                <w:rFonts w:ascii="Arial" w:cs="Arial" w:eastAsia="Arial" w:hAnsi="Arial"/>
                <w:sz w:val="16"/>
                <w:szCs w:val="16"/>
                <w:color w:val="auto"/>
              </w:rPr>
              <w:t>Change in unearned premiums</w:t>
            </w:r>
          </w:p>
        </w:tc>
        <w:tc>
          <w:tcPr>
            <w:tcW w:w="16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(4,579,777)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(761)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(1,637,325)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(6,217,863)</w:t>
            </w:r>
          </w:p>
        </w:tc>
      </w:tr>
      <w:tr>
        <w:trPr>
          <w:trHeight w:val="25"/>
        </w:trPr>
        <w:tc>
          <w:tcPr>
            <w:tcW w:w="6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43"/>
        </w:trPr>
        <w:tc>
          <w:tcPr>
            <w:tcW w:w="6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Premiums earned</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41,443,513</w:t>
            </w:r>
          </w:p>
        </w:tc>
        <w:tc>
          <w:tcPr>
            <w:tcW w:w="18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100</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(7,223,603)</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34,220,010</w:t>
            </w:r>
          </w:p>
        </w:tc>
      </w:tr>
      <w:tr>
        <w:trPr>
          <w:trHeight w:val="193"/>
        </w:trPr>
        <w:tc>
          <w:tcPr>
            <w:tcW w:w="610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r>
      <w:tr>
        <w:trPr>
          <w:trHeight w:val="228"/>
        </w:trPr>
        <w:tc>
          <w:tcPr>
            <w:tcW w:w="61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Three months ended September 30, 2018</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03"/>
        </w:trPr>
        <w:tc>
          <w:tcPr>
            <w:tcW w:w="6100" w:type="dxa"/>
            <w:vAlign w:val="bottom"/>
          </w:tcPr>
          <w:p>
            <w:pPr>
              <w:ind w:left="40"/>
              <w:spacing w:after="0"/>
              <w:rPr>
                <w:sz w:val="20"/>
                <w:szCs w:val="20"/>
                <w:color w:val="auto"/>
              </w:rPr>
            </w:pPr>
            <w:r>
              <w:rPr>
                <w:rFonts w:ascii="Arial" w:cs="Arial" w:eastAsia="Arial" w:hAnsi="Arial"/>
                <w:sz w:val="16"/>
                <w:szCs w:val="16"/>
                <w:color w:val="auto"/>
              </w:rPr>
              <w:t>Premiums written</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38,785,453</w:t>
            </w:r>
          </w:p>
        </w:tc>
        <w:tc>
          <w:tcPr>
            <w:tcW w:w="180" w:type="dxa"/>
            <w:vAlign w:val="bottom"/>
          </w:tcPr>
          <w:p>
            <w:pPr>
              <w:spacing w:after="0"/>
              <w:rPr>
                <w:sz w:val="17"/>
                <w:szCs w:val="17"/>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18</w:t>
            </w:r>
          </w:p>
        </w:tc>
        <w:tc>
          <w:tcPr>
            <w:tcW w:w="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(2,683,699)</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36,101,772</w:t>
            </w:r>
          </w:p>
        </w:tc>
      </w:tr>
      <w:tr>
        <w:trPr>
          <w:trHeight w:val="203"/>
        </w:trPr>
        <w:tc>
          <w:tcPr>
            <w:tcW w:w="6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Change in unearned premiums</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(4,435,174)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698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(4,133,389)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(8,567,865)</w:t>
            </w:r>
          </w:p>
        </w:tc>
      </w:tr>
      <w:tr>
        <w:trPr>
          <w:trHeight w:val="25"/>
        </w:trPr>
        <w:tc>
          <w:tcPr>
            <w:tcW w:w="6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03"/>
        </w:trPr>
        <w:tc>
          <w:tcPr>
            <w:tcW w:w="6100" w:type="dxa"/>
            <w:vAlign w:val="bottom"/>
          </w:tcPr>
          <w:p>
            <w:pPr>
              <w:ind w:left="40"/>
              <w:spacing w:after="0"/>
              <w:rPr>
                <w:sz w:val="20"/>
                <w:szCs w:val="20"/>
                <w:color w:val="auto"/>
              </w:rPr>
            </w:pPr>
            <w:r>
              <w:rPr>
                <w:rFonts w:ascii="Arial" w:cs="Arial" w:eastAsia="Arial" w:hAnsi="Arial"/>
                <w:sz w:val="16"/>
                <w:szCs w:val="16"/>
                <w:color w:val="auto"/>
              </w:rPr>
              <w:t>Premiums earned</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34,350,279</w:t>
            </w:r>
          </w:p>
        </w:tc>
        <w:tc>
          <w:tcPr>
            <w:tcW w:w="180" w:type="dxa"/>
            <w:vAlign w:val="bottom"/>
          </w:tcPr>
          <w:p>
            <w:pPr>
              <w:spacing w:after="0"/>
              <w:rPr>
                <w:sz w:val="17"/>
                <w:szCs w:val="17"/>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716</w:t>
            </w:r>
          </w:p>
        </w:tc>
        <w:tc>
          <w:tcPr>
            <w:tcW w:w="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(6,817,088)</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27,533,907</w:t>
            </w:r>
          </w:p>
        </w:tc>
      </w:tr>
      <w:tr>
        <w:trPr>
          <w:trHeight w:val="20"/>
        </w:trPr>
        <w:tc>
          <w:tcPr>
            <w:tcW w:w="6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Premium receipts in advance of the policy effective date are recorded as advance premiums. The balance of advance premiums as of September 30, 2019 and December 31, 2018 was $3,737,491 and $2,107,629, respectively.</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23" w:name="page24"/>
    <w:bookmarkEnd w:id="23"/>
    <w:p>
      <w:pPr>
        <w:spacing w:after="0"/>
        <w:rPr>
          <w:sz w:val="20"/>
          <w:szCs w:val="20"/>
          <w:color w:val="auto"/>
        </w:rPr>
      </w:pPr>
      <w:r>
        <w:rPr>
          <w:rFonts w:ascii="Arial" w:cs="Arial" w:eastAsia="Arial" w:hAnsi="Arial"/>
          <w:sz w:val="16"/>
          <w:szCs w:val="16"/>
          <w:u w:val="single" w:color="auto"/>
          <w:color w:val="auto"/>
        </w:rPr>
        <w:t>Loss and Loss Adjustment Expense Reserves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reconciliation of the beginning and ending balances for unpaid losses and loss adjustment expense (“LAE”) reserves: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5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Nine months ended</w:t>
            </w:r>
          </w:p>
        </w:tc>
      </w:tr>
      <w:tr>
        <w:trPr>
          <w:trHeight w:val="217"/>
        </w:trPr>
        <w:tc>
          <w:tcPr>
            <w:tcW w:w="55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33"/>
        </w:trPr>
        <w:tc>
          <w:tcPr>
            <w:tcW w:w="55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20"/>
                <w:szCs w:val="20"/>
                <w:color w:val="auto"/>
              </w:rPr>
            </w:pPr>
          </w:p>
        </w:tc>
      </w:tr>
      <w:tr>
        <w:trPr>
          <w:trHeight w:val="228"/>
        </w:trPr>
        <w:tc>
          <w:tcPr>
            <w:tcW w:w="55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03"/>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beginning of period</w:t>
            </w:r>
          </w:p>
        </w:tc>
        <w:tc>
          <w:tcPr>
            <w:tcW w:w="3500" w:type="dxa"/>
            <w:vAlign w:val="bottom"/>
            <w:gridSpan w:val="2"/>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56,197,106</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7"/>
              </w:rPr>
              <w:t>48,799,622</w:t>
            </w:r>
          </w:p>
        </w:tc>
      </w:tr>
      <w:tr>
        <w:trPr>
          <w:trHeight w:val="203"/>
        </w:trPr>
        <w:tc>
          <w:tcPr>
            <w:tcW w:w="5520" w:type="dxa"/>
            <w:vAlign w:val="bottom"/>
          </w:tcPr>
          <w:p>
            <w:pPr>
              <w:ind w:left="40"/>
              <w:spacing w:after="0"/>
              <w:rPr>
                <w:sz w:val="20"/>
                <w:szCs w:val="20"/>
                <w:color w:val="auto"/>
              </w:rPr>
            </w:pPr>
            <w:r>
              <w:rPr>
                <w:rFonts w:ascii="Arial" w:cs="Arial" w:eastAsia="Arial" w:hAnsi="Arial"/>
                <w:sz w:val="16"/>
                <w:szCs w:val="16"/>
                <w:color w:val="auto"/>
              </w:rPr>
              <w:t>Less reinsurance recoverables</w:t>
            </w:r>
          </w:p>
        </w:tc>
        <w:tc>
          <w:tcPr>
            <w:tcW w:w="3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(15,671,247)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w w:val="92"/>
              </w:rPr>
              <w:t>(16,748,908)</w:t>
            </w:r>
          </w:p>
        </w:tc>
      </w:tr>
      <w:tr>
        <w:trPr>
          <w:trHeight w:val="25"/>
        </w:trPr>
        <w:tc>
          <w:tcPr>
            <w:tcW w:w="55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08"/>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balance, beginning of period</w:t>
            </w:r>
          </w:p>
        </w:tc>
        <w:tc>
          <w:tcPr>
            <w:tcW w:w="3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40,525,859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7"/>
              </w:rPr>
              <w:t>32,050,714</w:t>
            </w:r>
          </w:p>
        </w:tc>
      </w:tr>
      <w:tr>
        <w:trPr>
          <w:trHeight w:val="203"/>
        </w:trPr>
        <w:tc>
          <w:tcPr>
            <w:tcW w:w="5520" w:type="dxa"/>
            <w:vAlign w:val="bottom"/>
            <w:tcBorders>
              <w:top w:val="single" w:sz="8" w:color="CCEEFF"/>
            </w:tcBorders>
          </w:tcPr>
          <w:p>
            <w:pPr>
              <w:spacing w:after="0"/>
              <w:rPr>
                <w:sz w:val="17"/>
                <w:szCs w:val="17"/>
                <w:color w:val="auto"/>
              </w:rPr>
            </w:pPr>
          </w:p>
        </w:tc>
        <w:tc>
          <w:tcPr>
            <w:tcW w:w="33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r>
      <w:tr>
        <w:trPr>
          <w:trHeight w:val="203"/>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Incurred related to:</w:t>
            </w:r>
          </w:p>
        </w:tc>
        <w:tc>
          <w:tcPr>
            <w:tcW w:w="3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5520" w:type="dxa"/>
            <w:vAlign w:val="bottom"/>
          </w:tcPr>
          <w:p>
            <w:pPr>
              <w:ind w:left="40"/>
              <w:spacing w:after="0"/>
              <w:rPr>
                <w:sz w:val="20"/>
                <w:szCs w:val="20"/>
                <w:color w:val="auto"/>
              </w:rPr>
            </w:pPr>
            <w:r>
              <w:rPr>
                <w:rFonts w:ascii="Arial" w:cs="Arial" w:eastAsia="Arial" w:hAnsi="Arial"/>
                <w:sz w:val="16"/>
                <w:szCs w:val="16"/>
                <w:color w:val="auto"/>
              </w:rPr>
              <w:t>Current year</w:t>
            </w:r>
          </w:p>
        </w:tc>
        <w:tc>
          <w:tcPr>
            <w:tcW w:w="3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60,401,821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w w:val="97"/>
              </w:rPr>
              <w:t>41,611,658</w:t>
            </w:r>
          </w:p>
        </w:tc>
      </w:tr>
      <w:tr>
        <w:trPr>
          <w:trHeight w:val="203"/>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Prior years</w:t>
            </w:r>
          </w:p>
        </w:tc>
        <w:tc>
          <w:tcPr>
            <w:tcW w:w="3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11,186,029</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127,465</w:t>
            </w:r>
          </w:p>
        </w:tc>
      </w:tr>
      <w:tr>
        <w:trPr>
          <w:trHeight w:val="25"/>
        </w:trPr>
        <w:tc>
          <w:tcPr>
            <w:tcW w:w="5520" w:type="dxa"/>
            <w:vAlign w:val="bottom"/>
            <w:shd w:val="clear" w:color="auto" w:fill="CCEEFF"/>
          </w:tcPr>
          <w:p>
            <w:pPr>
              <w:spacing w:after="0"/>
              <w:rPr>
                <w:sz w:val="2"/>
                <w:szCs w:val="2"/>
                <w:color w:val="auto"/>
              </w:rPr>
            </w:pPr>
          </w:p>
        </w:tc>
        <w:tc>
          <w:tcPr>
            <w:tcW w:w="33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08"/>
        </w:trPr>
        <w:tc>
          <w:tcPr>
            <w:tcW w:w="5520" w:type="dxa"/>
            <w:vAlign w:val="bottom"/>
          </w:tcPr>
          <w:p>
            <w:pPr>
              <w:ind w:left="40"/>
              <w:spacing w:after="0"/>
              <w:rPr>
                <w:sz w:val="20"/>
                <w:szCs w:val="20"/>
                <w:color w:val="auto"/>
              </w:rPr>
            </w:pPr>
            <w:r>
              <w:rPr>
                <w:rFonts w:ascii="Arial" w:cs="Arial" w:eastAsia="Arial" w:hAnsi="Arial"/>
                <w:sz w:val="16"/>
                <w:szCs w:val="16"/>
                <w:color w:val="auto"/>
              </w:rPr>
              <w:t>Total incurred</w:t>
            </w:r>
          </w:p>
        </w:tc>
        <w:tc>
          <w:tcPr>
            <w:tcW w:w="3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71,587,850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w w:val="97"/>
              </w:rPr>
              <w:t>41,739,123</w:t>
            </w:r>
          </w:p>
        </w:tc>
      </w:tr>
      <w:tr>
        <w:trPr>
          <w:trHeight w:val="203"/>
        </w:trPr>
        <w:tc>
          <w:tcPr>
            <w:tcW w:w="5520" w:type="dxa"/>
            <w:vAlign w:val="bottom"/>
            <w:shd w:val="clear" w:color="auto" w:fill="CCEEFF"/>
          </w:tcPr>
          <w:p>
            <w:pPr>
              <w:spacing w:after="0"/>
              <w:rPr>
                <w:sz w:val="17"/>
                <w:szCs w:val="17"/>
                <w:color w:val="auto"/>
              </w:rPr>
            </w:pPr>
          </w:p>
        </w:tc>
        <w:tc>
          <w:tcPr>
            <w:tcW w:w="33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5520" w:type="dxa"/>
            <w:vAlign w:val="bottom"/>
          </w:tcPr>
          <w:p>
            <w:pPr>
              <w:ind w:left="40"/>
              <w:spacing w:after="0"/>
              <w:rPr>
                <w:sz w:val="20"/>
                <w:szCs w:val="20"/>
                <w:color w:val="auto"/>
              </w:rPr>
            </w:pPr>
            <w:r>
              <w:rPr>
                <w:rFonts w:ascii="Arial" w:cs="Arial" w:eastAsia="Arial" w:hAnsi="Arial"/>
                <w:sz w:val="16"/>
                <w:szCs w:val="16"/>
                <w:color w:val="auto"/>
              </w:rPr>
              <w:t>Paid related to:</w:t>
            </w:r>
          </w:p>
        </w:tc>
        <w:tc>
          <w:tcPr>
            <w:tcW w:w="3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 year</w:t>
            </w:r>
          </w:p>
        </w:tc>
        <w:tc>
          <w:tcPr>
            <w:tcW w:w="3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31,515,656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7"/>
              </w:rPr>
              <w:t>23,404,909</w:t>
            </w:r>
          </w:p>
        </w:tc>
      </w:tr>
      <w:tr>
        <w:trPr>
          <w:trHeight w:val="203"/>
        </w:trPr>
        <w:tc>
          <w:tcPr>
            <w:tcW w:w="5520" w:type="dxa"/>
            <w:vAlign w:val="bottom"/>
          </w:tcPr>
          <w:p>
            <w:pPr>
              <w:ind w:left="40"/>
              <w:spacing w:after="0"/>
              <w:rPr>
                <w:sz w:val="20"/>
                <w:szCs w:val="20"/>
                <w:color w:val="auto"/>
              </w:rPr>
            </w:pPr>
            <w:r>
              <w:rPr>
                <w:rFonts w:ascii="Arial" w:cs="Arial" w:eastAsia="Arial" w:hAnsi="Arial"/>
                <w:sz w:val="16"/>
                <w:szCs w:val="16"/>
                <w:color w:val="auto"/>
              </w:rPr>
              <w:t>Prior years</w:t>
            </w:r>
          </w:p>
        </w:tc>
        <w:tc>
          <w:tcPr>
            <w:tcW w:w="3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18,600,946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w w:val="97"/>
              </w:rPr>
              <w:t>12,160,419</w:t>
            </w:r>
          </w:p>
        </w:tc>
      </w:tr>
      <w:tr>
        <w:trPr>
          <w:trHeight w:val="25"/>
        </w:trPr>
        <w:tc>
          <w:tcPr>
            <w:tcW w:w="55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08"/>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paid</w:t>
            </w:r>
          </w:p>
        </w:tc>
        <w:tc>
          <w:tcPr>
            <w:tcW w:w="3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50,116,602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7"/>
              </w:rPr>
              <w:t>35,565,328</w:t>
            </w:r>
          </w:p>
        </w:tc>
      </w:tr>
      <w:tr>
        <w:trPr>
          <w:trHeight w:val="203"/>
        </w:trPr>
        <w:tc>
          <w:tcPr>
            <w:tcW w:w="5520" w:type="dxa"/>
            <w:vAlign w:val="bottom"/>
            <w:tcBorders>
              <w:top w:val="single" w:sz="8" w:color="CCEEFF"/>
            </w:tcBorders>
          </w:tcPr>
          <w:p>
            <w:pPr>
              <w:spacing w:after="0"/>
              <w:rPr>
                <w:sz w:val="17"/>
                <w:szCs w:val="17"/>
                <w:color w:val="auto"/>
              </w:rPr>
            </w:pPr>
          </w:p>
        </w:tc>
        <w:tc>
          <w:tcPr>
            <w:tcW w:w="33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r>
      <w:tr>
        <w:trPr>
          <w:trHeight w:val="203"/>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balance at end of period</w:t>
            </w:r>
          </w:p>
        </w:tc>
        <w:tc>
          <w:tcPr>
            <w:tcW w:w="3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61,997,107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7"/>
              </w:rPr>
              <w:t>38,224,509</w:t>
            </w:r>
          </w:p>
        </w:tc>
      </w:tr>
      <w:tr>
        <w:trPr>
          <w:trHeight w:val="203"/>
        </w:trPr>
        <w:tc>
          <w:tcPr>
            <w:tcW w:w="5520" w:type="dxa"/>
            <w:vAlign w:val="bottom"/>
          </w:tcPr>
          <w:p>
            <w:pPr>
              <w:ind w:left="40"/>
              <w:spacing w:after="0"/>
              <w:rPr>
                <w:sz w:val="20"/>
                <w:szCs w:val="20"/>
                <w:color w:val="auto"/>
              </w:rPr>
            </w:pPr>
            <w:r>
              <w:rPr>
                <w:rFonts w:ascii="Arial" w:cs="Arial" w:eastAsia="Arial" w:hAnsi="Arial"/>
                <w:sz w:val="16"/>
                <w:szCs w:val="16"/>
                <w:color w:val="auto"/>
              </w:rPr>
              <w:t>Add reinsurance recoverables</w:t>
            </w:r>
          </w:p>
        </w:tc>
        <w:tc>
          <w:tcPr>
            <w:tcW w:w="3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15,412,316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w w:val="97"/>
              </w:rPr>
              <w:t>15,718,448</w:t>
            </w:r>
          </w:p>
        </w:tc>
      </w:tr>
      <w:tr>
        <w:trPr>
          <w:trHeight w:val="25"/>
        </w:trPr>
        <w:tc>
          <w:tcPr>
            <w:tcW w:w="55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end of period</w:t>
            </w:r>
          </w:p>
        </w:tc>
        <w:tc>
          <w:tcPr>
            <w:tcW w:w="33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77,409,423</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7"/>
              </w:rPr>
              <w:t>53,942,957</w:t>
            </w:r>
          </w:p>
        </w:tc>
      </w:tr>
      <w:tr>
        <w:trPr>
          <w:trHeight w:val="20"/>
        </w:trPr>
        <w:tc>
          <w:tcPr>
            <w:tcW w:w="552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39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Incurred losses and LAE are net of reinsurance recoveries under reinsurance contracts of $8,849,440 and $11,668,527 for the nine months ended September 30, 2019 and 2018, respectively.</w:t>
      </w:r>
    </w:p>
    <w:p>
      <w:pPr>
        <w:spacing w:after="0" w:line="154"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Prior year incurred loss and LAE development is based upon estimates by line of business and accident year. Prior year loss and LAE development incurred during the nine months ended September 30, 2019 and 2018 was $11,186,029 unfavorable and $127,465 unfavorable, respectively. During the nine months ended September 30, 2019, the Company increased case reserves for a significant number of older liability claims, which primarily affected the ultimate loss projections for commercial lines business. These adjustments were in line with management’s continued process of monitoring claims activity to assess the appropriateness of carried case and incurred but not reported (“IBNR”) reserves, giving consideration to both Company and industry trends.</w:t>
      </w:r>
    </w:p>
    <w:p>
      <w:pPr>
        <w:spacing w:after="0" w:line="173"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reserving process for loss and LAE reserves provides for the Company’s best estimate at a particular point in time of the ultimate unpaid cost of all losses and LAE incurred, including settlement and administration of losses, and is based on facts and circumstances then known including losses that have occurred but that have not yet been reported. The process relies on standard actuarial reserving methodologies, judgments relative to estimates of ultimate claim severity and frequency, the length of time before losses will develop to their ultimate level (‘tail’ factors), and the likelihood of changes in the law or other external factors that are beyond the Company’s control. Several actuarial reserving methodologies are used to estimate required loss reserves. The process produces carried reserves set by management based upon the actuaries’ best estimate and is the cumulative combination of the best estimates made by line of business, accident year, and loss and LAE. The amount of loss and LAE reserves for individual reported claims (the “case reserve”) is determined by the claims department and changes over time as new information is gathered. Such information is critical to the review of appropriate IBNR reserves and includes a review of coverage applicability, comparative liability on the part of the insured, injury severity, property damage, replacement cost estimates, and any other information considered pertinent to estimating the exposure presented by the claim. The amounts of loss and LAE reserves for unreported claims and development on known claims (IBNR reserves) are determined using historical information aggregated by line of insurance as adjusted to current conditions. Since this process produces loss reserves set by management based upon the actuaries’ best estimate, there is no explicit or implicit provision for uncertainty in the carried loss reserves.</w:t>
      </w:r>
    </w:p>
    <w:p>
      <w:pPr>
        <w:spacing w:after="0" w:line="178"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Due to the inherent uncertainty associated with the reserving process, the ultimate liability may differ, perhaps substantially, from the original estimate. Such estimates are regularly reviewed and updated and any resulting adjustments are included in the current period’s results. Reserves are closely monitored and are recomputed periodically using the most recent information on reported claims and a variety of statistical techniques. On at least a quarterly basis, the Company reviews by line of business existing reserves, new claims, changes to existing case reserves, and paid losses with respect to the current and prior periods. Several methods are used, varying by line of business and accident year, in order to select the estimated period-end loss reserves. These methods include the following:</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24" w:name="page25"/>
    <w:bookmarkEnd w:id="24"/>
    <w:p>
      <w:pPr>
        <w:ind w:left="600"/>
        <w:spacing w:after="0"/>
        <w:rPr>
          <w:sz w:val="20"/>
          <w:szCs w:val="20"/>
          <w:color w:val="auto"/>
        </w:rPr>
      </w:pPr>
      <w:r>
        <w:rPr>
          <w:rFonts w:ascii="Arial" w:cs="Arial" w:eastAsia="Arial" w:hAnsi="Arial"/>
          <w:sz w:val="15"/>
          <w:szCs w:val="15"/>
          <w:i w:val="1"/>
          <w:iCs w:val="1"/>
          <w:color w:val="auto"/>
        </w:rPr>
        <w:t xml:space="preserve">Paid Loss Development </w:t>
      </w:r>
      <w:r>
        <w:rPr>
          <w:rFonts w:ascii="Arial" w:cs="Arial" w:eastAsia="Arial" w:hAnsi="Arial"/>
          <w:sz w:val="15"/>
          <w:szCs w:val="15"/>
          <w:color w:val="auto"/>
        </w:rPr>
        <w:t>– historical patterns of paid loss development are used to project future paid loss emergence in order to estimate required reserves.</w:t>
      </w:r>
    </w:p>
    <w:p>
      <w:pPr>
        <w:spacing w:after="0" w:line="233" w:lineRule="exact"/>
        <w:rPr>
          <w:sz w:val="20"/>
          <w:szCs w:val="20"/>
          <w:color w:val="auto"/>
        </w:rPr>
      </w:pPr>
    </w:p>
    <w:p>
      <w:pPr>
        <w:jc w:val="both"/>
        <w:ind w:left="600" w:right="100"/>
        <w:spacing w:after="0" w:line="296" w:lineRule="auto"/>
        <w:rPr>
          <w:sz w:val="20"/>
          <w:szCs w:val="20"/>
          <w:color w:val="auto"/>
        </w:rPr>
      </w:pPr>
      <w:r>
        <w:rPr>
          <w:rFonts w:ascii="Arial" w:cs="Arial" w:eastAsia="Arial" w:hAnsi="Arial"/>
          <w:sz w:val="16"/>
          <w:szCs w:val="16"/>
          <w:i w:val="1"/>
          <w:iCs w:val="1"/>
          <w:color w:val="auto"/>
        </w:rPr>
        <w:t xml:space="preserve">Incurred Loss Development </w:t>
      </w:r>
      <w:r>
        <w:rPr>
          <w:rFonts w:ascii="Arial" w:cs="Arial" w:eastAsia="Arial" w:hAnsi="Arial"/>
          <w:sz w:val="16"/>
          <w:szCs w:val="16"/>
          <w:color w:val="auto"/>
        </w:rPr>
        <w:t>– historical patterns of incurred loss development, reflecting both paid losses and changes in case reserves, are used to project future</w:t>
      </w:r>
      <w:r>
        <w:rPr>
          <w:rFonts w:ascii="Arial" w:cs="Arial" w:eastAsia="Arial" w:hAnsi="Arial"/>
          <w:sz w:val="16"/>
          <w:szCs w:val="16"/>
          <w:i w:val="1"/>
          <w:iCs w:val="1"/>
          <w:color w:val="auto"/>
        </w:rPr>
        <w:t xml:space="preserve"> </w:t>
      </w:r>
      <w:r>
        <w:rPr>
          <w:rFonts w:ascii="Arial" w:cs="Arial" w:eastAsia="Arial" w:hAnsi="Arial"/>
          <w:sz w:val="16"/>
          <w:szCs w:val="16"/>
          <w:color w:val="auto"/>
        </w:rPr>
        <w:t>incurred loss emergence in order to estimate required reserves.</w:t>
      </w:r>
    </w:p>
    <w:p>
      <w:pPr>
        <w:spacing w:after="0" w:line="154" w:lineRule="exact"/>
        <w:rPr>
          <w:sz w:val="20"/>
          <w:szCs w:val="20"/>
          <w:color w:val="auto"/>
        </w:rPr>
      </w:pPr>
    </w:p>
    <w:p>
      <w:pPr>
        <w:jc w:val="both"/>
        <w:ind w:left="600" w:right="100"/>
        <w:spacing w:after="0" w:line="275" w:lineRule="auto"/>
        <w:rPr>
          <w:sz w:val="20"/>
          <w:szCs w:val="20"/>
          <w:color w:val="auto"/>
        </w:rPr>
      </w:pPr>
      <w:r>
        <w:rPr>
          <w:rFonts w:ascii="Arial" w:cs="Arial" w:eastAsia="Arial" w:hAnsi="Arial"/>
          <w:sz w:val="16"/>
          <w:szCs w:val="16"/>
          <w:i w:val="1"/>
          <w:iCs w:val="1"/>
          <w:color w:val="auto"/>
        </w:rPr>
        <w:t xml:space="preserve">Paid Bornhuetter-Ferguson (“BF”) </w:t>
      </w:r>
      <w:r>
        <w:rPr>
          <w:rFonts w:ascii="Arial" w:cs="Arial" w:eastAsia="Arial" w:hAnsi="Arial"/>
          <w:sz w:val="16"/>
          <w:szCs w:val="16"/>
          <w:color w:val="auto"/>
        </w:rPr>
        <w:t>– an estimated loss ratio for a particular accident year is determined, and is weighted against the portion of the accident year</w:t>
      </w:r>
      <w:r>
        <w:rPr>
          <w:rFonts w:ascii="Arial" w:cs="Arial" w:eastAsia="Arial" w:hAnsi="Arial"/>
          <w:sz w:val="16"/>
          <w:szCs w:val="16"/>
          <w:i w:val="1"/>
          <w:iCs w:val="1"/>
          <w:color w:val="auto"/>
        </w:rPr>
        <w:t xml:space="preserve"> </w:t>
      </w:r>
      <w:r>
        <w:rPr>
          <w:rFonts w:ascii="Arial" w:cs="Arial" w:eastAsia="Arial" w:hAnsi="Arial"/>
          <w:sz w:val="16"/>
          <w:szCs w:val="16"/>
          <w:color w:val="auto"/>
        </w:rPr>
        <w:t>claims that have been paid, based on historical paid loss development patterns. The estimate of required reserves assumes that the remaining unpaid portion of a particular accident year will pay out at a rate consistent with the estimated loss ratio for that year. This method can be useful for situations where an unusually high or low amount of paid losses exists at the early stages of the claims development process.</w:t>
      </w:r>
    </w:p>
    <w:p>
      <w:pPr>
        <w:spacing w:after="0" w:line="170" w:lineRule="exact"/>
        <w:rPr>
          <w:sz w:val="20"/>
          <w:szCs w:val="20"/>
          <w:color w:val="auto"/>
        </w:rPr>
      </w:pPr>
    </w:p>
    <w:p>
      <w:pPr>
        <w:jc w:val="both"/>
        <w:ind w:left="600" w:right="100"/>
        <w:spacing w:after="0" w:line="275" w:lineRule="auto"/>
        <w:rPr>
          <w:sz w:val="20"/>
          <w:szCs w:val="20"/>
          <w:color w:val="auto"/>
        </w:rPr>
      </w:pPr>
      <w:r>
        <w:rPr>
          <w:rFonts w:ascii="Arial" w:cs="Arial" w:eastAsia="Arial" w:hAnsi="Arial"/>
          <w:sz w:val="16"/>
          <w:szCs w:val="16"/>
          <w:i w:val="1"/>
          <w:iCs w:val="1"/>
          <w:color w:val="auto"/>
        </w:rPr>
        <w:t xml:space="preserve">Incurred Bornhuetter-Ferguson (“BF”) </w:t>
      </w:r>
      <w:r>
        <w:rPr>
          <w:rFonts w:ascii="Arial" w:cs="Arial" w:eastAsia="Arial" w:hAnsi="Arial"/>
          <w:sz w:val="16"/>
          <w:szCs w:val="16"/>
          <w:color w:val="auto"/>
        </w:rPr>
        <w:t>- an estimated loss ratio for a particular accident year is determined, and is weighted against the portion of the accident year</w:t>
      </w:r>
      <w:r>
        <w:rPr>
          <w:rFonts w:ascii="Arial" w:cs="Arial" w:eastAsia="Arial" w:hAnsi="Arial"/>
          <w:sz w:val="16"/>
          <w:szCs w:val="16"/>
          <w:i w:val="1"/>
          <w:iCs w:val="1"/>
          <w:color w:val="auto"/>
        </w:rPr>
        <w:t xml:space="preserve"> </w:t>
      </w:r>
      <w:r>
        <w:rPr>
          <w:rFonts w:ascii="Arial" w:cs="Arial" w:eastAsia="Arial" w:hAnsi="Arial"/>
          <w:sz w:val="16"/>
          <w:szCs w:val="16"/>
          <w:color w:val="auto"/>
        </w:rPr>
        <w:t>claims that have been reported, based on historical incurred loss development patterns. The estimate of required reserves assumes that the remaining unreported portion of a particular accident year will pay out at a rate consistent with the estimated loss ratio for that year. This method can be useful for situations where an unusually high or low amount of reported losses exists at the early stages of the claims development process.</w:t>
      </w:r>
    </w:p>
    <w:p>
      <w:pPr>
        <w:spacing w:after="0" w:line="170" w:lineRule="exact"/>
        <w:rPr>
          <w:sz w:val="20"/>
          <w:szCs w:val="20"/>
          <w:color w:val="auto"/>
        </w:rPr>
      </w:pPr>
    </w:p>
    <w:p>
      <w:pPr>
        <w:jc w:val="both"/>
        <w:ind w:left="600" w:right="100"/>
        <w:spacing w:after="0" w:line="298" w:lineRule="auto"/>
        <w:rPr>
          <w:sz w:val="20"/>
          <w:szCs w:val="20"/>
          <w:color w:val="auto"/>
        </w:rPr>
      </w:pPr>
      <w:r>
        <w:rPr>
          <w:rFonts w:ascii="Arial" w:cs="Arial" w:eastAsia="Arial" w:hAnsi="Arial"/>
          <w:sz w:val="15"/>
          <w:szCs w:val="15"/>
          <w:i w:val="1"/>
          <w:iCs w:val="1"/>
          <w:color w:val="auto"/>
        </w:rPr>
        <w:t xml:space="preserve">Incremental Claim-Based Methods </w:t>
      </w:r>
      <w:r>
        <w:rPr>
          <w:rFonts w:ascii="Arial" w:cs="Arial" w:eastAsia="Arial" w:hAnsi="Arial"/>
          <w:sz w:val="15"/>
          <w:szCs w:val="15"/>
          <w:color w:val="auto"/>
        </w:rPr>
        <w:t>– historical patterns of incremental incurred losses and paid LAE during various stages of development are reviewed and</w:t>
      </w:r>
      <w:r>
        <w:rPr>
          <w:rFonts w:ascii="Arial" w:cs="Arial" w:eastAsia="Arial" w:hAnsi="Arial"/>
          <w:sz w:val="15"/>
          <w:szCs w:val="15"/>
          <w:i w:val="1"/>
          <w:iCs w:val="1"/>
          <w:color w:val="auto"/>
        </w:rPr>
        <w:t xml:space="preserve"> </w:t>
      </w:r>
      <w:r>
        <w:rPr>
          <w:rFonts w:ascii="Arial" w:cs="Arial" w:eastAsia="Arial" w:hAnsi="Arial"/>
          <w:sz w:val="15"/>
          <w:szCs w:val="15"/>
          <w:color w:val="auto"/>
        </w:rPr>
        <w:t>assumptions are made regarding average loss and LAE development applied to remaining claims inventory. Such methods more properly reflect changes in the speed of claims closure and the relative adequacy of case reserve levels at various stages of development. These methods may provide a more accurate estimate of IBNR for lines of business with relatively few remaining open claims but for which significant recent settlement activity has occurred.</w:t>
      </w:r>
    </w:p>
    <w:p>
      <w:pPr>
        <w:spacing w:after="0" w:line="157" w:lineRule="exact"/>
        <w:rPr>
          <w:sz w:val="20"/>
          <w:szCs w:val="20"/>
          <w:color w:val="auto"/>
        </w:rPr>
      </w:pPr>
    </w:p>
    <w:p>
      <w:pPr>
        <w:jc w:val="both"/>
        <w:ind w:left="600" w:right="100"/>
        <w:spacing w:after="0" w:line="294" w:lineRule="auto"/>
        <w:rPr>
          <w:sz w:val="20"/>
          <w:szCs w:val="20"/>
          <w:color w:val="auto"/>
        </w:rPr>
      </w:pPr>
      <w:r>
        <w:rPr>
          <w:rFonts w:ascii="Arial" w:cs="Arial" w:eastAsia="Arial" w:hAnsi="Arial"/>
          <w:sz w:val="15"/>
          <w:szCs w:val="15"/>
          <w:i w:val="1"/>
          <w:iCs w:val="1"/>
          <w:color w:val="auto"/>
        </w:rPr>
        <w:t xml:space="preserve">Frequency / Severity Based Methods </w:t>
      </w:r>
      <w:r>
        <w:rPr>
          <w:rFonts w:ascii="Arial" w:cs="Arial" w:eastAsia="Arial" w:hAnsi="Arial"/>
          <w:sz w:val="15"/>
          <w:szCs w:val="15"/>
          <w:color w:val="auto"/>
        </w:rPr>
        <w:t>– historical measurements of claim frequency and average paid claim size (severity) are reviewed for more mature accident</w:t>
      </w:r>
      <w:r>
        <w:rPr>
          <w:rFonts w:ascii="Arial" w:cs="Arial" w:eastAsia="Arial" w:hAnsi="Arial"/>
          <w:sz w:val="15"/>
          <w:szCs w:val="15"/>
          <w:i w:val="1"/>
          <w:iCs w:val="1"/>
          <w:color w:val="auto"/>
        </w:rPr>
        <w:t xml:space="preserve"> </w:t>
      </w:r>
      <w:r>
        <w:rPr>
          <w:rFonts w:ascii="Arial" w:cs="Arial" w:eastAsia="Arial" w:hAnsi="Arial"/>
          <w:sz w:val="15"/>
          <w:szCs w:val="15"/>
          <w:color w:val="auto"/>
        </w:rPr>
        <w:t>years where a majority of claims have been reported and/or closed. These historical averages are trended forward to more recent periods in order to estimate ultimate losses for newer accident years that are not yet fully developed. These methods are useful for lines of business with slow and/or volatile loss development patterns, such as liability lines where information pertaining to individual cases may not be completely known for many years. The claim frequency and severity information for older periods can then be used as reasonable measures for developing a range of estimates for more recent immature periods.</w:t>
      </w:r>
    </w:p>
    <w:p>
      <w:pPr>
        <w:spacing w:after="0" w:line="160" w:lineRule="exact"/>
        <w:rPr>
          <w:sz w:val="20"/>
          <w:szCs w:val="20"/>
          <w:color w:val="auto"/>
        </w:rPr>
      </w:pPr>
    </w:p>
    <w:p>
      <w:pPr>
        <w:jc w:val="both"/>
        <w:ind w:right="100"/>
        <w:spacing w:after="0" w:line="280" w:lineRule="auto"/>
        <w:rPr>
          <w:sz w:val="20"/>
          <w:szCs w:val="20"/>
          <w:color w:val="auto"/>
        </w:rPr>
      </w:pPr>
      <w:r>
        <w:rPr>
          <w:rFonts w:ascii="Arial" w:cs="Arial" w:eastAsia="Arial" w:hAnsi="Arial"/>
          <w:sz w:val="16"/>
          <w:szCs w:val="16"/>
          <w:color w:val="auto"/>
        </w:rPr>
        <w:t>Management’s best estimate of required reserves is generally based on an average of the methods above, with appropriate weighting of methods based on the line of business and accident year being projected. In some cases, additional methods or historical data from industry sources are employed to supplement the projections derived from the methods listed above.</w:t>
      </w:r>
    </w:p>
    <w:p>
      <w:pPr>
        <w:spacing w:after="0" w:line="167" w:lineRule="exact"/>
        <w:rPr>
          <w:sz w:val="20"/>
          <w:szCs w:val="20"/>
          <w:color w:val="auto"/>
        </w:rPr>
      </w:pPr>
    </w:p>
    <w:p>
      <w:pPr>
        <w:jc w:val="both"/>
        <w:ind w:right="100"/>
        <w:spacing w:after="0" w:line="280" w:lineRule="auto"/>
        <w:rPr>
          <w:sz w:val="20"/>
          <w:szCs w:val="20"/>
          <w:color w:val="auto"/>
        </w:rPr>
      </w:pPr>
      <w:r>
        <w:rPr>
          <w:rFonts w:ascii="Arial" w:cs="Arial" w:eastAsia="Arial" w:hAnsi="Arial"/>
          <w:sz w:val="16"/>
          <w:szCs w:val="16"/>
          <w:color w:val="auto"/>
        </w:rPr>
        <w:t>Two key assumptions that materially affect the estimate of loss reserves are the loss ratio estimate for the current accident year used in the BF methods described above, and the loss development factor selections used in the loss development methods described above. The loss ratio estimates used in the BF methods are selected after reviewing historical accident year loss ratios adjusted for rate changes, trend, and mix of business.</w:t>
      </w:r>
    </w:p>
    <w:p>
      <w:pPr>
        <w:spacing w:after="0" w:line="167" w:lineRule="exact"/>
        <w:rPr>
          <w:sz w:val="20"/>
          <w:szCs w:val="20"/>
          <w:color w:val="auto"/>
        </w:rPr>
      </w:pPr>
    </w:p>
    <w:p>
      <w:pPr>
        <w:jc w:val="both"/>
        <w:ind w:right="100"/>
        <w:spacing w:after="0" w:line="296" w:lineRule="auto"/>
        <w:rPr>
          <w:sz w:val="20"/>
          <w:szCs w:val="20"/>
          <w:color w:val="auto"/>
        </w:rPr>
      </w:pPr>
      <w:r>
        <w:rPr>
          <w:rFonts w:ascii="Arial" w:cs="Arial" w:eastAsia="Arial" w:hAnsi="Arial"/>
          <w:sz w:val="16"/>
          <w:szCs w:val="16"/>
          <w:color w:val="auto"/>
        </w:rPr>
        <w:t>The Company is not aware of any claim trends that have emerged or that would cause future adverse development that have not already been contemplated in setting current carried reserves levels.</w:t>
      </w:r>
    </w:p>
    <w:p>
      <w:pPr>
        <w:spacing w:after="0" w:line="154" w:lineRule="exact"/>
        <w:rPr>
          <w:sz w:val="20"/>
          <w:szCs w:val="20"/>
          <w:color w:val="auto"/>
        </w:rPr>
      </w:pPr>
    </w:p>
    <w:p>
      <w:pPr>
        <w:jc w:val="both"/>
        <w:ind w:right="100"/>
        <w:spacing w:after="0" w:line="275" w:lineRule="auto"/>
        <w:rPr>
          <w:sz w:val="20"/>
          <w:szCs w:val="20"/>
          <w:color w:val="auto"/>
        </w:rPr>
      </w:pPr>
      <w:r>
        <w:rPr>
          <w:rFonts w:ascii="Arial" w:cs="Arial" w:eastAsia="Arial" w:hAnsi="Arial"/>
          <w:sz w:val="16"/>
          <w:szCs w:val="16"/>
          <w:color w:val="auto"/>
        </w:rPr>
        <w:t>In New York State, lawsuits for negligence are subject to certain limitations and must be commenced within three years from the date of the accident or are otherwise barred. Accordingly, the Company’s exposure to unreported claims (“pure” IBNR) for accident dates of September 30, 2016 and prior is limited, although there remains the possibility of adverse development on reported claims (“case development” IBNR). In certain rare circumstances states have retroactively revised a statute of limitations. The Company is not aware of any such effort that would have a material impact on the Company’s results.</w:t>
      </w:r>
    </w:p>
    <w:p>
      <w:pPr>
        <w:spacing w:after="0" w:line="170" w:lineRule="exact"/>
        <w:rPr>
          <w:sz w:val="20"/>
          <w:szCs w:val="20"/>
          <w:color w:val="auto"/>
        </w:rPr>
      </w:pPr>
    </w:p>
    <w:p>
      <w:pPr>
        <w:jc w:val="both"/>
        <w:ind w:right="100"/>
        <w:spacing w:after="0" w:line="307" w:lineRule="auto"/>
        <w:rPr>
          <w:sz w:val="20"/>
          <w:szCs w:val="20"/>
          <w:color w:val="auto"/>
        </w:rPr>
      </w:pPr>
      <w:r>
        <w:rPr>
          <w:rFonts w:ascii="Arial" w:cs="Arial" w:eastAsia="Arial" w:hAnsi="Arial"/>
          <w:sz w:val="15"/>
          <w:szCs w:val="15"/>
          <w:color w:val="auto"/>
        </w:rPr>
        <w:t>The following is information about incurred and paid claims development as of September 30, 2019, net of reinsurance, as well as the cumulative reported claims by accident year and total IBNR reserves as of September 30, 2019 included in the net incurred loss and allocated expense amounts. The historical information regarding incurred and paid claims development for the years ended December 31, 2010 to December 31, 2018 is presented as supplementary unaudited information.</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Lines of Business</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 thousands, except reported claims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5"/>
              </w:rPr>
              <w:t>As of</w:t>
            </w:r>
          </w:p>
        </w:tc>
      </w:tr>
      <w:tr>
        <w:trPr>
          <w:trHeight w:val="171"/>
        </w:trPr>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0" w:type="dxa"/>
            <w:vAlign w:val="bottom"/>
            <w:gridSpan w:val="11"/>
          </w:tcPr>
          <w:p>
            <w:pPr>
              <w:jc w:val="right"/>
              <w:ind w:right="359"/>
              <w:spacing w:after="0"/>
              <w:rPr>
                <w:sz w:val="20"/>
                <w:szCs w:val="20"/>
                <w:color w:val="auto"/>
              </w:rPr>
            </w:pPr>
            <w:r>
              <w:rPr>
                <w:rFonts w:ascii="Arial" w:cs="Arial" w:eastAsia="Arial" w:hAnsi="Arial"/>
                <w:sz w:val="14"/>
                <w:szCs w:val="14"/>
                <w:b w:val="1"/>
                <w:bCs w:val="1"/>
                <w:color w:val="auto"/>
                <w:w w:val="92"/>
              </w:rPr>
              <w:t>Incurred Loss and Allocated Loss Adjustment Expenses, Net of Reinsurance</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8"/>
              </w:rPr>
              <w:t>September 30, 2019</w:t>
            </w:r>
          </w:p>
        </w:tc>
      </w:tr>
      <w:tr>
        <w:trPr>
          <w:trHeight w:val="139"/>
        </w:trPr>
        <w:tc>
          <w:tcPr>
            <w:tcW w:w="5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center"/>
              <w:ind w:right="142"/>
              <w:spacing w:after="0" w:line="139" w:lineRule="exact"/>
              <w:rPr>
                <w:sz w:val="20"/>
                <w:szCs w:val="20"/>
                <w:color w:val="auto"/>
              </w:rPr>
            </w:pPr>
            <w:r>
              <w:rPr>
                <w:rFonts w:ascii="Arial" w:cs="Arial" w:eastAsia="Arial" w:hAnsi="Arial"/>
                <w:sz w:val="14"/>
                <w:szCs w:val="14"/>
                <w:b w:val="1"/>
                <w:bCs w:val="1"/>
                <w:color w:val="auto"/>
                <w:w w:val="92"/>
              </w:rPr>
              <w:t>Nine</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2"/>
              </w:rPr>
              <w:t>Cumulative</w:t>
            </w:r>
          </w:p>
        </w:tc>
        <w:tc>
          <w:tcPr>
            <w:tcW w:w="180" w:type="dxa"/>
            <w:vAlign w:val="bottom"/>
            <w:gridSpan w:val="2"/>
          </w:tcPr>
          <w:p>
            <w:pPr>
              <w:spacing w:after="0"/>
              <w:rPr>
                <w:sz w:val="12"/>
                <w:szCs w:val="12"/>
                <w:color w:val="auto"/>
              </w:rPr>
            </w:pPr>
          </w:p>
        </w:tc>
      </w:tr>
      <w:tr>
        <w:trPr>
          <w:trHeight w:val="152"/>
        </w:trPr>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center"/>
              <w:ind w:right="122"/>
              <w:spacing w:after="0" w:line="152" w:lineRule="exact"/>
              <w:rPr>
                <w:sz w:val="20"/>
                <w:szCs w:val="20"/>
                <w:color w:val="auto"/>
              </w:rPr>
            </w:pPr>
            <w:r>
              <w:rPr>
                <w:rFonts w:ascii="Arial" w:cs="Arial" w:eastAsia="Arial" w:hAnsi="Arial"/>
                <w:sz w:val="14"/>
                <w:szCs w:val="14"/>
                <w:b w:val="1"/>
                <w:bCs w:val="1"/>
                <w:color w:val="auto"/>
                <w:w w:val="92"/>
              </w:rPr>
              <w:t>Months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3"/>
          </w:tcPr>
          <w:p>
            <w:pPr>
              <w:jc w:val="center"/>
              <w:ind w:right="180"/>
              <w:spacing w:after="0" w:line="152" w:lineRule="exact"/>
              <w:rPr>
                <w:sz w:val="20"/>
                <w:szCs w:val="20"/>
                <w:color w:val="auto"/>
              </w:rPr>
            </w:pPr>
            <w:r>
              <w:rPr>
                <w:rFonts w:ascii="Arial" w:cs="Arial" w:eastAsia="Arial" w:hAnsi="Arial"/>
                <w:sz w:val="14"/>
                <w:szCs w:val="14"/>
                <w:b w:val="1"/>
                <w:bCs w:val="1"/>
                <w:color w:val="auto"/>
                <w:w w:val="94"/>
              </w:rPr>
              <w:t>Number of</w:t>
            </w:r>
          </w:p>
        </w:tc>
      </w:tr>
      <w:tr>
        <w:trPr>
          <w:trHeight w:val="152"/>
        </w:trPr>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center"/>
              <w:ind w:right="122"/>
              <w:spacing w:after="0" w:line="152" w:lineRule="exact"/>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3"/>
          </w:tcPr>
          <w:p>
            <w:pPr>
              <w:jc w:val="center"/>
              <w:ind w:right="180"/>
              <w:spacing w:after="0" w:line="152" w:lineRule="exact"/>
              <w:rPr>
                <w:sz w:val="20"/>
                <w:szCs w:val="20"/>
                <w:color w:val="auto"/>
              </w:rPr>
            </w:pPr>
            <w:r>
              <w:rPr>
                <w:rFonts w:ascii="Arial" w:cs="Arial" w:eastAsia="Arial" w:hAnsi="Arial"/>
                <w:sz w:val="14"/>
                <w:szCs w:val="14"/>
                <w:b w:val="1"/>
                <w:bCs w:val="1"/>
                <w:color w:val="auto"/>
                <w:w w:val="87"/>
              </w:rPr>
              <w:t>Reported</w:t>
            </w:r>
          </w:p>
        </w:tc>
      </w:tr>
      <w:tr>
        <w:trPr>
          <w:trHeight w:val="152"/>
        </w:trPr>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center"/>
              <w:spacing w:after="0" w:line="152" w:lineRule="exact"/>
              <w:rPr>
                <w:sz w:val="20"/>
                <w:szCs w:val="20"/>
                <w:color w:val="auto"/>
              </w:rPr>
            </w:pPr>
            <w:r>
              <w:rPr>
                <w:rFonts w:ascii="Arial" w:cs="Arial" w:eastAsia="Arial" w:hAnsi="Arial"/>
                <w:sz w:val="14"/>
                <w:szCs w:val="14"/>
                <w:b w:val="1"/>
                <w:bCs w:val="1"/>
                <w:color w:val="auto"/>
                <w:w w:val="88"/>
              </w:rPr>
              <w:t>September</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3"/>
          </w:tcPr>
          <w:p>
            <w:pPr>
              <w:jc w:val="center"/>
              <w:ind w:right="160"/>
              <w:spacing w:after="0" w:line="152" w:lineRule="exact"/>
              <w:rPr>
                <w:sz w:val="20"/>
                <w:szCs w:val="20"/>
                <w:color w:val="auto"/>
              </w:rPr>
            </w:pPr>
            <w:r>
              <w:rPr>
                <w:rFonts w:ascii="Arial" w:cs="Arial" w:eastAsia="Arial" w:hAnsi="Arial"/>
                <w:sz w:val="14"/>
                <w:szCs w:val="14"/>
                <w:b w:val="1"/>
                <w:bCs w:val="1"/>
                <w:color w:val="auto"/>
                <w:w w:val="90"/>
              </w:rPr>
              <w:t>Claims by</w:t>
            </w:r>
          </w:p>
        </w:tc>
      </w:tr>
      <w:tr>
        <w:trPr>
          <w:trHeight w:val="171"/>
        </w:trPr>
        <w:tc>
          <w:tcPr>
            <w:tcW w:w="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Accident</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5"/>
          </w:tcPr>
          <w:p>
            <w:pPr>
              <w:jc w:val="center"/>
              <w:ind w:right="119"/>
              <w:spacing w:after="0"/>
              <w:rPr>
                <w:sz w:val="20"/>
                <w:szCs w:val="20"/>
                <w:color w:val="auto"/>
              </w:rPr>
            </w:pPr>
            <w:r>
              <w:rPr>
                <w:rFonts w:ascii="Arial" w:cs="Arial" w:eastAsia="Arial" w:hAnsi="Arial"/>
                <w:sz w:val="14"/>
                <w:szCs w:val="14"/>
                <w:b w:val="1"/>
                <w:bCs w:val="1"/>
                <w:color w:val="auto"/>
                <w:w w:val="89"/>
              </w:rPr>
              <w:t>For the Years Ended December 31,</w:t>
            </w: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82"/>
              <w:spacing w:after="0"/>
              <w:rPr>
                <w:sz w:val="20"/>
                <w:szCs w:val="20"/>
                <w:color w:val="auto"/>
              </w:rPr>
            </w:pPr>
            <w:r>
              <w:rPr>
                <w:rFonts w:ascii="Arial" w:cs="Arial" w:eastAsia="Arial" w:hAnsi="Arial"/>
                <w:sz w:val="14"/>
                <w:szCs w:val="14"/>
                <w:b w:val="1"/>
                <w:bCs w:val="1"/>
                <w:color w:val="auto"/>
              </w:rPr>
              <w:t>30,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Accident</w:t>
            </w:r>
          </w:p>
        </w:tc>
      </w:tr>
      <w:tr>
        <w:trPr>
          <w:trHeight w:val="183"/>
        </w:trPr>
        <w:tc>
          <w:tcPr>
            <w:tcW w:w="60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w:t>
            </w:r>
          </w:p>
        </w:tc>
        <w:tc>
          <w:tcPr>
            <w:tcW w:w="180" w:type="dxa"/>
            <w:vAlign w:val="bottom"/>
          </w:tcPr>
          <w:p>
            <w:pPr>
              <w:spacing w:after="0"/>
              <w:rPr>
                <w:sz w:val="15"/>
                <w:szCs w:val="15"/>
                <w:color w:val="auto"/>
              </w:rPr>
            </w:pPr>
          </w:p>
        </w:tc>
        <w:tc>
          <w:tcPr>
            <w:tcW w:w="640" w:type="dxa"/>
            <w:vAlign w:val="bottom"/>
          </w:tcPr>
          <w:p>
            <w:pPr>
              <w:jc w:val="right"/>
              <w:ind w:right="224"/>
              <w:spacing w:after="0"/>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5"/>
                <w:szCs w:val="15"/>
                <w:color w:val="auto"/>
              </w:rPr>
            </w:pPr>
          </w:p>
        </w:tc>
        <w:tc>
          <w:tcPr>
            <w:tcW w:w="660" w:type="dxa"/>
            <w:vAlign w:val="bottom"/>
          </w:tcPr>
          <w:p>
            <w:pPr>
              <w:jc w:val="right"/>
              <w:ind w:right="244"/>
              <w:spacing w:after="0"/>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5"/>
                <w:szCs w:val="15"/>
                <w:color w:val="auto"/>
              </w:rPr>
            </w:pPr>
          </w:p>
        </w:tc>
        <w:tc>
          <w:tcPr>
            <w:tcW w:w="660" w:type="dxa"/>
            <w:vAlign w:val="bottom"/>
          </w:tcPr>
          <w:p>
            <w:pPr>
              <w:jc w:val="right"/>
              <w:ind w:right="241"/>
              <w:spacing w:after="0"/>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5"/>
                <w:szCs w:val="15"/>
                <w:color w:val="auto"/>
              </w:rPr>
            </w:pPr>
          </w:p>
        </w:tc>
        <w:tc>
          <w:tcPr>
            <w:tcW w:w="680" w:type="dxa"/>
            <w:vAlign w:val="bottom"/>
          </w:tcPr>
          <w:p>
            <w:pPr>
              <w:jc w:val="right"/>
              <w:ind w:right="243"/>
              <w:spacing w:after="0"/>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5"/>
                <w:szCs w:val="15"/>
                <w:color w:val="auto"/>
              </w:rPr>
            </w:pPr>
          </w:p>
        </w:tc>
        <w:tc>
          <w:tcPr>
            <w:tcW w:w="660" w:type="dxa"/>
            <w:vAlign w:val="bottom"/>
          </w:tcPr>
          <w:p>
            <w:pPr>
              <w:jc w:val="right"/>
              <w:ind w:right="240"/>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5"/>
                <w:szCs w:val="15"/>
                <w:color w:val="auto"/>
              </w:rPr>
            </w:pPr>
          </w:p>
        </w:tc>
        <w:tc>
          <w:tcPr>
            <w:tcW w:w="640" w:type="dxa"/>
            <w:vAlign w:val="bottom"/>
          </w:tcPr>
          <w:p>
            <w:pPr>
              <w:jc w:val="right"/>
              <w:ind w:right="239"/>
              <w:spacing w:after="0"/>
              <w:rPr>
                <w:sz w:val="20"/>
                <w:szCs w:val="20"/>
                <w:color w:val="auto"/>
              </w:rPr>
            </w:pPr>
            <w:r>
              <w:rPr>
                <w:rFonts w:ascii="Arial" w:cs="Arial" w:eastAsia="Arial" w:hAnsi="Arial"/>
                <w:sz w:val="14"/>
                <w:szCs w:val="14"/>
                <w:b w:val="1"/>
                <w:bCs w:val="1"/>
                <w:color w:val="auto"/>
                <w:w w:val="96"/>
              </w:rPr>
              <w:t>2015</w:t>
            </w:r>
          </w:p>
        </w:tc>
        <w:tc>
          <w:tcPr>
            <w:tcW w:w="240" w:type="dxa"/>
            <w:vAlign w:val="bottom"/>
          </w:tcPr>
          <w:p>
            <w:pPr>
              <w:spacing w:after="0"/>
              <w:rPr>
                <w:sz w:val="15"/>
                <w:szCs w:val="15"/>
                <w:color w:val="auto"/>
              </w:rPr>
            </w:pPr>
          </w:p>
        </w:tc>
        <w:tc>
          <w:tcPr>
            <w:tcW w:w="660" w:type="dxa"/>
            <w:vAlign w:val="bottom"/>
          </w:tcPr>
          <w:p>
            <w:pPr>
              <w:jc w:val="right"/>
              <w:ind w:right="239"/>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5"/>
                <w:szCs w:val="15"/>
                <w:color w:val="auto"/>
              </w:rPr>
            </w:pPr>
          </w:p>
        </w:tc>
        <w:tc>
          <w:tcPr>
            <w:tcW w:w="660" w:type="dxa"/>
            <w:vAlign w:val="bottom"/>
          </w:tcPr>
          <w:p>
            <w:pPr>
              <w:jc w:val="right"/>
              <w:ind w:right="239"/>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5"/>
                <w:szCs w:val="15"/>
                <w:color w:val="auto"/>
              </w:rPr>
            </w:pPr>
          </w:p>
        </w:tc>
        <w:tc>
          <w:tcPr>
            <w:tcW w:w="620" w:type="dxa"/>
            <w:vAlign w:val="bottom"/>
          </w:tcPr>
          <w:p>
            <w:pPr>
              <w:jc w:val="right"/>
              <w:ind w:right="159"/>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4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ind w:right="101"/>
              <w:spacing w:after="0"/>
              <w:rPr>
                <w:sz w:val="20"/>
                <w:szCs w:val="20"/>
                <w:color w:val="auto"/>
              </w:rPr>
            </w:pPr>
            <w:r>
              <w:rPr>
                <w:rFonts w:ascii="Arial" w:cs="Arial" w:eastAsia="Arial" w:hAnsi="Arial"/>
                <w:sz w:val="14"/>
                <w:szCs w:val="14"/>
                <w:b w:val="1"/>
                <w:bCs w:val="1"/>
                <w:color w:val="auto"/>
              </w:rPr>
              <w:t>IBNR</w:t>
            </w:r>
          </w:p>
        </w:tc>
        <w:tc>
          <w:tcPr>
            <w:tcW w:w="180" w:type="dxa"/>
            <w:vAlign w:val="bottom"/>
          </w:tcPr>
          <w:p>
            <w:pPr>
              <w:spacing w:after="0"/>
              <w:rPr>
                <w:sz w:val="15"/>
                <w:szCs w:val="15"/>
                <w:color w:val="auto"/>
              </w:rPr>
            </w:pPr>
          </w:p>
        </w:tc>
        <w:tc>
          <w:tcPr>
            <w:tcW w:w="9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5"/>
              </w:rPr>
              <w:t>Year</w:t>
            </w:r>
          </w:p>
        </w:tc>
      </w:tr>
      <w:tr>
        <w:trPr>
          <w:trHeight w:val="157"/>
        </w:trPr>
        <w:tc>
          <w:tcPr>
            <w:tcW w:w="540" w:type="dxa"/>
            <w:vAlign w:val="bottom"/>
            <w:tcBorders>
              <w:top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860" w:type="dxa"/>
            <w:vAlign w:val="bottom"/>
            <w:tcBorders>
              <w:top w:val="single" w:sz="8" w:color="auto"/>
              <w:bottom w:val="single" w:sz="8" w:color="auto"/>
            </w:tcBorders>
            <w:gridSpan w:val="4"/>
          </w:tcPr>
          <w:p>
            <w:pPr>
              <w:jc w:val="center"/>
              <w:ind w:left="363"/>
              <w:spacing w:after="0" w:line="152" w:lineRule="exact"/>
              <w:rPr>
                <w:sz w:val="20"/>
                <w:szCs w:val="20"/>
                <w:color w:val="auto"/>
              </w:rPr>
            </w:pPr>
            <w:r>
              <w:rPr>
                <w:rFonts w:ascii="Arial" w:cs="Arial" w:eastAsia="Arial" w:hAnsi="Arial"/>
                <w:sz w:val="14"/>
                <w:szCs w:val="14"/>
                <w:b w:val="1"/>
                <w:bCs w:val="1"/>
                <w:color w:val="auto"/>
                <w:w w:val="91"/>
              </w:rPr>
              <w:t>Unaudited 2010 - 2018</w:t>
            </w:r>
          </w:p>
        </w:tc>
        <w:tc>
          <w:tcPr>
            <w:tcW w:w="64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top w:val="single" w:sz="8" w:color="auto"/>
              <w:bottom w:val="single" w:sz="8" w:color="auto"/>
            </w:tcBorders>
            <w:gridSpan w:val="2"/>
          </w:tcPr>
          <w:p>
            <w:pPr>
              <w:jc w:val="right"/>
              <w:spacing w:after="0" w:line="152" w:lineRule="exact"/>
              <w:rPr>
                <w:sz w:val="20"/>
                <w:szCs w:val="20"/>
                <w:color w:val="auto"/>
              </w:rPr>
            </w:pPr>
            <w:r>
              <w:rPr>
                <w:rFonts w:ascii="Arial" w:cs="Arial" w:eastAsia="Arial" w:hAnsi="Arial"/>
                <w:sz w:val="14"/>
                <w:szCs w:val="14"/>
                <w:color w:val="auto"/>
                <w:w w:val="92"/>
              </w:rPr>
              <w:t>(Unaudited</w:t>
            </w:r>
            <w:r>
              <w:rPr>
                <w:rFonts w:ascii="Arial" w:cs="Arial" w:eastAsia="Arial" w:hAnsi="Arial"/>
                <w:sz w:val="14"/>
                <w:szCs w:val="14"/>
                <w:u w:val="single" w:color="auto"/>
                <w:color w:val="auto"/>
                <w:w w:val="92"/>
              </w:rPr>
              <w:t>)</w:t>
            </w:r>
          </w:p>
        </w:tc>
        <w:tc>
          <w:tcPr>
            <w:tcW w:w="180" w:type="dxa"/>
            <w:vAlign w:val="bottom"/>
            <w:tcBorders>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03"/>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2010</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5,598</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5,707</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6,429</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6,623</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6,912</w:t>
            </w:r>
          </w:p>
        </w:tc>
        <w:tc>
          <w:tcPr>
            <w:tcW w:w="28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6,853</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6,838</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6,840</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6,793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w w:val="89"/>
              </w:rPr>
              <w:t>1,617</w:t>
            </w:r>
          </w:p>
        </w:tc>
        <w:tc>
          <w:tcPr>
            <w:tcW w:w="8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40" w:type="dxa"/>
            <w:vAlign w:val="bottom"/>
          </w:tcPr>
          <w:p>
            <w:pPr>
              <w:jc w:val="center"/>
              <w:spacing w:after="0"/>
              <w:rPr>
                <w:sz w:val="20"/>
                <w:szCs w:val="20"/>
                <w:color w:val="auto"/>
              </w:rPr>
            </w:pPr>
            <w:r>
              <w:rPr>
                <w:rFonts w:ascii="Arial" w:cs="Arial" w:eastAsia="Arial" w:hAnsi="Arial"/>
                <w:sz w:val="16"/>
                <w:szCs w:val="16"/>
                <w:color w:val="auto"/>
                <w:w w:val="89"/>
              </w:rPr>
              <w:t>2011</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ind w:right="24"/>
              <w:spacing w:after="0"/>
              <w:rPr>
                <w:sz w:val="20"/>
                <w:szCs w:val="20"/>
                <w:color w:val="auto"/>
              </w:rPr>
            </w:pPr>
            <w:r>
              <w:rPr>
                <w:rFonts w:ascii="Arial" w:cs="Arial" w:eastAsia="Arial" w:hAnsi="Arial"/>
                <w:sz w:val="16"/>
                <w:szCs w:val="16"/>
                <w:color w:val="auto"/>
              </w:rPr>
              <w:t>7,603</w:t>
            </w:r>
          </w:p>
        </w:tc>
        <w:tc>
          <w:tcPr>
            <w:tcW w:w="240" w:type="dxa"/>
            <w:vAlign w:val="bottom"/>
          </w:tcPr>
          <w:p>
            <w:pPr>
              <w:spacing w:after="0"/>
              <w:rPr>
                <w:sz w:val="17"/>
                <w:szCs w:val="17"/>
                <w:color w:val="auto"/>
              </w:rPr>
            </w:pPr>
          </w:p>
        </w:tc>
        <w:tc>
          <w:tcPr>
            <w:tcW w:w="660" w:type="dxa"/>
            <w:vAlign w:val="bottom"/>
          </w:tcPr>
          <w:p>
            <w:pPr>
              <w:jc w:val="right"/>
              <w:ind w:right="21"/>
              <w:spacing w:after="0"/>
              <w:rPr>
                <w:sz w:val="20"/>
                <w:szCs w:val="20"/>
                <w:color w:val="auto"/>
              </w:rPr>
            </w:pPr>
            <w:r>
              <w:rPr>
                <w:rFonts w:ascii="Arial" w:cs="Arial" w:eastAsia="Arial" w:hAnsi="Arial"/>
                <w:sz w:val="16"/>
                <w:szCs w:val="16"/>
                <w:color w:val="auto"/>
              </w:rPr>
              <w:t>7,678</w:t>
            </w:r>
          </w:p>
        </w:tc>
        <w:tc>
          <w:tcPr>
            <w:tcW w:w="240" w:type="dxa"/>
            <w:vAlign w:val="bottom"/>
          </w:tcPr>
          <w:p>
            <w:pPr>
              <w:spacing w:after="0"/>
              <w:rPr>
                <w:sz w:val="17"/>
                <w:szCs w:val="17"/>
                <w:color w:val="auto"/>
              </w:rPr>
            </w:pPr>
          </w:p>
        </w:tc>
        <w:tc>
          <w:tcPr>
            <w:tcW w:w="680" w:type="dxa"/>
            <w:vAlign w:val="bottom"/>
          </w:tcPr>
          <w:p>
            <w:pPr>
              <w:jc w:val="right"/>
              <w:ind w:right="23"/>
              <w:spacing w:after="0"/>
              <w:rPr>
                <w:sz w:val="20"/>
                <w:szCs w:val="20"/>
                <w:color w:val="auto"/>
              </w:rPr>
            </w:pPr>
            <w:r>
              <w:rPr>
                <w:rFonts w:ascii="Arial" w:cs="Arial" w:eastAsia="Arial" w:hAnsi="Arial"/>
                <w:sz w:val="16"/>
                <w:szCs w:val="16"/>
                <w:color w:val="auto"/>
              </w:rPr>
              <w:t>8,618</w:t>
            </w: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9,440</w:t>
            </w:r>
          </w:p>
        </w:tc>
        <w:tc>
          <w:tcPr>
            <w:tcW w:w="280" w:type="dxa"/>
            <w:vAlign w:val="bottom"/>
          </w:tcPr>
          <w:p>
            <w:pPr>
              <w:spacing w:after="0"/>
              <w:rPr>
                <w:sz w:val="17"/>
                <w:szCs w:val="17"/>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9,198</w:t>
            </w: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9,066</w:t>
            </w:r>
          </w:p>
        </w:tc>
        <w:tc>
          <w:tcPr>
            <w:tcW w:w="260" w:type="dxa"/>
            <w:vAlign w:val="bottom"/>
          </w:tcPr>
          <w:p>
            <w:pPr>
              <w:spacing w:after="0"/>
              <w:rPr>
                <w:sz w:val="17"/>
                <w:szCs w:val="17"/>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9,144</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9,171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2"/>
              <w:spacing w:after="0"/>
              <w:rPr>
                <w:sz w:val="20"/>
                <w:szCs w:val="20"/>
                <w:color w:val="auto"/>
              </w:rPr>
            </w:pPr>
            <w:r>
              <w:rPr>
                <w:rFonts w:ascii="Arial" w:cs="Arial" w:eastAsia="Arial" w:hAnsi="Arial"/>
                <w:sz w:val="16"/>
                <w:szCs w:val="16"/>
                <w:color w:val="auto"/>
              </w:rPr>
              <w:t>9,161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w:t>
            </w:r>
          </w:p>
        </w:tc>
        <w:tc>
          <w:tcPr>
            <w:tcW w:w="920" w:type="dxa"/>
            <w:vAlign w:val="bottom"/>
            <w:gridSpan w:val="2"/>
          </w:tcPr>
          <w:p>
            <w:pPr>
              <w:ind w:left="540"/>
              <w:spacing w:after="0"/>
              <w:rPr>
                <w:sz w:val="20"/>
                <w:szCs w:val="20"/>
                <w:color w:val="auto"/>
              </w:rPr>
            </w:pPr>
            <w:r>
              <w:rPr>
                <w:rFonts w:ascii="Arial" w:cs="Arial" w:eastAsia="Arial" w:hAnsi="Arial"/>
                <w:sz w:val="16"/>
                <w:szCs w:val="16"/>
                <w:color w:val="auto"/>
                <w:w w:val="89"/>
              </w:rPr>
              <w:t>1,914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2012</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9,539</w:t>
            </w: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9,344</w:t>
            </w: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10,278</w:t>
            </w: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10,382</w:t>
            </w: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10,582</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10,790</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10,791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11,016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0" w:type="dxa"/>
            <w:vAlign w:val="bottom"/>
            <w:gridSpan w:val="3"/>
            <w:shd w:val="clear" w:color="auto" w:fill="CCEEFF"/>
          </w:tcPr>
          <w:p>
            <w:pPr>
              <w:ind w:left="540"/>
              <w:spacing w:after="0"/>
              <w:rPr>
                <w:sz w:val="20"/>
                <w:szCs w:val="20"/>
                <w:color w:val="auto"/>
              </w:rPr>
            </w:pPr>
            <w:r>
              <w:rPr>
                <w:rFonts w:ascii="Arial" w:cs="Arial" w:eastAsia="Arial" w:hAnsi="Arial"/>
                <w:sz w:val="16"/>
                <w:szCs w:val="16"/>
                <w:color w:val="auto"/>
                <w:w w:val="73"/>
              </w:rPr>
              <w:t>4,704(1)</w:t>
            </w:r>
          </w:p>
        </w:tc>
        <w:tc>
          <w:tcPr>
            <w:tcW w:w="100" w:type="dxa"/>
            <w:vAlign w:val="bottom"/>
          </w:tcPr>
          <w:p>
            <w:pPr>
              <w:spacing w:after="0"/>
              <w:rPr>
                <w:sz w:val="17"/>
                <w:szCs w:val="17"/>
                <w:color w:val="auto"/>
              </w:rPr>
            </w:pPr>
          </w:p>
        </w:tc>
      </w:tr>
      <w:tr>
        <w:trPr>
          <w:trHeight w:val="203"/>
        </w:trPr>
        <w:tc>
          <w:tcPr>
            <w:tcW w:w="540" w:type="dxa"/>
            <w:vAlign w:val="bottom"/>
          </w:tcPr>
          <w:p>
            <w:pPr>
              <w:jc w:val="center"/>
              <w:spacing w:after="0"/>
              <w:rPr>
                <w:sz w:val="20"/>
                <w:szCs w:val="20"/>
                <w:color w:val="auto"/>
              </w:rPr>
            </w:pPr>
            <w:r>
              <w:rPr>
                <w:rFonts w:ascii="Arial" w:cs="Arial" w:eastAsia="Arial" w:hAnsi="Arial"/>
                <w:sz w:val="16"/>
                <w:szCs w:val="16"/>
                <w:color w:val="auto"/>
                <w:w w:val="95"/>
              </w:rPr>
              <w:t>2013</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ind w:right="23"/>
              <w:spacing w:after="0"/>
              <w:rPr>
                <w:sz w:val="20"/>
                <w:szCs w:val="20"/>
                <w:color w:val="auto"/>
              </w:rPr>
            </w:pPr>
            <w:r>
              <w:rPr>
                <w:rFonts w:ascii="Arial" w:cs="Arial" w:eastAsia="Arial" w:hAnsi="Arial"/>
                <w:sz w:val="16"/>
                <w:szCs w:val="16"/>
                <w:color w:val="auto"/>
              </w:rPr>
              <w:t>10,728</w:t>
            </w: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9,745</w:t>
            </w:r>
          </w:p>
        </w:tc>
        <w:tc>
          <w:tcPr>
            <w:tcW w:w="280" w:type="dxa"/>
            <w:vAlign w:val="bottom"/>
          </w:tcPr>
          <w:p>
            <w:pPr>
              <w:spacing w:after="0"/>
              <w:rPr>
                <w:sz w:val="17"/>
                <w:szCs w:val="17"/>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9,424</w:t>
            </w: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9,621</w:t>
            </w:r>
          </w:p>
        </w:tc>
        <w:tc>
          <w:tcPr>
            <w:tcW w:w="260" w:type="dxa"/>
            <w:vAlign w:val="bottom"/>
          </w:tcPr>
          <w:p>
            <w:pPr>
              <w:spacing w:after="0"/>
              <w:rPr>
                <w:sz w:val="17"/>
                <w:szCs w:val="17"/>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10,061</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10,089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2"/>
              <w:spacing w:after="0"/>
              <w:rPr>
                <w:sz w:val="20"/>
                <w:szCs w:val="20"/>
                <w:color w:val="auto"/>
              </w:rPr>
            </w:pPr>
            <w:r>
              <w:rPr>
                <w:rFonts w:ascii="Arial" w:cs="Arial" w:eastAsia="Arial" w:hAnsi="Arial"/>
                <w:sz w:val="16"/>
                <w:szCs w:val="16"/>
                <w:color w:val="auto"/>
              </w:rPr>
              <w:t>10,571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95</w:t>
            </w:r>
          </w:p>
        </w:tc>
        <w:tc>
          <w:tcPr>
            <w:tcW w:w="920" w:type="dxa"/>
            <w:vAlign w:val="bottom"/>
            <w:gridSpan w:val="2"/>
          </w:tcPr>
          <w:p>
            <w:pPr>
              <w:ind w:left="540"/>
              <w:spacing w:after="0"/>
              <w:rPr>
                <w:sz w:val="20"/>
                <w:szCs w:val="20"/>
                <w:color w:val="auto"/>
              </w:rPr>
            </w:pPr>
            <w:r>
              <w:rPr>
                <w:rFonts w:ascii="Arial" w:cs="Arial" w:eastAsia="Arial" w:hAnsi="Arial"/>
                <w:sz w:val="16"/>
                <w:szCs w:val="16"/>
                <w:color w:val="auto"/>
                <w:w w:val="89"/>
              </w:rPr>
              <w:t>1,561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2014</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14,193</w:t>
            </w: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14,260</w:t>
            </w: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14,218</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14,564</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15,023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16,576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w:t>
            </w: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w w:val="89"/>
              </w:rPr>
              <w:t>2,134</w:t>
            </w:r>
          </w:p>
        </w:tc>
        <w:tc>
          <w:tcPr>
            <w:tcW w:w="8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40" w:type="dxa"/>
            <w:vAlign w:val="bottom"/>
          </w:tcPr>
          <w:p>
            <w:pPr>
              <w:jc w:val="center"/>
              <w:spacing w:after="0"/>
              <w:rPr>
                <w:sz w:val="20"/>
                <w:szCs w:val="20"/>
                <w:color w:val="auto"/>
              </w:rPr>
            </w:pPr>
            <w:r>
              <w:rPr>
                <w:rFonts w:ascii="Arial" w:cs="Arial" w:eastAsia="Arial" w:hAnsi="Arial"/>
                <w:sz w:val="16"/>
                <w:szCs w:val="16"/>
                <w:color w:val="auto"/>
                <w:w w:val="95"/>
              </w:rPr>
              <w:t>2015</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22,340</w:t>
            </w: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21,994</w:t>
            </w:r>
          </w:p>
        </w:tc>
        <w:tc>
          <w:tcPr>
            <w:tcW w:w="260" w:type="dxa"/>
            <w:vAlign w:val="bottom"/>
          </w:tcPr>
          <w:p>
            <w:pPr>
              <w:spacing w:after="0"/>
              <w:rPr>
                <w:sz w:val="17"/>
                <w:szCs w:val="17"/>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22,148</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22,491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2"/>
              <w:spacing w:after="0"/>
              <w:rPr>
                <w:sz w:val="20"/>
                <w:szCs w:val="20"/>
                <w:color w:val="auto"/>
              </w:rPr>
            </w:pPr>
            <w:r>
              <w:rPr>
                <w:rFonts w:ascii="Arial" w:cs="Arial" w:eastAsia="Arial" w:hAnsi="Arial"/>
                <w:sz w:val="16"/>
                <w:szCs w:val="16"/>
                <w:color w:val="auto"/>
              </w:rPr>
              <w:t>23,408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311</w:t>
            </w:r>
          </w:p>
        </w:tc>
        <w:tc>
          <w:tcPr>
            <w:tcW w:w="920" w:type="dxa"/>
            <w:vAlign w:val="bottom"/>
            <w:gridSpan w:val="2"/>
          </w:tcPr>
          <w:p>
            <w:pPr>
              <w:ind w:left="540"/>
              <w:spacing w:after="0"/>
              <w:rPr>
                <w:sz w:val="20"/>
                <w:szCs w:val="20"/>
                <w:color w:val="auto"/>
              </w:rPr>
            </w:pPr>
            <w:r>
              <w:rPr>
                <w:rFonts w:ascii="Arial" w:cs="Arial" w:eastAsia="Arial" w:hAnsi="Arial"/>
                <w:sz w:val="16"/>
                <w:szCs w:val="16"/>
                <w:color w:val="auto"/>
                <w:w w:val="89"/>
              </w:rPr>
              <w:t>2,555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2016</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26,062</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24,941</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24,789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28,209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883</w:t>
            </w: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w w:val="89"/>
              </w:rPr>
              <w:t>2,873</w:t>
            </w:r>
          </w:p>
        </w:tc>
        <w:tc>
          <w:tcPr>
            <w:tcW w:w="8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40" w:type="dxa"/>
            <w:vAlign w:val="bottom"/>
          </w:tcPr>
          <w:p>
            <w:pPr>
              <w:jc w:val="center"/>
              <w:spacing w:after="0"/>
              <w:rPr>
                <w:sz w:val="20"/>
                <w:szCs w:val="20"/>
                <w:color w:val="auto"/>
              </w:rPr>
            </w:pPr>
            <w:r>
              <w:rPr>
                <w:rFonts w:ascii="Arial" w:cs="Arial" w:eastAsia="Arial" w:hAnsi="Arial"/>
                <w:sz w:val="16"/>
                <w:szCs w:val="16"/>
                <w:color w:val="auto"/>
                <w:w w:val="95"/>
              </w:rPr>
              <w:t>2017</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31,605</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32,169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2"/>
              <w:spacing w:after="0"/>
              <w:rPr>
                <w:sz w:val="20"/>
                <w:szCs w:val="20"/>
                <w:color w:val="auto"/>
              </w:rPr>
            </w:pPr>
            <w:r>
              <w:rPr>
                <w:rFonts w:ascii="Arial" w:cs="Arial" w:eastAsia="Arial" w:hAnsi="Arial"/>
                <w:sz w:val="16"/>
                <w:szCs w:val="16"/>
                <w:color w:val="auto"/>
              </w:rPr>
              <w:t>34,848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879</w:t>
            </w:r>
          </w:p>
        </w:tc>
        <w:tc>
          <w:tcPr>
            <w:tcW w:w="920" w:type="dxa"/>
            <w:vAlign w:val="bottom"/>
            <w:gridSpan w:val="2"/>
          </w:tcPr>
          <w:p>
            <w:pPr>
              <w:ind w:left="540"/>
              <w:spacing w:after="0"/>
              <w:rPr>
                <w:sz w:val="20"/>
                <w:szCs w:val="20"/>
                <w:color w:val="auto"/>
              </w:rPr>
            </w:pPr>
            <w:r>
              <w:rPr>
                <w:rFonts w:ascii="Arial" w:cs="Arial" w:eastAsia="Arial" w:hAnsi="Arial"/>
                <w:sz w:val="16"/>
                <w:szCs w:val="16"/>
                <w:color w:val="auto"/>
                <w:w w:val="89"/>
              </w:rPr>
              <w:t>3,368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2018</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54,455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56,320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3,091</w:t>
            </w: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w w:val="89"/>
              </w:rPr>
              <w:t>4,162</w:t>
            </w:r>
          </w:p>
        </w:tc>
        <w:tc>
          <w:tcPr>
            <w:tcW w:w="8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r>
      <w:tr>
        <w:trPr>
          <w:trHeight w:val="208"/>
        </w:trPr>
        <w:tc>
          <w:tcPr>
            <w:tcW w:w="540" w:type="dxa"/>
            <w:vAlign w:val="bottom"/>
          </w:tcPr>
          <w:p>
            <w:pPr>
              <w:jc w:val="center"/>
              <w:spacing w:after="0"/>
              <w:rPr>
                <w:sz w:val="20"/>
                <w:szCs w:val="20"/>
                <w:color w:val="auto"/>
              </w:rPr>
            </w:pPr>
            <w:r>
              <w:rPr>
                <w:rFonts w:ascii="Arial" w:cs="Arial" w:eastAsia="Arial" w:hAnsi="Arial"/>
                <w:sz w:val="16"/>
                <w:szCs w:val="16"/>
                <w:color w:val="auto"/>
                <w:w w:val="95"/>
              </w:rPr>
              <w:t>2019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57,364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16,404</w:t>
            </w:r>
          </w:p>
        </w:tc>
        <w:tc>
          <w:tcPr>
            <w:tcW w:w="920" w:type="dxa"/>
            <w:vAlign w:val="bottom"/>
            <w:gridSpan w:val="2"/>
          </w:tcPr>
          <w:p>
            <w:pPr>
              <w:ind w:left="560"/>
              <w:spacing w:after="0"/>
              <w:rPr>
                <w:sz w:val="20"/>
                <w:szCs w:val="20"/>
                <w:color w:val="auto"/>
              </w:rPr>
            </w:pPr>
            <w:r>
              <w:rPr>
                <w:rFonts w:ascii="Arial" w:cs="Arial" w:eastAsia="Arial" w:hAnsi="Arial"/>
                <w:sz w:val="16"/>
                <w:szCs w:val="16"/>
                <w:color w:val="auto"/>
                <w:w w:val="84"/>
              </w:rPr>
              <w:t>3,118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5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Total</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254,266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r>
    </w:tbl>
    <w:p>
      <w:pPr>
        <w:spacing w:after="0" w:line="194" w:lineRule="exact"/>
        <w:rPr>
          <w:sz w:val="20"/>
          <w:szCs w:val="20"/>
          <w:color w:val="auto"/>
        </w:rPr>
      </w:pPr>
    </w:p>
    <w:p>
      <w:pPr>
        <w:ind w:left="5640" w:right="5580" w:hanging="5639"/>
        <w:spacing w:after="0" w:line="589" w:lineRule="auto"/>
        <w:tabs>
          <w:tab w:leader="none" w:pos="243" w:val="left"/>
        </w:tabs>
        <w:numPr>
          <w:ilvl w:val="0"/>
          <w:numId w:val="5"/>
        </w:numPr>
        <w:rPr>
          <w:rFonts w:ascii="Arial" w:cs="Arial" w:eastAsia="Arial" w:hAnsi="Arial"/>
          <w:sz w:val="14"/>
          <w:szCs w:val="14"/>
          <w:color w:val="auto"/>
        </w:rPr>
      </w:pPr>
      <w:r>
        <w:rPr>
          <w:rFonts w:ascii="Arial" w:cs="Arial" w:eastAsia="Arial" w:hAnsi="Arial"/>
          <w:sz w:val="14"/>
          <w:szCs w:val="14"/>
          <w:color w:val="auto"/>
        </w:rPr>
        <w:t>Reported claims for accident year 2012 includes 3,406 claims from Superstorm Sandy.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253365</wp:posOffset>
            </wp:positionV>
            <wp:extent cx="725487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520"/>
          </w:cols>
          <w:pgMar w:left="240" w:top="485" w:right="1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color w:val="auto"/>
        </w:rPr>
        <w:t>All Lines of Business</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880" w:type="dxa"/>
            <w:vAlign w:val="bottom"/>
            <w:tcBorders>
              <w:bottom w:val="single" w:sz="8" w:color="auto"/>
            </w:tcBorders>
            <w:gridSpan w:val="11"/>
          </w:tcPr>
          <w:p>
            <w:pPr>
              <w:ind w:left="280"/>
              <w:spacing w:after="0"/>
              <w:rPr>
                <w:sz w:val="20"/>
                <w:szCs w:val="20"/>
                <w:color w:val="auto"/>
              </w:rPr>
            </w:pPr>
            <w:r>
              <w:rPr>
                <w:rFonts w:ascii="Arial" w:cs="Arial" w:eastAsia="Arial" w:hAnsi="Arial"/>
                <w:sz w:val="14"/>
                <w:szCs w:val="14"/>
                <w:b w:val="1"/>
                <w:bCs w:val="1"/>
                <w:color w:val="auto"/>
                <w:w w:val="99"/>
              </w:rPr>
              <w:t>Cumulative Paid Loss and Allocated Loss Adjustment Expenses, Net of Reinsurance</w:t>
            </w: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2"/>
              </w:rPr>
              <w:t>Nine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center"/>
              <w:ind w:right="180"/>
              <w:spacing w:after="0" w:line="152" w:lineRule="exact"/>
              <w:rPr>
                <w:sz w:val="20"/>
                <w:szCs w:val="20"/>
                <w:color w:val="auto"/>
              </w:rPr>
            </w:pPr>
            <w:r>
              <w:rPr>
                <w:rFonts w:ascii="Arial" w:cs="Arial" w:eastAsia="Arial" w:hAnsi="Arial"/>
                <w:sz w:val="14"/>
                <w:szCs w:val="14"/>
                <w:b w:val="1"/>
                <w:bCs w:val="1"/>
                <w:color w:val="auto"/>
                <w:w w:val="92"/>
              </w:rPr>
              <w:t>Months</w:t>
            </w:r>
          </w:p>
        </w:tc>
        <w:tc>
          <w:tcPr>
            <w:tcW w:w="0" w:type="dxa"/>
            <w:vAlign w:val="bottom"/>
          </w:tcPr>
          <w:p>
            <w:pPr>
              <w:spacing w:after="0"/>
              <w:rPr>
                <w:sz w:val="1"/>
                <w:szCs w:val="1"/>
                <w:color w:val="auto"/>
              </w:rPr>
            </w:pPr>
          </w:p>
        </w:tc>
      </w:tr>
      <w:tr>
        <w:trPr>
          <w:trHeight w:val="152"/>
        </w:trPr>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center"/>
              <w:ind w:right="180"/>
              <w:spacing w:after="0" w:line="152"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52"/>
        </w:trPr>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0" w:type="dxa"/>
            <w:vAlign w:val="bottom"/>
            <w:gridSpan w:val="5"/>
            <w:vMerge w:val="restart"/>
          </w:tcPr>
          <w:p>
            <w:pPr>
              <w:jc w:val="right"/>
              <w:ind w:right="399"/>
              <w:spacing w:after="0"/>
              <w:rPr>
                <w:sz w:val="20"/>
                <w:szCs w:val="20"/>
                <w:color w:val="auto"/>
              </w:rPr>
            </w:pPr>
            <w:r>
              <w:rPr>
                <w:rFonts w:ascii="Arial" w:cs="Arial" w:eastAsia="Arial" w:hAnsi="Arial"/>
                <w:sz w:val="14"/>
                <w:szCs w:val="14"/>
                <w:b w:val="1"/>
                <w:bCs w:val="1"/>
                <w:color w:val="auto"/>
                <w:w w:val="99"/>
              </w:rPr>
              <w:t>For the Years Ended December 31,</w:t>
            </w: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center"/>
              <w:ind w:right="160"/>
              <w:spacing w:after="0" w:line="152" w:lineRule="exact"/>
              <w:rPr>
                <w:sz w:val="20"/>
                <w:szCs w:val="20"/>
                <w:color w:val="auto"/>
              </w:rPr>
            </w:pPr>
            <w:r>
              <w:rPr>
                <w:rFonts w:ascii="Arial" w:cs="Arial" w:eastAsia="Arial" w:hAnsi="Arial"/>
                <w:sz w:val="14"/>
                <w:szCs w:val="14"/>
                <w:b w:val="1"/>
                <w:bCs w:val="1"/>
                <w:color w:val="auto"/>
                <w:w w:val="88"/>
              </w:rPr>
              <w:t>September</w:t>
            </w:r>
          </w:p>
        </w:tc>
        <w:tc>
          <w:tcPr>
            <w:tcW w:w="0" w:type="dxa"/>
            <w:vAlign w:val="bottom"/>
          </w:tcPr>
          <w:p>
            <w:pPr>
              <w:spacing w:after="0"/>
              <w:rPr>
                <w:sz w:val="1"/>
                <w:szCs w:val="1"/>
                <w:color w:val="auto"/>
              </w:rPr>
            </w:pPr>
          </w:p>
        </w:tc>
      </w:tr>
      <w:tr>
        <w:trPr>
          <w:trHeight w:val="182"/>
        </w:trPr>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0" w:type="dxa"/>
            <w:vAlign w:val="bottom"/>
            <w:gridSpan w:val="5"/>
            <w:vMerge w:val="continue"/>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ind w:right="241"/>
              <w:spacing w:after="0"/>
              <w:rPr>
                <w:sz w:val="20"/>
                <w:szCs w:val="20"/>
                <w:color w:val="auto"/>
              </w:rPr>
            </w:pPr>
            <w:r>
              <w:rPr>
                <w:rFonts w:ascii="Arial" w:cs="Arial" w:eastAsia="Arial" w:hAnsi="Arial"/>
                <w:sz w:val="14"/>
                <w:szCs w:val="14"/>
                <w:b w:val="1"/>
                <w:bCs w:val="1"/>
                <w:color w:val="auto"/>
              </w:rPr>
              <w:t>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26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Accident Year</w:t>
            </w: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2013</w:t>
            </w: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w w:val="89"/>
              </w:rPr>
              <w:t>2015</w:t>
            </w: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1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(Unaudited 2010 - 2018)</w:t>
            </w:r>
          </w:p>
        </w:tc>
        <w:tc>
          <w:tcPr>
            <w:tcW w:w="7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(Unaudited)</w:t>
            </w:r>
          </w:p>
        </w:tc>
        <w:tc>
          <w:tcPr>
            <w:tcW w:w="0" w:type="dxa"/>
            <w:vAlign w:val="bottom"/>
          </w:tcPr>
          <w:p>
            <w:pPr>
              <w:spacing w:after="0"/>
              <w:rPr>
                <w:sz w:val="1"/>
                <w:szCs w:val="1"/>
                <w:color w:val="auto"/>
              </w:rPr>
            </w:pPr>
          </w:p>
        </w:tc>
      </w:tr>
      <w:tr>
        <w:trPr>
          <w:trHeight w:val="228"/>
        </w:trPr>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26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89"/>
              </w:rPr>
              <w:t>2010</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2,566</w:t>
            </w:r>
          </w:p>
        </w:tc>
        <w:tc>
          <w:tcPr>
            <w:tcW w:w="28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3,947</w:t>
            </w:r>
          </w:p>
        </w:tc>
        <w:tc>
          <w:tcPr>
            <w:tcW w:w="28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4,972</w:t>
            </w:r>
          </w:p>
        </w:tc>
        <w:tc>
          <w:tcPr>
            <w:tcW w:w="28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5,602</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6,323</w:t>
            </w:r>
          </w:p>
        </w:tc>
        <w:tc>
          <w:tcPr>
            <w:tcW w:w="44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6,576</w:t>
            </w:r>
          </w:p>
        </w:tc>
        <w:tc>
          <w:tcPr>
            <w:tcW w:w="28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6,720</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6,772</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6,780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tcPr>
          <w:p>
            <w:pPr>
              <w:jc w:val="center"/>
              <w:ind w:right="19"/>
              <w:spacing w:after="0"/>
              <w:rPr>
                <w:sz w:val="20"/>
                <w:szCs w:val="20"/>
                <w:color w:val="auto"/>
              </w:rPr>
            </w:pPr>
            <w:r>
              <w:rPr>
                <w:rFonts w:ascii="Arial" w:cs="Arial" w:eastAsia="Arial" w:hAnsi="Arial"/>
                <w:sz w:val="16"/>
                <w:szCs w:val="16"/>
                <w:color w:val="auto"/>
                <w:w w:val="89"/>
              </w:rPr>
              <w:t>2011</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ind w:right="24"/>
              <w:spacing w:after="0"/>
              <w:rPr>
                <w:sz w:val="20"/>
                <w:szCs w:val="20"/>
                <w:color w:val="auto"/>
              </w:rPr>
            </w:pPr>
            <w:r>
              <w:rPr>
                <w:rFonts w:ascii="Arial" w:cs="Arial" w:eastAsia="Arial" w:hAnsi="Arial"/>
                <w:sz w:val="16"/>
                <w:szCs w:val="16"/>
                <w:color w:val="auto"/>
              </w:rPr>
              <w:t>3,740</w:t>
            </w:r>
          </w:p>
        </w:tc>
        <w:tc>
          <w:tcPr>
            <w:tcW w:w="280" w:type="dxa"/>
            <w:vAlign w:val="bottom"/>
          </w:tcPr>
          <w:p>
            <w:pPr>
              <w:spacing w:after="0"/>
              <w:rPr>
                <w:sz w:val="17"/>
                <w:szCs w:val="17"/>
                <w:color w:val="auto"/>
              </w:rPr>
            </w:pPr>
          </w:p>
        </w:tc>
        <w:tc>
          <w:tcPr>
            <w:tcW w:w="740" w:type="dxa"/>
            <w:vAlign w:val="bottom"/>
          </w:tcPr>
          <w:p>
            <w:pPr>
              <w:ind w:left="280"/>
              <w:spacing w:after="0"/>
              <w:rPr>
                <w:sz w:val="20"/>
                <w:szCs w:val="20"/>
                <w:color w:val="auto"/>
              </w:rPr>
            </w:pPr>
            <w:r>
              <w:rPr>
                <w:rFonts w:ascii="Arial" w:cs="Arial" w:eastAsia="Arial" w:hAnsi="Arial"/>
                <w:sz w:val="16"/>
                <w:szCs w:val="16"/>
                <w:color w:val="auto"/>
              </w:rPr>
              <w:t>5,117</w:t>
            </w:r>
          </w:p>
        </w:tc>
        <w:tc>
          <w:tcPr>
            <w:tcW w:w="280" w:type="dxa"/>
            <w:vAlign w:val="bottom"/>
          </w:tcPr>
          <w:p>
            <w:pPr>
              <w:spacing w:after="0"/>
              <w:rPr>
                <w:sz w:val="17"/>
                <w:szCs w:val="17"/>
                <w:color w:val="auto"/>
              </w:rPr>
            </w:pPr>
          </w:p>
        </w:tc>
        <w:tc>
          <w:tcPr>
            <w:tcW w:w="760" w:type="dxa"/>
            <w:vAlign w:val="bottom"/>
          </w:tcPr>
          <w:p>
            <w:pPr>
              <w:jc w:val="right"/>
              <w:ind w:right="42"/>
              <w:spacing w:after="0"/>
              <w:rPr>
                <w:sz w:val="20"/>
                <w:szCs w:val="20"/>
                <w:color w:val="auto"/>
              </w:rPr>
            </w:pPr>
            <w:r>
              <w:rPr>
                <w:rFonts w:ascii="Arial" w:cs="Arial" w:eastAsia="Arial" w:hAnsi="Arial"/>
                <w:sz w:val="16"/>
                <w:szCs w:val="16"/>
                <w:color w:val="auto"/>
              </w:rPr>
              <w:t>6,228</w:t>
            </w: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7,170</w:t>
            </w:r>
          </w:p>
        </w:tc>
        <w:tc>
          <w:tcPr>
            <w:tcW w:w="440" w:type="dxa"/>
            <w:vAlign w:val="bottom"/>
          </w:tcPr>
          <w:p>
            <w:pPr>
              <w:spacing w:after="0"/>
              <w:rPr>
                <w:sz w:val="17"/>
                <w:szCs w:val="17"/>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8,139</w:t>
            </w:r>
          </w:p>
        </w:tc>
        <w:tc>
          <w:tcPr>
            <w:tcW w:w="28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8,540</w:t>
            </w:r>
          </w:p>
        </w:tc>
        <w:tc>
          <w:tcPr>
            <w:tcW w:w="280" w:type="dxa"/>
            <w:vAlign w:val="bottom"/>
          </w:tcPr>
          <w:p>
            <w:pPr>
              <w:spacing w:after="0"/>
              <w:rPr>
                <w:sz w:val="17"/>
                <w:szCs w:val="17"/>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8,702</w:t>
            </w:r>
          </w:p>
        </w:tc>
        <w:tc>
          <w:tcPr>
            <w:tcW w:w="260" w:type="dxa"/>
            <w:vAlign w:val="bottom"/>
          </w:tcPr>
          <w:p>
            <w:pPr>
              <w:spacing w:after="0"/>
              <w:rPr>
                <w:sz w:val="17"/>
                <w:szCs w:val="17"/>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8,727</w:t>
            </w: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8,778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89"/>
              </w:rPr>
              <w:t>2012</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3,950</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5,770</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7,127</w:t>
            </w: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8,196</w:t>
            </w: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9,187</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10,236</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10,323</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10,422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tcPr>
          <w:p>
            <w:pPr>
              <w:jc w:val="center"/>
              <w:ind w:right="19"/>
              <w:spacing w:after="0"/>
              <w:rPr>
                <w:sz w:val="20"/>
                <w:szCs w:val="20"/>
                <w:color w:val="auto"/>
              </w:rPr>
            </w:pPr>
            <w:r>
              <w:rPr>
                <w:rFonts w:ascii="Arial" w:cs="Arial" w:eastAsia="Arial" w:hAnsi="Arial"/>
                <w:sz w:val="16"/>
                <w:szCs w:val="16"/>
                <w:color w:val="auto"/>
                <w:w w:val="89"/>
              </w:rPr>
              <w:t>2013</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ind w:right="42"/>
              <w:spacing w:after="0"/>
              <w:rPr>
                <w:sz w:val="20"/>
                <w:szCs w:val="20"/>
                <w:color w:val="auto"/>
              </w:rPr>
            </w:pPr>
            <w:r>
              <w:rPr>
                <w:rFonts w:ascii="Arial" w:cs="Arial" w:eastAsia="Arial" w:hAnsi="Arial"/>
                <w:sz w:val="16"/>
                <w:szCs w:val="16"/>
                <w:color w:val="auto"/>
              </w:rPr>
              <w:t>3,405</w:t>
            </w: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5,303</w:t>
            </w:r>
          </w:p>
        </w:tc>
        <w:tc>
          <w:tcPr>
            <w:tcW w:w="440" w:type="dxa"/>
            <w:vAlign w:val="bottom"/>
          </w:tcPr>
          <w:p>
            <w:pPr>
              <w:spacing w:after="0"/>
              <w:rPr>
                <w:sz w:val="17"/>
                <w:szCs w:val="17"/>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6,633</w:t>
            </w:r>
          </w:p>
        </w:tc>
        <w:tc>
          <w:tcPr>
            <w:tcW w:w="28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7,591</w:t>
            </w:r>
          </w:p>
        </w:tc>
        <w:tc>
          <w:tcPr>
            <w:tcW w:w="280" w:type="dxa"/>
            <w:vAlign w:val="bottom"/>
          </w:tcPr>
          <w:p>
            <w:pPr>
              <w:spacing w:after="0"/>
              <w:rPr>
                <w:sz w:val="17"/>
                <w:szCs w:val="17"/>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8,407</w:t>
            </w:r>
          </w:p>
        </w:tc>
        <w:tc>
          <w:tcPr>
            <w:tcW w:w="260" w:type="dxa"/>
            <w:vAlign w:val="bottom"/>
          </w:tcPr>
          <w:p>
            <w:pPr>
              <w:spacing w:after="0"/>
              <w:rPr>
                <w:sz w:val="17"/>
                <w:szCs w:val="17"/>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9,056</w:t>
            </w: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9,235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89"/>
              </w:rPr>
              <w:t>2014</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5,710</w:t>
            </w: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9,429</w:t>
            </w: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10,738</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11,770</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13,819</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14,692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tcPr>
          <w:p>
            <w:pPr>
              <w:jc w:val="center"/>
              <w:ind w:right="19"/>
              <w:spacing w:after="0"/>
              <w:rPr>
                <w:sz w:val="20"/>
                <w:szCs w:val="20"/>
                <w:color w:val="auto"/>
              </w:rPr>
            </w:pPr>
            <w:r>
              <w:rPr>
                <w:rFonts w:ascii="Arial" w:cs="Arial" w:eastAsia="Arial" w:hAnsi="Arial"/>
                <w:sz w:val="16"/>
                <w:szCs w:val="16"/>
                <w:color w:val="auto"/>
                <w:w w:val="89"/>
              </w:rPr>
              <w:t>2015</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12,295</w:t>
            </w:r>
          </w:p>
        </w:tc>
        <w:tc>
          <w:tcPr>
            <w:tcW w:w="28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16,181</w:t>
            </w:r>
          </w:p>
        </w:tc>
        <w:tc>
          <w:tcPr>
            <w:tcW w:w="280" w:type="dxa"/>
            <w:vAlign w:val="bottom"/>
          </w:tcPr>
          <w:p>
            <w:pPr>
              <w:spacing w:after="0"/>
              <w:rPr>
                <w:sz w:val="17"/>
                <w:szCs w:val="17"/>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18,266</w:t>
            </w:r>
          </w:p>
        </w:tc>
        <w:tc>
          <w:tcPr>
            <w:tcW w:w="260" w:type="dxa"/>
            <w:vAlign w:val="bottom"/>
          </w:tcPr>
          <w:p>
            <w:pPr>
              <w:spacing w:after="0"/>
              <w:rPr>
                <w:sz w:val="17"/>
                <w:szCs w:val="17"/>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19,984</w:t>
            </w: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20,982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89"/>
              </w:rPr>
              <w:t>2016</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15,364</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19,001</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21,106</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22,988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tcPr>
          <w:p>
            <w:pPr>
              <w:jc w:val="center"/>
              <w:ind w:right="19"/>
              <w:spacing w:after="0"/>
              <w:rPr>
                <w:sz w:val="20"/>
                <w:szCs w:val="20"/>
                <w:color w:val="auto"/>
              </w:rPr>
            </w:pPr>
            <w:r>
              <w:rPr>
                <w:rFonts w:ascii="Arial" w:cs="Arial" w:eastAsia="Arial" w:hAnsi="Arial"/>
                <w:sz w:val="16"/>
                <w:szCs w:val="16"/>
                <w:color w:val="auto"/>
                <w:w w:val="89"/>
              </w:rPr>
              <w:t>2017</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16,704</w:t>
            </w:r>
          </w:p>
        </w:tc>
        <w:tc>
          <w:tcPr>
            <w:tcW w:w="260" w:type="dxa"/>
            <w:vAlign w:val="bottom"/>
          </w:tcPr>
          <w:p>
            <w:pPr>
              <w:spacing w:after="0"/>
              <w:rPr>
                <w:sz w:val="17"/>
                <w:szCs w:val="17"/>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24,820</w:t>
            </w: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27,470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89"/>
              </w:rPr>
              <w:t>2018</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32,383</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43,383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260" w:type="dxa"/>
            <w:vAlign w:val="bottom"/>
          </w:tcPr>
          <w:p>
            <w:pPr>
              <w:jc w:val="center"/>
              <w:ind w:right="19"/>
              <w:spacing w:after="0"/>
              <w:rPr>
                <w:sz w:val="20"/>
                <w:szCs w:val="20"/>
                <w:color w:val="auto"/>
              </w:rPr>
            </w:pPr>
            <w:r>
              <w:rPr>
                <w:rFonts w:ascii="Arial" w:cs="Arial" w:eastAsia="Arial" w:hAnsi="Arial"/>
                <w:sz w:val="16"/>
                <w:szCs w:val="16"/>
                <w:color w:val="auto"/>
                <w:w w:val="89"/>
              </w:rPr>
              <w:t>2019</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12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Total</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194,845</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656"/>
        </w:trPr>
        <w:tc>
          <w:tcPr>
            <w:tcW w:w="6640" w:type="dxa"/>
            <w:vAlign w:val="bottom"/>
            <w:gridSpan w:val="12"/>
          </w:tcPr>
          <w:p>
            <w:pPr>
              <w:ind w:left="60"/>
              <w:spacing w:after="0"/>
              <w:rPr>
                <w:sz w:val="20"/>
                <w:szCs w:val="20"/>
                <w:color w:val="auto"/>
              </w:rPr>
            </w:pPr>
            <w:r>
              <w:rPr>
                <w:rFonts w:ascii="Arial" w:cs="Arial" w:eastAsia="Arial" w:hAnsi="Arial"/>
                <w:sz w:val="16"/>
                <w:szCs w:val="16"/>
                <w:color w:val="auto"/>
                <w:w w:val="92"/>
              </w:rPr>
              <w:t>Net liability for unpaid loss and allocated loss adjustment expenses for the accident years presented</w:t>
            </w: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59,421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240" w:type="dxa"/>
            <w:vAlign w:val="bottom"/>
            <w:gridSpan w:val="7"/>
          </w:tcPr>
          <w:p>
            <w:pPr>
              <w:ind w:left="60"/>
              <w:spacing w:after="0"/>
              <w:rPr>
                <w:sz w:val="20"/>
                <w:szCs w:val="20"/>
                <w:color w:val="auto"/>
              </w:rPr>
            </w:pPr>
            <w:r>
              <w:rPr>
                <w:rFonts w:ascii="Arial" w:cs="Arial" w:eastAsia="Arial" w:hAnsi="Arial"/>
                <w:sz w:val="16"/>
                <w:szCs w:val="16"/>
                <w:color w:val="auto"/>
              </w:rPr>
              <w:t>All outstanding liabilities before 2010, net of reinsurance</w:t>
            </w: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280" w:type="dxa"/>
            <w:vAlign w:val="bottom"/>
            <w:gridSpan w:val="9"/>
          </w:tcPr>
          <w:p>
            <w:pPr>
              <w:ind w:left="60"/>
              <w:spacing w:after="0"/>
              <w:rPr>
                <w:sz w:val="20"/>
                <w:szCs w:val="20"/>
                <w:color w:val="auto"/>
              </w:rPr>
            </w:pPr>
            <w:r>
              <w:rPr>
                <w:rFonts w:ascii="Arial" w:cs="Arial" w:eastAsia="Arial" w:hAnsi="Arial"/>
                <w:sz w:val="16"/>
                <w:szCs w:val="16"/>
                <w:color w:val="auto"/>
                <w:w w:val="95"/>
              </w:rPr>
              <w:t>Liabilities for loss and allocated loss adjustment expenses, net of reinsurance</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59,564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Reported claim counts are measured on an occurrence or per event basis. A single claim occurrence could result in more than one loss type or claimant; however, the Company counts claims at the occurrence level as a single claim regardless of the number of claimants or claim features involved.</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The reconciliation of the net incurred and paid loss development tables to the loss and LAE reserves in the consolidated balance sheet is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52"/>
        </w:trPr>
        <w:tc>
          <w:tcPr>
            <w:tcW w:w="10200" w:type="dxa"/>
            <w:vAlign w:val="bottom"/>
            <w:vMerge w:val="restart"/>
          </w:tcPr>
          <w:p>
            <w:pPr>
              <w:spacing w:after="0"/>
              <w:rPr>
                <w:sz w:val="20"/>
                <w:szCs w:val="20"/>
                <w:color w:val="auto"/>
              </w:rPr>
            </w:pPr>
            <w:r>
              <w:rPr>
                <w:rFonts w:ascii="Arial" w:cs="Arial" w:eastAsia="Arial" w:hAnsi="Arial"/>
                <w:sz w:val="16"/>
                <w:szCs w:val="16"/>
                <w:b w:val="1"/>
                <w:bCs w:val="1"/>
                <w:i w:val="1"/>
                <w:iCs w:val="1"/>
                <w:color w:val="auto"/>
              </w:rPr>
              <w:t>(in thousands)</w:t>
            </w:r>
          </w:p>
        </w:tc>
        <w:tc>
          <w:tcPr>
            <w:tcW w:w="100" w:type="dxa"/>
            <w:vAlign w:val="bottom"/>
          </w:tcPr>
          <w:p>
            <w:pPr>
              <w:spacing w:after="0"/>
              <w:rPr>
                <w:sz w:val="13"/>
                <w:szCs w:val="13"/>
                <w:color w:val="auto"/>
              </w:rPr>
            </w:pPr>
          </w:p>
        </w:tc>
        <w:tc>
          <w:tcPr>
            <w:tcW w:w="1120" w:type="dxa"/>
            <w:vAlign w:val="bottom"/>
            <w:gridSpan w:val="2"/>
          </w:tcPr>
          <w:p>
            <w:pPr>
              <w:jc w:val="center"/>
              <w:ind w:right="240"/>
              <w:spacing w:after="0" w:line="152" w:lineRule="exact"/>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71"/>
        </w:trPr>
        <w:tc>
          <w:tcPr>
            <w:tcW w:w="10200" w:type="dxa"/>
            <w:vAlign w:val="bottom"/>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w w:val="89"/>
              </w:rPr>
              <w:t>2019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0200" w:type="dxa"/>
            <w:vAlign w:val="bottom"/>
            <w:shd w:val="clear" w:color="auto" w:fill="CCEEFF"/>
          </w:tcPr>
          <w:p>
            <w:pPr>
              <w:spacing w:after="0"/>
              <w:rPr>
                <w:sz w:val="20"/>
                <w:szCs w:val="20"/>
                <w:color w:val="auto"/>
              </w:rPr>
            </w:pPr>
            <w:r>
              <w:rPr>
                <w:rFonts w:ascii="Arial" w:cs="Arial" w:eastAsia="Arial" w:hAnsi="Arial"/>
                <w:sz w:val="16"/>
                <w:szCs w:val="16"/>
                <w:color w:val="auto"/>
              </w:rPr>
              <w:t>Liabilities for loss and loss adjustment expenses, net of reinsurance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59,564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00" w:type="dxa"/>
            <w:vAlign w:val="bottom"/>
          </w:tcPr>
          <w:p>
            <w:pPr>
              <w:spacing w:after="0"/>
              <w:rPr>
                <w:sz w:val="20"/>
                <w:szCs w:val="20"/>
                <w:color w:val="auto"/>
              </w:rPr>
            </w:pPr>
            <w:r>
              <w:rPr>
                <w:rFonts w:ascii="Arial" w:cs="Arial" w:eastAsia="Arial" w:hAnsi="Arial"/>
                <w:sz w:val="16"/>
                <w:szCs w:val="16"/>
                <w:color w:val="auto"/>
              </w:rPr>
              <w:t>Total reinsurance recoverable on unpaid losses</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15,412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0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Unallocated loss adjustment expenses</w:t>
            </w: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2,433</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0200" w:type="dxa"/>
            <w:vAlign w:val="bottom"/>
          </w:tcPr>
          <w:p>
            <w:pPr>
              <w:spacing w:after="0"/>
              <w:rPr>
                <w:sz w:val="20"/>
                <w:szCs w:val="20"/>
                <w:color w:val="auto"/>
              </w:rPr>
            </w:pPr>
            <w:r>
              <w:rPr>
                <w:rFonts w:ascii="Arial" w:cs="Arial" w:eastAsia="Arial" w:hAnsi="Arial"/>
                <w:sz w:val="16"/>
                <w:szCs w:val="16"/>
                <w:color w:val="auto"/>
              </w:rPr>
              <w:t>Total gross liability for loss and LAE reserves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77,409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Reinsurance</w:t>
      </w:r>
    </w:p>
    <w:p>
      <w:pPr>
        <w:spacing w:after="0" w:line="158"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The Company’s quota share reinsurance treaties are on a July 1 through June 30 fiscal year basis. The Company’s quota share reinsurance treaties in effect during the nine months ended September 30, 2019 and 2018 for its personal lines business, which primarily consists of homeowners’ policies, were covered under a treaty covering a two-year period from July 1, 2017 through June 30, 2019 (“2017/2019 Treaty”). The treaty in effect during the nine months ended September 30, 2019 was covered under the July 1, 2018 through June 30, 2019 treaty year (“2018/2019 Treaty Year”). The treaties in effect during the nine months ended September 30, 2018 were covered under the July 1, 2017 through June 30, 2018 treaty year (“2017/2018 Treaty Year”) and the 2018/2019 Treaty Year that began on July 1, 2018.</w:t>
      </w:r>
    </w:p>
    <w:p>
      <w:pPr>
        <w:spacing w:after="0" w:line="16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August 2018, the Company terminated its contract with one of the reinsurers that was a party to the 2017/2019 Treaty. This termination was retroactive to July 1, 2018 and had the effect of reducing the quota share ceding rate to 10% under the 2018/2019 Treaty Year from 20% under the 2017/2018 Treaty Year.</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26" w:name="page27"/>
    <w:bookmarkEnd w:id="26"/>
    <w:p>
      <w:pPr>
        <w:spacing w:after="0" w:line="332" w:lineRule="auto"/>
        <w:rPr>
          <w:sz w:val="20"/>
          <w:szCs w:val="20"/>
          <w:color w:val="auto"/>
        </w:rPr>
      </w:pPr>
      <w:r>
        <w:rPr>
          <w:rFonts w:ascii="Arial" w:cs="Arial" w:eastAsia="Arial" w:hAnsi="Arial"/>
          <w:sz w:val="15"/>
          <w:szCs w:val="15"/>
          <w:color w:val="auto"/>
        </w:rPr>
        <w:t>Effective July 1, 2019, the 2017/2019 Treaty and commercial umbrella treaty expired on a run-off basis; these treaties were not renewed. The Company entered into new excess of loss and catastrophe reinsurance treaties effective July 1, 2019. Material terms for reinsurance treaties in effect for the treaty years shown below are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Treaty Year</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July 1, 2019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July 1, 2018</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July 1, 2017</w:t>
            </w:r>
          </w:p>
        </w:tc>
        <w:tc>
          <w:tcPr>
            <w:tcW w:w="0" w:type="dxa"/>
            <w:vAlign w:val="bottom"/>
          </w:tcPr>
          <w:p>
            <w:pPr>
              <w:spacing w:after="0"/>
              <w:rPr>
                <w:sz w:val="1"/>
                <w:szCs w:val="1"/>
                <w:color w:val="auto"/>
              </w:rPr>
            </w:pPr>
          </w:p>
        </w:tc>
      </w:tr>
      <w:tr>
        <w:trPr>
          <w:trHeight w:val="228"/>
        </w:trPr>
        <w:tc>
          <w:tcPr>
            <w:tcW w:w="7320" w:type="dxa"/>
            <w:vAlign w:val="bottom"/>
            <w:gridSpan w:val="4"/>
            <w:vMerge w:val="restart"/>
          </w:tcPr>
          <w:p>
            <w:pPr>
              <w:ind w:left="40"/>
              <w:spacing w:after="0"/>
              <w:rPr>
                <w:sz w:val="20"/>
                <w:szCs w:val="20"/>
                <w:color w:val="auto"/>
              </w:rPr>
            </w:pPr>
            <w:r>
              <w:rPr>
                <w:rFonts w:ascii="Arial" w:cs="Arial" w:eastAsia="Arial" w:hAnsi="Arial"/>
                <w:sz w:val="16"/>
                <w:szCs w:val="16"/>
                <w:b w:val="1"/>
                <w:bCs w:val="1"/>
                <w:color w:val="auto"/>
              </w:rPr>
              <w:t>Line of Busines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to</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to</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to</w:t>
            </w:r>
          </w:p>
        </w:tc>
        <w:tc>
          <w:tcPr>
            <w:tcW w:w="0" w:type="dxa"/>
            <w:vAlign w:val="bottom"/>
          </w:tcPr>
          <w:p>
            <w:pPr>
              <w:spacing w:after="0"/>
              <w:rPr>
                <w:sz w:val="1"/>
                <w:szCs w:val="1"/>
                <w:color w:val="auto"/>
              </w:rPr>
            </w:pPr>
          </w:p>
        </w:tc>
      </w:tr>
      <w:tr>
        <w:trPr>
          <w:trHeight w:val="217"/>
        </w:trPr>
        <w:tc>
          <w:tcPr>
            <w:tcW w:w="7320" w:type="dxa"/>
            <w:vAlign w:val="bottom"/>
            <w:gridSpan w:val="4"/>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June 30, 2020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June 30, 2019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June 30, 2018</w:t>
            </w:r>
          </w:p>
        </w:tc>
        <w:tc>
          <w:tcPr>
            <w:tcW w:w="0" w:type="dxa"/>
            <w:vAlign w:val="bottom"/>
          </w:tcPr>
          <w:p>
            <w:pPr>
              <w:spacing w:after="0"/>
              <w:rPr>
                <w:sz w:val="1"/>
                <w:szCs w:val="1"/>
                <w:color w:val="auto"/>
              </w:rPr>
            </w:pPr>
          </w:p>
        </w:tc>
      </w:tr>
      <w:tr>
        <w:trPr>
          <w:trHeight w:val="418"/>
        </w:trPr>
        <w:tc>
          <w:tcPr>
            <w:tcW w:w="7320" w:type="dxa"/>
            <w:vAlign w:val="bottom"/>
            <w:tcBorders>
              <w:top w:val="single" w:sz="8" w:color="auto"/>
            </w:tcBorders>
            <w:gridSpan w:val="4"/>
          </w:tcPr>
          <w:p>
            <w:pPr>
              <w:spacing w:after="0"/>
              <w:rPr>
                <w:sz w:val="20"/>
                <w:szCs w:val="20"/>
                <w:color w:val="auto"/>
              </w:rPr>
            </w:pPr>
            <w:r>
              <w:rPr>
                <w:rFonts w:ascii="Arial" w:cs="Arial" w:eastAsia="Arial" w:hAnsi="Arial"/>
                <w:sz w:val="16"/>
                <w:szCs w:val="16"/>
                <w:color w:val="auto"/>
              </w:rPr>
              <w:t>Personal Lines:</w:t>
            </w: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320" w:type="dxa"/>
            <w:vAlign w:val="bottom"/>
            <w:gridSpan w:val="4"/>
          </w:tcPr>
          <w:p>
            <w:pPr>
              <w:spacing w:after="0"/>
              <w:rPr>
                <w:sz w:val="20"/>
                <w:szCs w:val="20"/>
                <w:color w:val="auto"/>
              </w:rPr>
            </w:pPr>
            <w:r>
              <w:rPr>
                <w:rFonts w:ascii="Arial" w:cs="Arial" w:eastAsia="Arial" w:hAnsi="Arial"/>
                <w:sz w:val="16"/>
                <w:szCs w:val="16"/>
                <w:color w:val="auto"/>
              </w:rPr>
              <w:t>Homeowners, dwelling fire and canine legal liability</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7320" w:type="dxa"/>
            <w:vAlign w:val="bottom"/>
            <w:gridSpan w:val="4"/>
          </w:tcPr>
          <w:p>
            <w:pPr>
              <w:ind w:left="200"/>
              <w:spacing w:after="0"/>
              <w:rPr>
                <w:sz w:val="20"/>
                <w:szCs w:val="20"/>
                <w:color w:val="auto"/>
              </w:rPr>
            </w:pPr>
            <w:r>
              <w:rPr>
                <w:rFonts w:ascii="Arial" w:cs="Arial" w:eastAsia="Arial" w:hAnsi="Arial"/>
                <w:sz w:val="16"/>
                <w:szCs w:val="16"/>
                <w:color w:val="auto"/>
              </w:rPr>
              <w:t>Quota share treaty:</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7320" w:type="dxa"/>
            <w:vAlign w:val="bottom"/>
            <w:gridSpan w:val="4"/>
            <w:shd w:val="clear" w:color="auto" w:fill="CCEEFF"/>
          </w:tcPr>
          <w:p>
            <w:pPr>
              <w:ind w:left="340"/>
              <w:spacing w:after="0"/>
              <w:rPr>
                <w:sz w:val="20"/>
                <w:szCs w:val="20"/>
                <w:color w:val="auto"/>
              </w:rPr>
            </w:pPr>
            <w:r>
              <w:rPr>
                <w:rFonts w:ascii="Arial" w:cs="Arial" w:eastAsia="Arial" w:hAnsi="Arial"/>
                <w:sz w:val="16"/>
                <w:szCs w:val="16"/>
                <w:color w:val="auto"/>
              </w:rPr>
              <w:t>Percent ceded</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center"/>
              <w:ind w:right="360"/>
              <w:spacing w:after="0"/>
              <w:rPr>
                <w:sz w:val="20"/>
                <w:szCs w:val="20"/>
                <w:color w:val="auto"/>
              </w:rPr>
            </w:pPr>
            <w:r>
              <w:rPr>
                <w:rFonts w:ascii="Arial" w:cs="Arial" w:eastAsia="Arial" w:hAnsi="Arial"/>
                <w:sz w:val="16"/>
                <w:szCs w:val="16"/>
                <w:color w:val="auto"/>
                <w:w w:val="94"/>
              </w:rPr>
              <w:t>None</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3"/>
        </w:trPr>
        <w:tc>
          <w:tcPr>
            <w:tcW w:w="7320" w:type="dxa"/>
            <w:vAlign w:val="bottom"/>
            <w:gridSpan w:val="4"/>
          </w:tcPr>
          <w:p>
            <w:pPr>
              <w:ind w:left="340"/>
              <w:spacing w:after="0"/>
              <w:rPr>
                <w:sz w:val="20"/>
                <w:szCs w:val="20"/>
                <w:color w:val="auto"/>
              </w:rPr>
            </w:pPr>
            <w:r>
              <w:rPr>
                <w:rFonts w:ascii="Arial" w:cs="Arial" w:eastAsia="Arial" w:hAnsi="Arial"/>
                <w:sz w:val="16"/>
                <w:szCs w:val="16"/>
                <w:color w:val="auto"/>
              </w:rPr>
              <w:t>Risk retained</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1,000,000</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900,000</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800,000</w:t>
            </w:r>
          </w:p>
        </w:tc>
        <w:tc>
          <w:tcPr>
            <w:tcW w:w="0" w:type="dxa"/>
            <w:vAlign w:val="bottom"/>
          </w:tcPr>
          <w:p>
            <w:pPr>
              <w:spacing w:after="0"/>
              <w:rPr>
                <w:sz w:val="1"/>
                <w:szCs w:val="1"/>
                <w:color w:val="auto"/>
              </w:rPr>
            </w:pPr>
          </w:p>
        </w:tc>
      </w:tr>
      <w:tr>
        <w:trPr>
          <w:trHeight w:val="203"/>
        </w:trPr>
        <w:tc>
          <w:tcPr>
            <w:tcW w:w="7320" w:type="dxa"/>
            <w:vAlign w:val="bottom"/>
            <w:gridSpan w:val="4"/>
            <w:shd w:val="clear" w:color="auto" w:fill="CCEEFF"/>
          </w:tcPr>
          <w:p>
            <w:pPr>
              <w:ind w:left="340"/>
              <w:spacing w:after="0"/>
              <w:rPr>
                <w:sz w:val="20"/>
                <w:szCs w:val="20"/>
                <w:color w:val="auto"/>
              </w:rPr>
            </w:pPr>
            <w:r>
              <w:rPr>
                <w:rFonts w:ascii="Arial" w:cs="Arial" w:eastAsia="Arial" w:hAnsi="Arial"/>
                <w:sz w:val="16"/>
                <w:szCs w:val="16"/>
                <w:color w:val="auto"/>
              </w:rPr>
              <w:t>Losses per occurrence subject to quota share reinsurance coverage</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None</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1,000,000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1,000,000</w:t>
            </w:r>
          </w:p>
        </w:tc>
        <w:tc>
          <w:tcPr>
            <w:tcW w:w="0" w:type="dxa"/>
            <w:vAlign w:val="bottom"/>
          </w:tcPr>
          <w:p>
            <w:pPr>
              <w:spacing w:after="0"/>
              <w:rPr>
                <w:sz w:val="1"/>
                <w:szCs w:val="1"/>
                <w:color w:val="auto"/>
              </w:rPr>
            </w:pPr>
          </w:p>
        </w:tc>
      </w:tr>
      <w:tr>
        <w:trPr>
          <w:trHeight w:val="203"/>
        </w:trPr>
        <w:tc>
          <w:tcPr>
            <w:tcW w:w="7320" w:type="dxa"/>
            <w:vAlign w:val="bottom"/>
            <w:gridSpan w:val="4"/>
          </w:tcPr>
          <w:p>
            <w:pPr>
              <w:ind w:left="200"/>
              <w:spacing w:after="0"/>
              <w:rPr>
                <w:sz w:val="20"/>
                <w:szCs w:val="20"/>
                <w:color w:val="auto"/>
              </w:rPr>
            </w:pPr>
            <w:r>
              <w:rPr>
                <w:rFonts w:ascii="Arial" w:cs="Arial" w:eastAsia="Arial" w:hAnsi="Arial"/>
                <w:sz w:val="16"/>
                <w:szCs w:val="16"/>
                <w:color w:val="auto"/>
              </w:rPr>
              <w:t>Excess of loss coverage and facultative facility above quota share coverage (1)</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10,000,000</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9,000,000</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9,000,000</w:t>
            </w:r>
          </w:p>
        </w:tc>
        <w:tc>
          <w:tcPr>
            <w:tcW w:w="0" w:type="dxa"/>
            <w:vAlign w:val="bottom"/>
          </w:tcPr>
          <w:p>
            <w:pPr>
              <w:spacing w:after="0"/>
              <w:rPr>
                <w:sz w:val="1"/>
                <w:szCs w:val="1"/>
                <w:color w:val="auto"/>
              </w:rPr>
            </w:pPr>
          </w:p>
        </w:tc>
      </w:tr>
      <w:tr>
        <w:trPr>
          <w:trHeight w:val="203"/>
        </w:trPr>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2"/>
              </w:rPr>
              <w:t>in excess of</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2"/>
              </w:rPr>
              <w:t>in excess of</w:t>
            </w: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1,000,000</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1,000,000</w:t>
            </w:r>
          </w:p>
        </w:tc>
        <w:tc>
          <w:tcPr>
            <w:tcW w:w="0" w:type="dxa"/>
            <w:vAlign w:val="bottom"/>
          </w:tcPr>
          <w:p>
            <w:pPr>
              <w:spacing w:after="0"/>
              <w:rPr>
                <w:sz w:val="1"/>
                <w:szCs w:val="1"/>
                <w:color w:val="auto"/>
              </w:rPr>
            </w:pPr>
          </w:p>
        </w:tc>
      </w:tr>
      <w:tr>
        <w:trPr>
          <w:trHeight w:val="203"/>
        </w:trPr>
        <w:tc>
          <w:tcPr>
            <w:tcW w:w="7320" w:type="dxa"/>
            <w:vAlign w:val="bottom"/>
            <w:gridSpan w:val="4"/>
            <w:shd w:val="clear" w:color="auto" w:fill="CCEEFF"/>
          </w:tcPr>
          <w:p>
            <w:pPr>
              <w:ind w:left="200"/>
              <w:spacing w:after="0"/>
              <w:rPr>
                <w:sz w:val="20"/>
                <w:szCs w:val="20"/>
                <w:color w:val="auto"/>
              </w:rPr>
            </w:pPr>
            <w:r>
              <w:rPr>
                <w:rFonts w:ascii="Arial" w:cs="Arial" w:eastAsia="Arial" w:hAnsi="Arial"/>
                <w:sz w:val="16"/>
                <w:szCs w:val="16"/>
                <w:color w:val="auto"/>
              </w:rPr>
              <w:t>Total reinsurance coverage per occurrence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9,000,000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9,100,000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9,200,000</w:t>
            </w:r>
          </w:p>
        </w:tc>
        <w:tc>
          <w:tcPr>
            <w:tcW w:w="0" w:type="dxa"/>
            <w:vAlign w:val="bottom"/>
          </w:tcPr>
          <w:p>
            <w:pPr>
              <w:spacing w:after="0"/>
              <w:rPr>
                <w:sz w:val="1"/>
                <w:szCs w:val="1"/>
                <w:color w:val="auto"/>
              </w:rPr>
            </w:pPr>
          </w:p>
        </w:tc>
      </w:tr>
      <w:tr>
        <w:trPr>
          <w:trHeight w:val="203"/>
        </w:trPr>
        <w:tc>
          <w:tcPr>
            <w:tcW w:w="7320" w:type="dxa"/>
            <w:vAlign w:val="bottom"/>
            <w:gridSpan w:val="4"/>
          </w:tcPr>
          <w:p>
            <w:pPr>
              <w:ind w:left="200"/>
              <w:spacing w:after="0"/>
              <w:rPr>
                <w:sz w:val="20"/>
                <w:szCs w:val="20"/>
                <w:color w:val="auto"/>
              </w:rPr>
            </w:pPr>
            <w:r>
              <w:rPr>
                <w:rFonts w:ascii="Arial" w:cs="Arial" w:eastAsia="Arial" w:hAnsi="Arial"/>
                <w:sz w:val="16"/>
                <w:szCs w:val="16"/>
                <w:color w:val="auto"/>
              </w:rPr>
              <w:t>Losses per occurrence subject to reinsurance coverage</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10,000,000</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10,000,000</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10,000,000</w:t>
            </w:r>
          </w:p>
        </w:tc>
        <w:tc>
          <w:tcPr>
            <w:tcW w:w="0" w:type="dxa"/>
            <w:vAlign w:val="bottom"/>
          </w:tcPr>
          <w:p>
            <w:pPr>
              <w:spacing w:after="0"/>
              <w:rPr>
                <w:sz w:val="1"/>
                <w:szCs w:val="1"/>
                <w:color w:val="auto"/>
              </w:rPr>
            </w:pPr>
          </w:p>
        </w:tc>
      </w:tr>
      <w:tr>
        <w:trPr>
          <w:trHeight w:val="228"/>
        </w:trPr>
        <w:tc>
          <w:tcPr>
            <w:tcW w:w="7320" w:type="dxa"/>
            <w:vAlign w:val="bottom"/>
            <w:gridSpan w:val="4"/>
            <w:shd w:val="clear" w:color="auto" w:fill="CCEEFF"/>
          </w:tcPr>
          <w:p>
            <w:pPr>
              <w:ind w:left="200"/>
              <w:spacing w:after="0"/>
              <w:rPr>
                <w:sz w:val="20"/>
                <w:szCs w:val="20"/>
                <w:color w:val="auto"/>
              </w:rPr>
            </w:pPr>
            <w:r>
              <w:rPr>
                <w:rFonts w:ascii="Arial" w:cs="Arial" w:eastAsia="Arial" w:hAnsi="Arial"/>
                <w:sz w:val="16"/>
                <w:szCs w:val="16"/>
                <w:color w:val="auto"/>
              </w:rPr>
              <w:t>Expiration date</w:t>
            </w:r>
          </w:p>
        </w:tc>
        <w:tc>
          <w:tcPr>
            <w:tcW w:w="14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center"/>
              <w:ind w:right="260"/>
              <w:spacing w:after="0"/>
              <w:rPr>
                <w:sz w:val="20"/>
                <w:szCs w:val="20"/>
                <w:color w:val="auto"/>
              </w:rPr>
            </w:pPr>
            <w:r>
              <w:rPr>
                <w:rFonts w:ascii="Arial" w:cs="Arial" w:eastAsia="Arial" w:hAnsi="Arial"/>
                <w:sz w:val="16"/>
                <w:szCs w:val="16"/>
                <w:color w:val="auto"/>
                <w:w w:val="90"/>
              </w:rPr>
              <w:t>June 30, 2020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90"/>
              </w:rPr>
              <w:t>June 30, 2019</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0"/>
              </w:rPr>
              <w:t>June 30, 2019</w:t>
            </w: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Personal Umbrella</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gridSpan w:val="4"/>
          </w:tcPr>
          <w:p>
            <w:pPr>
              <w:ind w:left="200"/>
              <w:spacing w:after="0"/>
              <w:rPr>
                <w:sz w:val="20"/>
                <w:szCs w:val="20"/>
                <w:color w:val="auto"/>
              </w:rPr>
            </w:pPr>
            <w:r>
              <w:rPr>
                <w:rFonts w:ascii="Arial" w:cs="Arial" w:eastAsia="Arial" w:hAnsi="Arial"/>
                <w:sz w:val="16"/>
                <w:szCs w:val="16"/>
                <w:color w:val="auto"/>
              </w:rPr>
              <w:t>Quota share treaty:</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gridSpan w:val="4"/>
            <w:shd w:val="clear" w:color="auto" w:fill="CCEEFF"/>
          </w:tcPr>
          <w:p>
            <w:pPr>
              <w:ind w:left="340"/>
              <w:spacing w:after="0"/>
              <w:rPr>
                <w:sz w:val="20"/>
                <w:szCs w:val="20"/>
                <w:color w:val="auto"/>
              </w:rPr>
            </w:pPr>
            <w:r>
              <w:rPr>
                <w:rFonts w:ascii="Arial" w:cs="Arial" w:eastAsia="Arial" w:hAnsi="Arial"/>
                <w:sz w:val="16"/>
                <w:szCs w:val="16"/>
                <w:color w:val="auto"/>
              </w:rPr>
              <w:t>Percent ceded - first $1,000,000 of coverage</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90%</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03"/>
        </w:trPr>
        <w:tc>
          <w:tcPr>
            <w:tcW w:w="7320" w:type="dxa"/>
            <w:vAlign w:val="bottom"/>
            <w:gridSpan w:val="4"/>
          </w:tcPr>
          <w:p>
            <w:pPr>
              <w:ind w:left="340"/>
              <w:spacing w:after="0"/>
              <w:rPr>
                <w:sz w:val="20"/>
                <w:szCs w:val="20"/>
                <w:color w:val="auto"/>
              </w:rPr>
            </w:pPr>
            <w:r>
              <w:rPr>
                <w:rFonts w:ascii="Arial" w:cs="Arial" w:eastAsia="Arial" w:hAnsi="Arial"/>
                <w:sz w:val="16"/>
                <w:szCs w:val="16"/>
                <w:color w:val="auto"/>
              </w:rPr>
              <w:t>Percent ceded - excess of $1,000,000 dollars of coverage</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100%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100%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3"/>
        </w:trPr>
        <w:tc>
          <w:tcPr>
            <w:tcW w:w="7320" w:type="dxa"/>
            <w:vAlign w:val="bottom"/>
            <w:gridSpan w:val="4"/>
            <w:shd w:val="clear" w:color="auto" w:fill="CCEEFF"/>
          </w:tcPr>
          <w:p>
            <w:pPr>
              <w:ind w:left="340"/>
              <w:spacing w:after="0"/>
              <w:rPr>
                <w:sz w:val="20"/>
                <w:szCs w:val="20"/>
                <w:color w:val="auto"/>
              </w:rPr>
            </w:pPr>
            <w:r>
              <w:rPr>
                <w:rFonts w:ascii="Arial" w:cs="Arial" w:eastAsia="Arial" w:hAnsi="Arial"/>
                <w:sz w:val="16"/>
                <w:szCs w:val="16"/>
                <w:color w:val="auto"/>
              </w:rPr>
              <w:t>Risk retained</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100,000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100,000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100,000</w:t>
            </w:r>
          </w:p>
        </w:tc>
        <w:tc>
          <w:tcPr>
            <w:tcW w:w="0" w:type="dxa"/>
            <w:vAlign w:val="bottom"/>
          </w:tcPr>
          <w:p>
            <w:pPr>
              <w:spacing w:after="0"/>
              <w:rPr>
                <w:sz w:val="1"/>
                <w:szCs w:val="1"/>
                <w:color w:val="auto"/>
              </w:rPr>
            </w:pPr>
          </w:p>
        </w:tc>
      </w:tr>
      <w:tr>
        <w:trPr>
          <w:trHeight w:val="203"/>
        </w:trPr>
        <w:tc>
          <w:tcPr>
            <w:tcW w:w="7320" w:type="dxa"/>
            <w:vAlign w:val="bottom"/>
            <w:gridSpan w:val="4"/>
          </w:tcPr>
          <w:p>
            <w:pPr>
              <w:ind w:left="340"/>
              <w:spacing w:after="0"/>
              <w:rPr>
                <w:sz w:val="20"/>
                <w:szCs w:val="20"/>
                <w:color w:val="auto"/>
              </w:rPr>
            </w:pPr>
            <w:r>
              <w:rPr>
                <w:rFonts w:ascii="Arial" w:cs="Arial" w:eastAsia="Arial" w:hAnsi="Arial"/>
                <w:sz w:val="16"/>
                <w:szCs w:val="16"/>
                <w:color w:val="auto"/>
              </w:rPr>
              <w:t>Total reinsurance coverage per occurrence</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4,900,000</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4,900,000</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4,900,000</w:t>
            </w:r>
          </w:p>
        </w:tc>
        <w:tc>
          <w:tcPr>
            <w:tcW w:w="0" w:type="dxa"/>
            <w:vAlign w:val="bottom"/>
          </w:tcPr>
          <w:p>
            <w:pPr>
              <w:spacing w:after="0"/>
              <w:rPr>
                <w:sz w:val="1"/>
                <w:szCs w:val="1"/>
                <w:color w:val="auto"/>
              </w:rPr>
            </w:pPr>
          </w:p>
        </w:tc>
      </w:tr>
      <w:tr>
        <w:trPr>
          <w:trHeight w:val="203"/>
        </w:trPr>
        <w:tc>
          <w:tcPr>
            <w:tcW w:w="7320" w:type="dxa"/>
            <w:vAlign w:val="bottom"/>
            <w:gridSpan w:val="4"/>
            <w:shd w:val="clear" w:color="auto" w:fill="CCEEFF"/>
          </w:tcPr>
          <w:p>
            <w:pPr>
              <w:ind w:left="340"/>
              <w:spacing w:after="0"/>
              <w:rPr>
                <w:sz w:val="20"/>
                <w:szCs w:val="20"/>
                <w:color w:val="auto"/>
              </w:rPr>
            </w:pPr>
            <w:r>
              <w:rPr>
                <w:rFonts w:ascii="Arial" w:cs="Arial" w:eastAsia="Arial" w:hAnsi="Arial"/>
                <w:sz w:val="16"/>
                <w:szCs w:val="16"/>
                <w:color w:val="auto"/>
              </w:rPr>
              <w:t>Losses per occurrence subject to quota share reinsurance coverage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5,000,000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5,000,000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5,000,000</w:t>
            </w:r>
          </w:p>
        </w:tc>
        <w:tc>
          <w:tcPr>
            <w:tcW w:w="0" w:type="dxa"/>
            <w:vAlign w:val="bottom"/>
          </w:tcPr>
          <w:p>
            <w:pPr>
              <w:spacing w:after="0"/>
              <w:rPr>
                <w:sz w:val="1"/>
                <w:szCs w:val="1"/>
                <w:color w:val="auto"/>
              </w:rPr>
            </w:pPr>
          </w:p>
        </w:tc>
      </w:tr>
      <w:tr>
        <w:trPr>
          <w:trHeight w:val="203"/>
        </w:trPr>
        <w:tc>
          <w:tcPr>
            <w:tcW w:w="7320" w:type="dxa"/>
            <w:vAlign w:val="bottom"/>
            <w:gridSpan w:val="4"/>
          </w:tcPr>
          <w:p>
            <w:pPr>
              <w:ind w:left="200"/>
              <w:spacing w:after="0"/>
              <w:rPr>
                <w:sz w:val="20"/>
                <w:szCs w:val="20"/>
                <w:color w:val="auto"/>
              </w:rPr>
            </w:pPr>
            <w:r>
              <w:rPr>
                <w:rFonts w:ascii="Arial" w:cs="Arial" w:eastAsia="Arial" w:hAnsi="Arial"/>
                <w:sz w:val="16"/>
                <w:szCs w:val="16"/>
                <w:color w:val="auto"/>
              </w:rPr>
              <w:t>Expiration date</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ind w:left="20"/>
              <w:spacing w:after="0"/>
              <w:rPr>
                <w:sz w:val="20"/>
                <w:szCs w:val="20"/>
                <w:color w:val="auto"/>
              </w:rPr>
            </w:pPr>
            <w:r>
              <w:rPr>
                <w:rFonts w:ascii="Arial" w:cs="Arial" w:eastAsia="Arial" w:hAnsi="Arial"/>
                <w:sz w:val="16"/>
                <w:szCs w:val="16"/>
                <w:color w:val="auto"/>
              </w:rPr>
              <w:t>June 30, 2020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color w:val="auto"/>
                <w:w w:val="90"/>
              </w:rPr>
              <w:t>June 30, 2019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6"/>
                <w:szCs w:val="16"/>
                <w:color w:val="auto"/>
                <w:w w:val="90"/>
              </w:rPr>
              <w:t>June 30, 2018</w:t>
            </w:r>
          </w:p>
        </w:tc>
        <w:tc>
          <w:tcPr>
            <w:tcW w:w="0" w:type="dxa"/>
            <w:vAlign w:val="bottom"/>
          </w:tcPr>
          <w:p>
            <w:pPr>
              <w:spacing w:after="0"/>
              <w:rPr>
                <w:sz w:val="1"/>
                <w:szCs w:val="1"/>
                <w:color w:val="auto"/>
              </w:rPr>
            </w:pPr>
          </w:p>
        </w:tc>
      </w:tr>
      <w:tr>
        <w:trPr>
          <w:trHeight w:val="203"/>
        </w:trPr>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7320" w:type="dxa"/>
            <w:vAlign w:val="bottom"/>
            <w:gridSpan w:val="4"/>
          </w:tcPr>
          <w:p>
            <w:pPr>
              <w:spacing w:after="0" w:line="165" w:lineRule="exact"/>
              <w:rPr>
                <w:sz w:val="20"/>
                <w:szCs w:val="20"/>
                <w:color w:val="auto"/>
              </w:rPr>
            </w:pPr>
            <w:r>
              <w:rPr>
                <w:rFonts w:ascii="Arial" w:cs="Arial" w:eastAsia="Arial" w:hAnsi="Arial"/>
                <w:sz w:val="16"/>
                <w:szCs w:val="16"/>
                <w:color w:val="auto"/>
              </w:rPr>
              <w:t>Commercial Lines: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10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732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General liability commercial policies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320" w:type="dxa"/>
            <w:vAlign w:val="bottom"/>
            <w:gridSpan w:val="4"/>
          </w:tcPr>
          <w:p>
            <w:pPr>
              <w:ind w:left="200"/>
              <w:spacing w:after="0"/>
              <w:rPr>
                <w:sz w:val="20"/>
                <w:szCs w:val="20"/>
                <w:color w:val="auto"/>
              </w:rPr>
            </w:pPr>
            <w:r>
              <w:rPr>
                <w:rFonts w:ascii="Arial" w:cs="Arial" w:eastAsia="Arial" w:hAnsi="Arial"/>
                <w:sz w:val="16"/>
                <w:szCs w:val="16"/>
                <w:color w:val="auto"/>
              </w:rPr>
              <w:t>Quota share treaty</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ind w:left="300"/>
              <w:spacing w:after="0"/>
              <w:rPr>
                <w:sz w:val="20"/>
                <w:szCs w:val="20"/>
                <w:color w:val="auto"/>
              </w:rPr>
            </w:pPr>
            <w:r>
              <w:rPr>
                <w:rFonts w:ascii="Arial" w:cs="Arial" w:eastAsia="Arial" w:hAnsi="Arial"/>
                <w:sz w:val="16"/>
                <w:szCs w:val="16"/>
                <w:color w:val="auto"/>
              </w:rPr>
              <w:t>None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color w:val="auto"/>
                <w:w w:val="88"/>
              </w:rPr>
              <w:t>None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6"/>
                <w:szCs w:val="16"/>
                <w:color w:val="auto"/>
                <w:w w:val="94"/>
              </w:rPr>
              <w:t>None</w:t>
            </w:r>
          </w:p>
        </w:tc>
        <w:tc>
          <w:tcPr>
            <w:tcW w:w="0" w:type="dxa"/>
            <w:vAlign w:val="bottom"/>
          </w:tcPr>
          <w:p>
            <w:pPr>
              <w:spacing w:after="0"/>
              <w:rPr>
                <w:sz w:val="1"/>
                <w:szCs w:val="1"/>
                <w:color w:val="auto"/>
              </w:rPr>
            </w:pPr>
          </w:p>
        </w:tc>
      </w:tr>
      <w:tr>
        <w:trPr>
          <w:trHeight w:val="203"/>
        </w:trPr>
        <w:tc>
          <w:tcPr>
            <w:tcW w:w="7320" w:type="dxa"/>
            <w:vAlign w:val="bottom"/>
            <w:gridSpan w:val="4"/>
            <w:shd w:val="clear" w:color="auto" w:fill="CCEEFF"/>
          </w:tcPr>
          <w:p>
            <w:pPr>
              <w:ind w:left="200"/>
              <w:spacing w:after="0"/>
              <w:rPr>
                <w:sz w:val="20"/>
                <w:szCs w:val="20"/>
                <w:color w:val="auto"/>
              </w:rPr>
            </w:pPr>
            <w:r>
              <w:rPr>
                <w:rFonts w:ascii="Arial" w:cs="Arial" w:eastAsia="Arial" w:hAnsi="Arial"/>
                <w:sz w:val="16"/>
                <w:szCs w:val="16"/>
                <w:color w:val="auto"/>
              </w:rPr>
              <w:t>Risk retained</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750,000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750,000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750,000</w:t>
            </w:r>
          </w:p>
        </w:tc>
        <w:tc>
          <w:tcPr>
            <w:tcW w:w="0" w:type="dxa"/>
            <w:vAlign w:val="bottom"/>
          </w:tcPr>
          <w:p>
            <w:pPr>
              <w:spacing w:after="0"/>
              <w:rPr>
                <w:sz w:val="1"/>
                <w:szCs w:val="1"/>
                <w:color w:val="auto"/>
              </w:rPr>
            </w:pPr>
          </w:p>
        </w:tc>
      </w:tr>
      <w:tr>
        <w:trPr>
          <w:trHeight w:val="203"/>
        </w:trPr>
        <w:tc>
          <w:tcPr>
            <w:tcW w:w="7320" w:type="dxa"/>
            <w:vAlign w:val="bottom"/>
            <w:gridSpan w:val="4"/>
          </w:tcPr>
          <w:p>
            <w:pPr>
              <w:ind w:left="200"/>
              <w:spacing w:after="0"/>
              <w:rPr>
                <w:sz w:val="20"/>
                <w:szCs w:val="20"/>
                <w:color w:val="auto"/>
              </w:rPr>
            </w:pPr>
            <w:r>
              <w:rPr>
                <w:rFonts w:ascii="Arial" w:cs="Arial" w:eastAsia="Arial" w:hAnsi="Arial"/>
                <w:sz w:val="16"/>
                <w:szCs w:val="16"/>
                <w:color w:val="auto"/>
              </w:rPr>
              <w:t>Excess of loss coverage above risk retained</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3,750,000</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3,750,000</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3,750,000</w:t>
            </w:r>
          </w:p>
        </w:tc>
        <w:tc>
          <w:tcPr>
            <w:tcW w:w="0" w:type="dxa"/>
            <w:vAlign w:val="bottom"/>
          </w:tcPr>
          <w:p>
            <w:pPr>
              <w:spacing w:after="0"/>
              <w:rPr>
                <w:sz w:val="1"/>
                <w:szCs w:val="1"/>
                <w:color w:val="auto"/>
              </w:rPr>
            </w:pPr>
          </w:p>
        </w:tc>
      </w:tr>
      <w:tr>
        <w:trPr>
          <w:trHeight w:val="203"/>
        </w:trPr>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center"/>
              <w:ind w:right="380"/>
              <w:spacing w:after="0"/>
              <w:rPr>
                <w:sz w:val="20"/>
                <w:szCs w:val="20"/>
                <w:color w:val="auto"/>
              </w:rPr>
            </w:pPr>
            <w:r>
              <w:rPr>
                <w:rFonts w:ascii="Arial" w:cs="Arial" w:eastAsia="Arial" w:hAnsi="Arial"/>
                <w:sz w:val="16"/>
                <w:szCs w:val="16"/>
                <w:color w:val="auto"/>
                <w:w w:val="92"/>
              </w:rPr>
              <w:t>in excess of</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2"/>
              </w:rPr>
              <w:t>in excess of</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w w:val="94"/>
              </w:rPr>
              <w:t>in excess of</w:t>
            </w: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750,000</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750,000</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750,000</w:t>
            </w:r>
          </w:p>
        </w:tc>
        <w:tc>
          <w:tcPr>
            <w:tcW w:w="0" w:type="dxa"/>
            <w:vAlign w:val="bottom"/>
          </w:tcPr>
          <w:p>
            <w:pPr>
              <w:spacing w:after="0"/>
              <w:rPr>
                <w:sz w:val="1"/>
                <w:szCs w:val="1"/>
                <w:color w:val="auto"/>
              </w:rPr>
            </w:pPr>
          </w:p>
        </w:tc>
      </w:tr>
      <w:tr>
        <w:trPr>
          <w:trHeight w:val="203"/>
        </w:trPr>
        <w:tc>
          <w:tcPr>
            <w:tcW w:w="7320" w:type="dxa"/>
            <w:vAlign w:val="bottom"/>
            <w:gridSpan w:val="4"/>
            <w:shd w:val="clear" w:color="auto" w:fill="CCEEFF"/>
          </w:tcPr>
          <w:p>
            <w:pPr>
              <w:ind w:left="200"/>
              <w:spacing w:after="0"/>
              <w:rPr>
                <w:sz w:val="20"/>
                <w:szCs w:val="20"/>
                <w:color w:val="auto"/>
              </w:rPr>
            </w:pPr>
            <w:r>
              <w:rPr>
                <w:rFonts w:ascii="Arial" w:cs="Arial" w:eastAsia="Arial" w:hAnsi="Arial"/>
                <w:sz w:val="16"/>
                <w:szCs w:val="16"/>
                <w:color w:val="auto"/>
              </w:rPr>
              <w:t>Total reinsurance coverage per occurrence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3,750,000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3,750,000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3,750,000</w:t>
            </w:r>
          </w:p>
        </w:tc>
        <w:tc>
          <w:tcPr>
            <w:tcW w:w="0" w:type="dxa"/>
            <w:vAlign w:val="bottom"/>
          </w:tcPr>
          <w:p>
            <w:pPr>
              <w:spacing w:after="0"/>
              <w:rPr>
                <w:sz w:val="1"/>
                <w:szCs w:val="1"/>
                <w:color w:val="auto"/>
              </w:rPr>
            </w:pPr>
          </w:p>
        </w:tc>
      </w:tr>
      <w:tr>
        <w:trPr>
          <w:trHeight w:val="203"/>
        </w:trPr>
        <w:tc>
          <w:tcPr>
            <w:tcW w:w="7320" w:type="dxa"/>
            <w:vAlign w:val="bottom"/>
            <w:gridSpan w:val="4"/>
          </w:tcPr>
          <w:p>
            <w:pPr>
              <w:ind w:left="200"/>
              <w:spacing w:after="0"/>
              <w:rPr>
                <w:sz w:val="20"/>
                <w:szCs w:val="20"/>
                <w:color w:val="auto"/>
              </w:rPr>
            </w:pPr>
            <w:r>
              <w:rPr>
                <w:rFonts w:ascii="Arial" w:cs="Arial" w:eastAsia="Arial" w:hAnsi="Arial"/>
                <w:sz w:val="16"/>
                <w:szCs w:val="16"/>
                <w:color w:val="auto"/>
              </w:rPr>
              <w:t>Losses per occurrence subject to reinsurance coverage</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4,500,000</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4,500,000</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4,500,000</w:t>
            </w:r>
          </w:p>
        </w:tc>
        <w:tc>
          <w:tcPr>
            <w:tcW w:w="0" w:type="dxa"/>
            <w:vAlign w:val="bottom"/>
          </w:tcPr>
          <w:p>
            <w:pPr>
              <w:spacing w:after="0"/>
              <w:rPr>
                <w:sz w:val="1"/>
                <w:szCs w:val="1"/>
                <w:color w:val="auto"/>
              </w:rPr>
            </w:pPr>
          </w:p>
        </w:tc>
      </w:tr>
      <w:tr>
        <w:trPr>
          <w:trHeight w:val="203"/>
        </w:trPr>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gridSpan w:val="4"/>
          </w:tcPr>
          <w:p>
            <w:pPr>
              <w:ind w:left="40"/>
              <w:spacing w:after="0"/>
              <w:rPr>
                <w:sz w:val="20"/>
                <w:szCs w:val="20"/>
                <w:color w:val="auto"/>
              </w:rPr>
            </w:pPr>
            <w:r>
              <w:rPr>
                <w:rFonts w:ascii="Arial" w:cs="Arial" w:eastAsia="Arial" w:hAnsi="Arial"/>
                <w:sz w:val="16"/>
                <w:szCs w:val="16"/>
                <w:color w:val="auto"/>
              </w:rPr>
              <w:t>Commercial Umbrella</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gridSpan w:val="4"/>
            <w:shd w:val="clear" w:color="auto" w:fill="CCEEFF"/>
          </w:tcPr>
          <w:p>
            <w:pPr>
              <w:ind w:left="200"/>
              <w:spacing w:after="0"/>
              <w:rPr>
                <w:sz w:val="20"/>
                <w:szCs w:val="20"/>
                <w:color w:val="auto"/>
              </w:rPr>
            </w:pPr>
            <w:r>
              <w:rPr>
                <w:rFonts w:ascii="Arial" w:cs="Arial" w:eastAsia="Arial" w:hAnsi="Arial"/>
                <w:sz w:val="16"/>
                <w:szCs w:val="16"/>
                <w:color w:val="auto"/>
              </w:rPr>
              <w:t>Quota share treaty:</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None</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gridSpan w:val="4"/>
          </w:tcPr>
          <w:p>
            <w:pPr>
              <w:ind w:left="340"/>
              <w:spacing w:after="0"/>
              <w:rPr>
                <w:sz w:val="20"/>
                <w:szCs w:val="20"/>
                <w:color w:val="auto"/>
              </w:rPr>
            </w:pPr>
            <w:r>
              <w:rPr>
                <w:rFonts w:ascii="Arial" w:cs="Arial" w:eastAsia="Arial" w:hAnsi="Arial"/>
                <w:sz w:val="16"/>
                <w:szCs w:val="16"/>
                <w:color w:val="auto"/>
              </w:rPr>
              <w:t>Percent ceded - first $1,000,000 of coverage</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90%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03"/>
        </w:trPr>
        <w:tc>
          <w:tcPr>
            <w:tcW w:w="7320" w:type="dxa"/>
            <w:vAlign w:val="bottom"/>
            <w:gridSpan w:val="4"/>
            <w:shd w:val="clear" w:color="auto" w:fill="CCEEFF"/>
          </w:tcPr>
          <w:p>
            <w:pPr>
              <w:ind w:left="340"/>
              <w:spacing w:after="0"/>
              <w:rPr>
                <w:sz w:val="20"/>
                <w:szCs w:val="20"/>
                <w:color w:val="auto"/>
              </w:rPr>
            </w:pPr>
            <w:r>
              <w:rPr>
                <w:rFonts w:ascii="Arial" w:cs="Arial" w:eastAsia="Arial" w:hAnsi="Arial"/>
                <w:sz w:val="16"/>
                <w:szCs w:val="16"/>
                <w:color w:val="auto"/>
              </w:rPr>
              <w:t>Percent ceded - excess of $1,000,000 of coverage</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3"/>
        </w:trPr>
        <w:tc>
          <w:tcPr>
            <w:tcW w:w="7320" w:type="dxa"/>
            <w:vAlign w:val="bottom"/>
            <w:gridSpan w:val="4"/>
          </w:tcPr>
          <w:p>
            <w:pPr>
              <w:ind w:left="340"/>
              <w:spacing w:after="0"/>
              <w:rPr>
                <w:sz w:val="20"/>
                <w:szCs w:val="20"/>
                <w:color w:val="auto"/>
              </w:rPr>
            </w:pPr>
            <w:r>
              <w:rPr>
                <w:rFonts w:ascii="Arial" w:cs="Arial" w:eastAsia="Arial" w:hAnsi="Arial"/>
                <w:sz w:val="16"/>
                <w:szCs w:val="16"/>
                <w:color w:val="auto"/>
              </w:rPr>
              <w:t>Risk retained</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100,000</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100,000</w:t>
            </w:r>
          </w:p>
        </w:tc>
        <w:tc>
          <w:tcPr>
            <w:tcW w:w="0" w:type="dxa"/>
            <w:vAlign w:val="bottom"/>
          </w:tcPr>
          <w:p>
            <w:pPr>
              <w:spacing w:after="0"/>
              <w:rPr>
                <w:sz w:val="1"/>
                <w:szCs w:val="1"/>
                <w:color w:val="auto"/>
              </w:rPr>
            </w:pPr>
          </w:p>
        </w:tc>
      </w:tr>
      <w:tr>
        <w:trPr>
          <w:trHeight w:val="203"/>
        </w:trPr>
        <w:tc>
          <w:tcPr>
            <w:tcW w:w="7320" w:type="dxa"/>
            <w:vAlign w:val="bottom"/>
            <w:gridSpan w:val="4"/>
            <w:shd w:val="clear" w:color="auto" w:fill="CCEEFF"/>
          </w:tcPr>
          <w:p>
            <w:pPr>
              <w:ind w:left="340"/>
              <w:spacing w:after="0"/>
              <w:rPr>
                <w:sz w:val="20"/>
                <w:szCs w:val="20"/>
                <w:color w:val="auto"/>
              </w:rPr>
            </w:pPr>
            <w:r>
              <w:rPr>
                <w:rFonts w:ascii="Arial" w:cs="Arial" w:eastAsia="Arial" w:hAnsi="Arial"/>
                <w:sz w:val="16"/>
                <w:szCs w:val="16"/>
                <w:color w:val="auto"/>
              </w:rPr>
              <w:t>Total reinsurance coverage per occurrence</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4,900,000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4,900,000</w:t>
            </w:r>
          </w:p>
        </w:tc>
        <w:tc>
          <w:tcPr>
            <w:tcW w:w="0" w:type="dxa"/>
            <w:vAlign w:val="bottom"/>
          </w:tcPr>
          <w:p>
            <w:pPr>
              <w:spacing w:after="0"/>
              <w:rPr>
                <w:sz w:val="1"/>
                <w:szCs w:val="1"/>
                <w:color w:val="auto"/>
              </w:rPr>
            </w:pPr>
          </w:p>
        </w:tc>
      </w:tr>
      <w:tr>
        <w:trPr>
          <w:trHeight w:val="203"/>
        </w:trPr>
        <w:tc>
          <w:tcPr>
            <w:tcW w:w="7320" w:type="dxa"/>
            <w:vAlign w:val="bottom"/>
            <w:gridSpan w:val="4"/>
          </w:tcPr>
          <w:p>
            <w:pPr>
              <w:ind w:left="340"/>
              <w:spacing w:after="0"/>
              <w:rPr>
                <w:sz w:val="20"/>
                <w:szCs w:val="20"/>
                <w:color w:val="auto"/>
              </w:rPr>
            </w:pPr>
            <w:r>
              <w:rPr>
                <w:rFonts w:ascii="Arial" w:cs="Arial" w:eastAsia="Arial" w:hAnsi="Arial"/>
                <w:sz w:val="16"/>
                <w:szCs w:val="16"/>
                <w:color w:val="auto"/>
              </w:rPr>
              <w:t>Losses per occurrence subject to quota share reinsurance coverage</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5,000,000</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5,000,000</w:t>
            </w:r>
          </w:p>
        </w:tc>
        <w:tc>
          <w:tcPr>
            <w:tcW w:w="0" w:type="dxa"/>
            <w:vAlign w:val="bottom"/>
          </w:tcPr>
          <w:p>
            <w:pPr>
              <w:spacing w:after="0"/>
              <w:rPr>
                <w:sz w:val="1"/>
                <w:szCs w:val="1"/>
                <w:color w:val="auto"/>
              </w:rPr>
            </w:pPr>
          </w:p>
        </w:tc>
      </w:tr>
      <w:tr>
        <w:trPr>
          <w:trHeight w:val="203"/>
        </w:trPr>
        <w:tc>
          <w:tcPr>
            <w:tcW w:w="7320" w:type="dxa"/>
            <w:vAlign w:val="bottom"/>
            <w:gridSpan w:val="4"/>
            <w:shd w:val="clear" w:color="auto" w:fill="CCEEFF"/>
          </w:tcPr>
          <w:p>
            <w:pPr>
              <w:ind w:left="200"/>
              <w:spacing w:after="0"/>
              <w:rPr>
                <w:sz w:val="20"/>
                <w:szCs w:val="20"/>
                <w:color w:val="auto"/>
              </w:rPr>
            </w:pPr>
            <w:r>
              <w:rPr>
                <w:rFonts w:ascii="Arial" w:cs="Arial" w:eastAsia="Arial" w:hAnsi="Arial"/>
                <w:sz w:val="16"/>
                <w:szCs w:val="16"/>
                <w:color w:val="auto"/>
              </w:rPr>
              <w:t>Expiration date</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w w:val="94"/>
              </w:rPr>
              <w:t>June 30, 2019</w:t>
            </w:r>
          </w:p>
        </w:tc>
        <w:tc>
          <w:tcPr>
            <w:tcW w:w="8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w w:val="92"/>
              </w:rPr>
              <w:t>June 30, 2018</w:t>
            </w: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7320" w:type="dxa"/>
            <w:vAlign w:val="bottom"/>
            <w:gridSpan w:val="4"/>
            <w:shd w:val="clear" w:color="auto" w:fill="CCEEFF"/>
          </w:tcPr>
          <w:p>
            <w:pPr>
              <w:spacing w:after="0" w:line="165" w:lineRule="exact"/>
              <w:rPr>
                <w:sz w:val="20"/>
                <w:szCs w:val="20"/>
                <w:color w:val="auto"/>
              </w:rPr>
            </w:pPr>
            <w:r>
              <w:rPr>
                <w:rFonts w:ascii="Arial" w:cs="Arial" w:eastAsia="Arial" w:hAnsi="Arial"/>
                <w:sz w:val="16"/>
                <w:szCs w:val="16"/>
                <w:color w:val="auto"/>
              </w:rPr>
              <w:t>Catastrophe Reinsurance:</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1020" w:type="dxa"/>
            <w:vAlign w:val="bottom"/>
            <w:shd w:val="clear" w:color="auto" w:fill="000000"/>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420" w:type="dxa"/>
            <w:vAlign w:val="bottom"/>
            <w:shd w:val="clear" w:color="auto" w:fill="000000"/>
          </w:tcPr>
          <w:p>
            <w:pPr>
              <w:spacing w:after="0"/>
              <w:rPr>
                <w:sz w:val="3"/>
                <w:szCs w:val="3"/>
                <w:color w:val="auto"/>
              </w:rPr>
            </w:pPr>
          </w:p>
        </w:tc>
        <w:tc>
          <w:tcPr>
            <w:tcW w:w="56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7320" w:type="dxa"/>
            <w:vAlign w:val="bottom"/>
            <w:gridSpan w:val="4"/>
          </w:tcPr>
          <w:p>
            <w:pPr>
              <w:ind w:left="160"/>
              <w:spacing w:after="0"/>
              <w:rPr>
                <w:sz w:val="20"/>
                <w:szCs w:val="20"/>
                <w:color w:val="auto"/>
              </w:rPr>
            </w:pPr>
            <w:r>
              <w:rPr>
                <w:rFonts w:ascii="Arial" w:cs="Arial" w:eastAsia="Arial" w:hAnsi="Arial"/>
                <w:sz w:val="16"/>
                <w:szCs w:val="16"/>
                <w:color w:val="auto"/>
              </w:rPr>
              <w:t>Initial loss subject to personal lines quota share treaty</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ind w:left="300"/>
              <w:spacing w:after="0"/>
              <w:rPr>
                <w:sz w:val="20"/>
                <w:szCs w:val="20"/>
                <w:color w:val="auto"/>
              </w:rPr>
            </w:pPr>
            <w:r>
              <w:rPr>
                <w:rFonts w:ascii="Arial" w:cs="Arial" w:eastAsia="Arial" w:hAnsi="Arial"/>
                <w:sz w:val="16"/>
                <w:szCs w:val="16"/>
                <w:color w:val="auto"/>
              </w:rPr>
              <w:t>None</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5,000,000</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5,000,000</w:t>
            </w:r>
          </w:p>
        </w:tc>
        <w:tc>
          <w:tcPr>
            <w:tcW w:w="0" w:type="dxa"/>
            <w:vAlign w:val="bottom"/>
          </w:tcPr>
          <w:p>
            <w:pPr>
              <w:spacing w:after="0"/>
              <w:rPr>
                <w:sz w:val="1"/>
                <w:szCs w:val="1"/>
                <w:color w:val="auto"/>
              </w:rPr>
            </w:pPr>
          </w:p>
        </w:tc>
      </w:tr>
      <w:tr>
        <w:trPr>
          <w:trHeight w:val="203"/>
        </w:trPr>
        <w:tc>
          <w:tcPr>
            <w:tcW w:w="7320" w:type="dxa"/>
            <w:vAlign w:val="bottom"/>
            <w:gridSpan w:val="4"/>
            <w:shd w:val="clear" w:color="auto" w:fill="CCEEFF"/>
          </w:tcPr>
          <w:p>
            <w:pPr>
              <w:ind w:left="200"/>
              <w:spacing w:after="0"/>
              <w:rPr>
                <w:sz w:val="20"/>
                <w:szCs w:val="20"/>
                <w:color w:val="auto"/>
              </w:rPr>
            </w:pPr>
            <w:r>
              <w:rPr>
                <w:rFonts w:ascii="Arial" w:cs="Arial" w:eastAsia="Arial" w:hAnsi="Arial"/>
                <w:sz w:val="16"/>
                <w:szCs w:val="16"/>
                <w:color w:val="auto"/>
              </w:rPr>
              <w:t>Risk retained per catastrophe occurrence (2)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7,500,000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4,500,000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4,000,000</w:t>
            </w:r>
          </w:p>
        </w:tc>
        <w:tc>
          <w:tcPr>
            <w:tcW w:w="0" w:type="dxa"/>
            <w:vAlign w:val="bottom"/>
          </w:tcPr>
          <w:p>
            <w:pPr>
              <w:spacing w:after="0"/>
              <w:rPr>
                <w:sz w:val="1"/>
                <w:szCs w:val="1"/>
                <w:color w:val="auto"/>
              </w:rPr>
            </w:pPr>
          </w:p>
        </w:tc>
      </w:tr>
      <w:tr>
        <w:trPr>
          <w:trHeight w:val="203"/>
        </w:trPr>
        <w:tc>
          <w:tcPr>
            <w:tcW w:w="7320" w:type="dxa"/>
            <w:vAlign w:val="bottom"/>
            <w:gridSpan w:val="4"/>
          </w:tcPr>
          <w:p>
            <w:pPr>
              <w:ind w:left="200"/>
              <w:spacing w:after="0"/>
              <w:rPr>
                <w:sz w:val="20"/>
                <w:szCs w:val="20"/>
                <w:color w:val="auto"/>
              </w:rPr>
            </w:pPr>
            <w:r>
              <w:rPr>
                <w:rFonts w:ascii="Arial" w:cs="Arial" w:eastAsia="Arial" w:hAnsi="Arial"/>
                <w:sz w:val="16"/>
                <w:szCs w:val="16"/>
                <w:color w:val="auto"/>
              </w:rPr>
              <w:t>Catastrophe loss coverage in excess of quota share coverage (3)</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602,500,000</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445,000,000</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315,000,000</w:t>
            </w:r>
          </w:p>
        </w:tc>
        <w:tc>
          <w:tcPr>
            <w:tcW w:w="0" w:type="dxa"/>
            <w:vAlign w:val="bottom"/>
          </w:tcPr>
          <w:p>
            <w:pPr>
              <w:spacing w:after="0"/>
              <w:rPr>
                <w:sz w:val="1"/>
                <w:szCs w:val="1"/>
                <w:color w:val="auto"/>
              </w:rPr>
            </w:pPr>
          </w:p>
        </w:tc>
      </w:tr>
      <w:tr>
        <w:trPr>
          <w:trHeight w:val="203"/>
        </w:trPr>
        <w:tc>
          <w:tcPr>
            <w:tcW w:w="7320" w:type="dxa"/>
            <w:vAlign w:val="bottom"/>
            <w:gridSpan w:val="4"/>
            <w:shd w:val="clear" w:color="auto" w:fill="CCEEFF"/>
          </w:tcPr>
          <w:p>
            <w:pPr>
              <w:ind w:left="200"/>
              <w:spacing w:after="0"/>
              <w:rPr>
                <w:sz w:val="20"/>
                <w:szCs w:val="20"/>
                <w:color w:val="auto"/>
              </w:rPr>
            </w:pPr>
            <w:r>
              <w:rPr>
                <w:rFonts w:ascii="Arial" w:cs="Arial" w:eastAsia="Arial" w:hAnsi="Arial"/>
                <w:sz w:val="16"/>
                <w:szCs w:val="16"/>
                <w:color w:val="auto"/>
              </w:rPr>
              <w:t>Reinstatement premium protection (4)(5)(6)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Yes</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86"/>
              </w:rPr>
              <w:t>Yes</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86"/>
              </w:rPr>
              <w:t>Yes</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00" w:hanging="295"/>
        <w:spacing w:after="0" w:line="268" w:lineRule="auto"/>
        <w:tabs>
          <w:tab w:leader="none" w:pos="600"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 personal lines, includes the addition of an automatic facultative facility allowing KICO to obtain homeowners single risk coverage up to $10,000,000 in total insured value, which covers direct losses from $3,500,000 to $10,000,000.</w:t>
      </w:r>
    </w:p>
    <w:p>
      <w:pPr>
        <w:ind w:left="600" w:hanging="295"/>
        <w:spacing w:after="0"/>
        <w:tabs>
          <w:tab w:leader="none" w:pos="600" w:val="left"/>
        </w:tabs>
        <w:numPr>
          <w:ilvl w:val="0"/>
          <w:numId w:val="6"/>
        </w:numPr>
        <w:rPr>
          <w:rFonts w:ascii="Arial" w:cs="Arial" w:eastAsia="Arial" w:hAnsi="Arial"/>
          <w:sz w:val="16"/>
          <w:szCs w:val="16"/>
          <w:color w:val="auto"/>
        </w:rPr>
      </w:pPr>
      <w:r>
        <w:rPr>
          <w:rFonts w:ascii="Arial" w:cs="Arial" w:eastAsia="Arial" w:hAnsi="Arial"/>
          <w:sz w:val="16"/>
          <w:szCs w:val="16"/>
          <w:color w:val="auto"/>
        </w:rPr>
        <w:t>Plus losses in excess of catastrophe coverage.</w:t>
      </w:r>
    </w:p>
    <w:p>
      <w:pPr>
        <w:spacing w:after="0" w:line="18" w:lineRule="exact"/>
        <w:rPr>
          <w:rFonts w:ascii="Arial" w:cs="Arial" w:eastAsia="Arial" w:hAnsi="Arial"/>
          <w:sz w:val="16"/>
          <w:szCs w:val="16"/>
          <w:color w:val="auto"/>
        </w:rPr>
      </w:pPr>
    </w:p>
    <w:p>
      <w:pPr>
        <w:ind w:left="600" w:hanging="295"/>
        <w:spacing w:after="0" w:line="264" w:lineRule="auto"/>
        <w:tabs>
          <w:tab w:leader="none" w:pos="600" w:val="left"/>
        </w:tabs>
        <w:numPr>
          <w:ilvl w:val="0"/>
          <w:numId w:val="6"/>
        </w:numPr>
        <w:rPr>
          <w:rFonts w:ascii="Arial" w:cs="Arial" w:eastAsia="Arial" w:hAnsi="Arial"/>
          <w:sz w:val="16"/>
          <w:szCs w:val="16"/>
          <w:color w:val="auto"/>
        </w:rPr>
      </w:pPr>
      <w:r>
        <w:rPr>
          <w:rFonts w:ascii="Arial" w:cs="Arial" w:eastAsia="Arial" w:hAnsi="Arial"/>
          <w:sz w:val="16"/>
          <w:szCs w:val="16"/>
          <w:color w:val="auto"/>
        </w:rPr>
        <w:t>Catastrophe coverage is limited on an annual basis to two times the per occurrence amounts. Duration of 168 consecutive hours for a catastrophe occurrence from windstorm, hail, tornado, hurricane and cyclone.</w:t>
      </w:r>
    </w:p>
    <w:p>
      <w:pPr>
        <w:ind w:left="600" w:hanging="295"/>
        <w:spacing w:after="0"/>
        <w:tabs>
          <w:tab w:leader="none" w:pos="600" w:val="left"/>
        </w:tabs>
        <w:numPr>
          <w:ilvl w:val="0"/>
          <w:numId w:val="6"/>
        </w:numPr>
        <w:rPr>
          <w:rFonts w:ascii="Arial" w:cs="Arial" w:eastAsia="Arial" w:hAnsi="Arial"/>
          <w:sz w:val="16"/>
          <w:szCs w:val="16"/>
          <w:color w:val="auto"/>
        </w:rPr>
      </w:pPr>
      <w:r>
        <w:rPr>
          <w:rFonts w:ascii="Arial" w:cs="Arial" w:eastAsia="Arial" w:hAnsi="Arial"/>
          <w:sz w:val="16"/>
          <w:szCs w:val="16"/>
          <w:color w:val="auto"/>
        </w:rPr>
        <w:t>Effective July 1, 2017, reinstatement premium protection for $145,000,000 of catastrophe coverage in excess of $5,000,000.</w:t>
      </w:r>
    </w:p>
    <w:p>
      <w:pPr>
        <w:spacing w:after="0" w:line="18" w:lineRule="exact"/>
        <w:rPr>
          <w:rFonts w:ascii="Arial" w:cs="Arial" w:eastAsia="Arial" w:hAnsi="Arial"/>
          <w:sz w:val="16"/>
          <w:szCs w:val="16"/>
          <w:color w:val="auto"/>
        </w:rPr>
      </w:pPr>
    </w:p>
    <w:p>
      <w:pPr>
        <w:ind w:left="600" w:hanging="295"/>
        <w:spacing w:after="0"/>
        <w:tabs>
          <w:tab w:leader="none" w:pos="600" w:val="left"/>
        </w:tabs>
        <w:numPr>
          <w:ilvl w:val="0"/>
          <w:numId w:val="6"/>
        </w:numPr>
        <w:rPr>
          <w:rFonts w:ascii="Arial" w:cs="Arial" w:eastAsia="Arial" w:hAnsi="Arial"/>
          <w:sz w:val="16"/>
          <w:szCs w:val="16"/>
          <w:color w:val="auto"/>
        </w:rPr>
      </w:pPr>
      <w:r>
        <w:rPr>
          <w:rFonts w:ascii="Arial" w:cs="Arial" w:eastAsia="Arial" w:hAnsi="Arial"/>
          <w:sz w:val="16"/>
          <w:szCs w:val="16"/>
          <w:color w:val="auto"/>
        </w:rPr>
        <w:t>Effective July 1, 2018, reinstatement premium protection for $210,000,000 of catastrophe coverage in excess of $5,000,000.</w:t>
      </w:r>
    </w:p>
    <w:p>
      <w:pPr>
        <w:spacing w:after="0" w:line="18" w:lineRule="exact"/>
        <w:rPr>
          <w:rFonts w:ascii="Arial" w:cs="Arial" w:eastAsia="Arial" w:hAnsi="Arial"/>
          <w:sz w:val="16"/>
          <w:szCs w:val="16"/>
          <w:color w:val="auto"/>
        </w:rPr>
      </w:pPr>
    </w:p>
    <w:p>
      <w:pPr>
        <w:ind w:left="600" w:hanging="295"/>
        <w:spacing w:after="0"/>
        <w:tabs>
          <w:tab w:leader="none" w:pos="600" w:val="left"/>
        </w:tabs>
        <w:numPr>
          <w:ilvl w:val="0"/>
          <w:numId w:val="6"/>
        </w:numPr>
        <w:rPr>
          <w:rFonts w:ascii="Arial" w:cs="Arial" w:eastAsia="Arial" w:hAnsi="Arial"/>
          <w:sz w:val="16"/>
          <w:szCs w:val="16"/>
          <w:color w:val="auto"/>
        </w:rPr>
      </w:pPr>
      <w:r>
        <w:rPr>
          <w:rFonts w:ascii="Arial" w:cs="Arial" w:eastAsia="Arial" w:hAnsi="Arial"/>
          <w:sz w:val="16"/>
          <w:szCs w:val="16"/>
          <w:color w:val="auto"/>
        </w:rPr>
        <w:t>Effective July 1, 2019, reinstatement premium protection for $292,500,000 of catastrophe coverage in excess of $7,500,000.</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27" w:name="page28"/>
    <w:bookmarkEnd w:id="27"/>
    <w:p>
      <w:pPr>
        <w:spacing w:after="0"/>
        <w:rPr>
          <w:sz w:val="20"/>
          <w:szCs w:val="20"/>
          <w:color w:val="auto"/>
        </w:rPr>
      </w:pPr>
      <w:r>
        <w:rPr>
          <w:rFonts w:ascii="Arial" w:cs="Arial" w:eastAsia="Arial" w:hAnsi="Arial"/>
          <w:sz w:val="16"/>
          <w:szCs w:val="16"/>
          <w:color w:val="auto"/>
        </w:rPr>
        <w:t>The single maximum risks per occurrence to which the Company is subject under the treaty year shown below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40" w:type="dxa"/>
            <w:vAlign w:val="bottom"/>
          </w:tcPr>
          <w:p>
            <w:pPr>
              <w:spacing w:after="0"/>
              <w:rPr>
                <w:sz w:val="17"/>
                <w:szCs w:val="17"/>
                <w:color w:val="auto"/>
              </w:rPr>
            </w:pPr>
          </w:p>
        </w:tc>
        <w:tc>
          <w:tcPr>
            <w:tcW w:w="3040" w:type="dxa"/>
            <w:vAlign w:val="bottom"/>
            <w:tcBorders>
              <w:bottom w:val="single" w:sz="8" w:color="auto"/>
            </w:tcBorders>
          </w:tcPr>
          <w:p>
            <w:pPr>
              <w:spacing w:after="0"/>
              <w:rPr>
                <w:sz w:val="17"/>
                <w:szCs w:val="17"/>
                <w:color w:val="auto"/>
              </w:rPr>
            </w:pPr>
          </w:p>
        </w:tc>
        <w:tc>
          <w:tcPr>
            <w:tcW w:w="49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July 1, 2019 - June 30, 2020</w:t>
            </w:r>
          </w:p>
        </w:tc>
      </w:tr>
      <w:tr>
        <w:trPr>
          <w:trHeight w:val="208"/>
        </w:trPr>
        <w:tc>
          <w:tcPr>
            <w:tcW w:w="3440" w:type="dxa"/>
            <w:vAlign w:val="bottom"/>
            <w:tcBorders>
              <w:bottom w:val="single" w:sz="8" w:color="auto"/>
            </w:tcBorders>
          </w:tcPr>
          <w:p>
            <w:pPr>
              <w:ind w:left="1480"/>
              <w:spacing w:after="0"/>
              <w:rPr>
                <w:sz w:val="20"/>
                <w:szCs w:val="20"/>
                <w:color w:val="auto"/>
              </w:rPr>
            </w:pPr>
            <w:r>
              <w:rPr>
                <w:rFonts w:ascii="Arial" w:cs="Arial" w:eastAsia="Arial" w:hAnsi="Arial"/>
                <w:sz w:val="16"/>
                <w:szCs w:val="16"/>
                <w:b w:val="1"/>
                <w:bCs w:val="1"/>
                <w:color w:val="auto"/>
              </w:rPr>
              <w:t>Treaty</w:t>
            </w:r>
          </w:p>
        </w:tc>
        <w:tc>
          <w:tcPr>
            <w:tcW w:w="3040" w:type="dxa"/>
            <w:vAlign w:val="bottom"/>
            <w:tcBorders>
              <w:bottom w:val="single" w:sz="8" w:color="auto"/>
            </w:tcBorders>
          </w:tcPr>
          <w:p>
            <w:pPr>
              <w:jc w:val="center"/>
              <w:ind w:left="919"/>
              <w:spacing w:after="0"/>
              <w:rPr>
                <w:sz w:val="20"/>
                <w:szCs w:val="20"/>
                <w:color w:val="auto"/>
              </w:rPr>
            </w:pPr>
            <w:r>
              <w:rPr>
                <w:rFonts w:ascii="Arial" w:cs="Arial" w:eastAsia="Arial" w:hAnsi="Arial"/>
                <w:sz w:val="14"/>
                <w:szCs w:val="14"/>
                <w:b w:val="1"/>
                <w:bCs w:val="1"/>
                <w:color w:val="auto"/>
                <w:w w:val="87"/>
              </w:rPr>
              <w:t>Range of Loss</w:t>
            </w:r>
          </w:p>
        </w:tc>
        <w:tc>
          <w:tcPr>
            <w:tcW w:w="4940" w:type="dxa"/>
            <w:vAlign w:val="bottom"/>
            <w:tcBorders>
              <w:bottom w:val="single" w:sz="8" w:color="auto"/>
            </w:tcBorders>
          </w:tcPr>
          <w:p>
            <w:pPr>
              <w:jc w:val="center"/>
              <w:ind w:left="899"/>
              <w:spacing w:after="0"/>
              <w:rPr>
                <w:sz w:val="20"/>
                <w:szCs w:val="20"/>
                <w:color w:val="auto"/>
              </w:rPr>
            </w:pPr>
            <w:r>
              <w:rPr>
                <w:rFonts w:ascii="Arial" w:cs="Arial" w:eastAsia="Arial" w:hAnsi="Arial"/>
                <w:sz w:val="14"/>
                <w:szCs w:val="14"/>
                <w:b w:val="1"/>
                <w:bCs w:val="1"/>
                <w:color w:val="auto"/>
                <w:w w:val="90"/>
              </w:rPr>
              <w:t>Risk Retained</w:t>
            </w:r>
          </w:p>
        </w:tc>
      </w:tr>
      <w:tr>
        <w:trPr>
          <w:trHeight w:val="203"/>
        </w:trPr>
        <w:tc>
          <w:tcPr>
            <w:tcW w:w="344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4940" w:type="dxa"/>
            <w:vAlign w:val="bottom"/>
          </w:tcPr>
          <w:p>
            <w:pPr>
              <w:spacing w:after="0"/>
              <w:rPr>
                <w:sz w:val="17"/>
                <w:szCs w:val="17"/>
                <w:color w:val="auto"/>
              </w:rPr>
            </w:pPr>
          </w:p>
        </w:tc>
      </w:tr>
      <w:tr>
        <w:trPr>
          <w:trHeight w:val="203"/>
        </w:trPr>
        <w:tc>
          <w:tcPr>
            <w:tcW w:w="3440" w:type="dxa"/>
            <w:vAlign w:val="bottom"/>
            <w:shd w:val="clear" w:color="auto" w:fill="CCEEFF"/>
          </w:tcPr>
          <w:p>
            <w:pPr>
              <w:spacing w:after="0"/>
              <w:rPr>
                <w:sz w:val="20"/>
                <w:szCs w:val="20"/>
                <w:color w:val="auto"/>
              </w:rPr>
            </w:pPr>
            <w:r>
              <w:rPr>
                <w:rFonts w:ascii="Arial" w:cs="Arial" w:eastAsia="Arial" w:hAnsi="Arial"/>
                <w:sz w:val="16"/>
                <w:szCs w:val="16"/>
                <w:color w:val="auto"/>
              </w:rPr>
              <w:t>Personal Lines (1)</w:t>
            </w:r>
          </w:p>
        </w:tc>
        <w:tc>
          <w:tcPr>
            <w:tcW w:w="3040" w:type="dxa"/>
            <w:vAlign w:val="bottom"/>
            <w:shd w:val="clear" w:color="auto" w:fill="CCEEFF"/>
          </w:tcPr>
          <w:p>
            <w:pPr>
              <w:jc w:val="center"/>
              <w:ind w:left="899"/>
              <w:spacing w:after="0"/>
              <w:rPr>
                <w:sz w:val="20"/>
                <w:szCs w:val="20"/>
                <w:color w:val="auto"/>
              </w:rPr>
            </w:pPr>
            <w:r>
              <w:rPr>
                <w:rFonts w:ascii="Arial" w:cs="Arial" w:eastAsia="Arial" w:hAnsi="Arial"/>
                <w:sz w:val="16"/>
                <w:szCs w:val="16"/>
                <w:color w:val="auto"/>
                <w:w w:val="96"/>
              </w:rPr>
              <w:t>Initial $1,000,000</w:t>
            </w:r>
          </w:p>
        </w:tc>
        <w:tc>
          <w:tcPr>
            <w:tcW w:w="4940" w:type="dxa"/>
            <w:vAlign w:val="bottom"/>
            <w:shd w:val="clear" w:color="auto" w:fill="CCEEFF"/>
          </w:tcPr>
          <w:p>
            <w:pPr>
              <w:jc w:val="center"/>
              <w:ind w:left="879"/>
              <w:spacing w:after="0"/>
              <w:rPr>
                <w:sz w:val="20"/>
                <w:szCs w:val="20"/>
                <w:color w:val="auto"/>
              </w:rPr>
            </w:pPr>
            <w:r>
              <w:rPr>
                <w:rFonts w:ascii="Arial" w:cs="Arial" w:eastAsia="Arial" w:hAnsi="Arial"/>
                <w:sz w:val="16"/>
                <w:szCs w:val="16"/>
                <w:color w:val="auto"/>
                <w:w w:val="92"/>
              </w:rPr>
              <w:t>$1,000,000</w:t>
            </w:r>
          </w:p>
        </w:tc>
      </w:tr>
      <w:tr>
        <w:trPr>
          <w:trHeight w:val="203"/>
        </w:trPr>
        <w:tc>
          <w:tcPr>
            <w:tcW w:w="3440" w:type="dxa"/>
            <w:vAlign w:val="bottom"/>
          </w:tcPr>
          <w:p>
            <w:pPr>
              <w:spacing w:after="0"/>
              <w:rPr>
                <w:sz w:val="17"/>
                <w:szCs w:val="17"/>
                <w:color w:val="auto"/>
              </w:rPr>
            </w:pPr>
          </w:p>
        </w:tc>
        <w:tc>
          <w:tcPr>
            <w:tcW w:w="3040" w:type="dxa"/>
            <w:vAlign w:val="bottom"/>
          </w:tcPr>
          <w:p>
            <w:pPr>
              <w:jc w:val="center"/>
              <w:ind w:left="899"/>
              <w:spacing w:after="0"/>
              <w:rPr>
                <w:sz w:val="20"/>
                <w:szCs w:val="20"/>
                <w:color w:val="auto"/>
              </w:rPr>
            </w:pPr>
            <w:r>
              <w:rPr>
                <w:rFonts w:ascii="Arial" w:cs="Arial" w:eastAsia="Arial" w:hAnsi="Arial"/>
                <w:sz w:val="16"/>
                <w:szCs w:val="16"/>
                <w:color w:val="auto"/>
                <w:w w:val="92"/>
              </w:rPr>
              <w:t>$1,000,000 - $10,000,000</w:t>
            </w:r>
          </w:p>
        </w:tc>
        <w:tc>
          <w:tcPr>
            <w:tcW w:w="4940" w:type="dxa"/>
            <w:vAlign w:val="bottom"/>
          </w:tcPr>
          <w:p>
            <w:pPr>
              <w:jc w:val="center"/>
              <w:ind w:left="919"/>
              <w:spacing w:after="0"/>
              <w:rPr>
                <w:sz w:val="20"/>
                <w:szCs w:val="20"/>
                <w:color w:val="auto"/>
              </w:rPr>
            </w:pPr>
            <w:r>
              <w:rPr>
                <w:rFonts w:ascii="Arial" w:cs="Arial" w:eastAsia="Arial" w:hAnsi="Arial"/>
                <w:sz w:val="16"/>
                <w:szCs w:val="16"/>
                <w:color w:val="auto"/>
                <w:w w:val="93"/>
              </w:rPr>
              <w:t>None(2)</w:t>
            </w:r>
          </w:p>
        </w:tc>
      </w:tr>
      <w:tr>
        <w:trPr>
          <w:trHeight w:val="203"/>
        </w:trPr>
        <w:tc>
          <w:tcPr>
            <w:tcW w:w="3440" w:type="dxa"/>
            <w:vAlign w:val="bottom"/>
            <w:shd w:val="clear" w:color="auto" w:fill="CCEEFF"/>
          </w:tcPr>
          <w:p>
            <w:pPr>
              <w:spacing w:after="0"/>
              <w:rPr>
                <w:sz w:val="17"/>
                <w:szCs w:val="17"/>
                <w:color w:val="auto"/>
              </w:rPr>
            </w:pPr>
          </w:p>
        </w:tc>
        <w:tc>
          <w:tcPr>
            <w:tcW w:w="3040" w:type="dxa"/>
            <w:vAlign w:val="bottom"/>
            <w:shd w:val="clear" w:color="auto" w:fill="CCEEFF"/>
          </w:tcPr>
          <w:p>
            <w:pPr>
              <w:jc w:val="center"/>
              <w:ind w:left="919"/>
              <w:spacing w:after="0"/>
              <w:rPr>
                <w:sz w:val="20"/>
                <w:szCs w:val="20"/>
                <w:color w:val="auto"/>
              </w:rPr>
            </w:pPr>
            <w:r>
              <w:rPr>
                <w:rFonts w:ascii="Arial" w:cs="Arial" w:eastAsia="Arial" w:hAnsi="Arial"/>
                <w:sz w:val="16"/>
                <w:szCs w:val="16"/>
                <w:color w:val="auto"/>
                <w:w w:val="93"/>
              </w:rPr>
              <w:t>Over $10,000,000</w:t>
            </w:r>
          </w:p>
        </w:tc>
        <w:tc>
          <w:tcPr>
            <w:tcW w:w="4940" w:type="dxa"/>
            <w:vAlign w:val="bottom"/>
            <w:shd w:val="clear" w:color="auto" w:fill="CCEEFF"/>
          </w:tcPr>
          <w:p>
            <w:pPr>
              <w:jc w:val="center"/>
              <w:ind w:left="879"/>
              <w:spacing w:after="0"/>
              <w:rPr>
                <w:sz w:val="20"/>
                <w:szCs w:val="20"/>
                <w:color w:val="auto"/>
              </w:rPr>
            </w:pPr>
            <w:r>
              <w:rPr>
                <w:rFonts w:ascii="Arial" w:cs="Arial" w:eastAsia="Arial" w:hAnsi="Arial"/>
                <w:sz w:val="16"/>
                <w:szCs w:val="16"/>
                <w:color w:val="auto"/>
                <w:w w:val="92"/>
              </w:rPr>
              <w:t>100%</w:t>
            </w:r>
          </w:p>
        </w:tc>
      </w:tr>
      <w:tr>
        <w:trPr>
          <w:trHeight w:val="203"/>
        </w:trPr>
        <w:tc>
          <w:tcPr>
            <w:tcW w:w="344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4940" w:type="dxa"/>
            <w:vAlign w:val="bottom"/>
          </w:tcPr>
          <w:p>
            <w:pPr>
              <w:spacing w:after="0"/>
              <w:rPr>
                <w:sz w:val="17"/>
                <w:szCs w:val="17"/>
                <w:color w:val="auto"/>
              </w:rPr>
            </w:pPr>
          </w:p>
        </w:tc>
      </w:tr>
      <w:tr>
        <w:trPr>
          <w:trHeight w:val="203"/>
        </w:trPr>
        <w:tc>
          <w:tcPr>
            <w:tcW w:w="3440" w:type="dxa"/>
            <w:vAlign w:val="bottom"/>
            <w:shd w:val="clear" w:color="auto" w:fill="CCEEFF"/>
          </w:tcPr>
          <w:p>
            <w:pPr>
              <w:spacing w:after="0"/>
              <w:rPr>
                <w:sz w:val="20"/>
                <w:szCs w:val="20"/>
                <w:color w:val="auto"/>
              </w:rPr>
            </w:pPr>
            <w:r>
              <w:rPr>
                <w:rFonts w:ascii="Arial" w:cs="Arial" w:eastAsia="Arial" w:hAnsi="Arial"/>
                <w:sz w:val="16"/>
                <w:szCs w:val="16"/>
                <w:color w:val="auto"/>
              </w:rPr>
              <w:t>Personal Umbrella</w:t>
            </w:r>
          </w:p>
        </w:tc>
        <w:tc>
          <w:tcPr>
            <w:tcW w:w="3040" w:type="dxa"/>
            <w:vAlign w:val="bottom"/>
            <w:shd w:val="clear" w:color="auto" w:fill="CCEEFF"/>
          </w:tcPr>
          <w:p>
            <w:pPr>
              <w:jc w:val="center"/>
              <w:ind w:left="899"/>
              <w:spacing w:after="0"/>
              <w:rPr>
                <w:sz w:val="20"/>
                <w:szCs w:val="20"/>
                <w:color w:val="auto"/>
              </w:rPr>
            </w:pPr>
            <w:r>
              <w:rPr>
                <w:rFonts w:ascii="Arial" w:cs="Arial" w:eastAsia="Arial" w:hAnsi="Arial"/>
                <w:sz w:val="16"/>
                <w:szCs w:val="16"/>
                <w:color w:val="auto"/>
                <w:w w:val="96"/>
              </w:rPr>
              <w:t>Initial $1,000,000</w:t>
            </w:r>
          </w:p>
        </w:tc>
        <w:tc>
          <w:tcPr>
            <w:tcW w:w="4940" w:type="dxa"/>
            <w:vAlign w:val="bottom"/>
            <w:shd w:val="clear" w:color="auto" w:fill="CCEEFF"/>
          </w:tcPr>
          <w:p>
            <w:pPr>
              <w:jc w:val="center"/>
              <w:ind w:left="879"/>
              <w:spacing w:after="0"/>
              <w:rPr>
                <w:sz w:val="20"/>
                <w:szCs w:val="20"/>
                <w:color w:val="auto"/>
              </w:rPr>
            </w:pPr>
            <w:r>
              <w:rPr>
                <w:rFonts w:ascii="Arial" w:cs="Arial" w:eastAsia="Arial" w:hAnsi="Arial"/>
                <w:sz w:val="16"/>
                <w:szCs w:val="16"/>
                <w:color w:val="auto"/>
                <w:w w:val="92"/>
              </w:rPr>
              <w:t>$100,000</w:t>
            </w:r>
          </w:p>
        </w:tc>
      </w:tr>
      <w:tr>
        <w:trPr>
          <w:trHeight w:val="203"/>
        </w:trPr>
        <w:tc>
          <w:tcPr>
            <w:tcW w:w="3440" w:type="dxa"/>
            <w:vAlign w:val="bottom"/>
          </w:tcPr>
          <w:p>
            <w:pPr>
              <w:spacing w:after="0"/>
              <w:rPr>
                <w:sz w:val="17"/>
                <w:szCs w:val="17"/>
                <w:color w:val="auto"/>
              </w:rPr>
            </w:pPr>
          </w:p>
        </w:tc>
        <w:tc>
          <w:tcPr>
            <w:tcW w:w="3040" w:type="dxa"/>
            <w:vAlign w:val="bottom"/>
          </w:tcPr>
          <w:p>
            <w:pPr>
              <w:jc w:val="center"/>
              <w:ind w:left="899"/>
              <w:spacing w:after="0"/>
              <w:rPr>
                <w:sz w:val="20"/>
                <w:szCs w:val="20"/>
                <w:color w:val="auto"/>
              </w:rPr>
            </w:pPr>
            <w:r>
              <w:rPr>
                <w:rFonts w:ascii="Arial" w:cs="Arial" w:eastAsia="Arial" w:hAnsi="Arial"/>
                <w:sz w:val="16"/>
                <w:szCs w:val="16"/>
                <w:color w:val="auto"/>
                <w:w w:val="92"/>
              </w:rPr>
              <w:t>$1,000,000 - $5,000,000</w:t>
            </w:r>
          </w:p>
        </w:tc>
        <w:tc>
          <w:tcPr>
            <w:tcW w:w="4940" w:type="dxa"/>
            <w:vAlign w:val="bottom"/>
          </w:tcPr>
          <w:p>
            <w:pPr>
              <w:jc w:val="center"/>
              <w:ind w:left="939"/>
              <w:spacing w:after="0"/>
              <w:rPr>
                <w:sz w:val="20"/>
                <w:szCs w:val="20"/>
                <w:color w:val="auto"/>
              </w:rPr>
            </w:pPr>
            <w:r>
              <w:rPr>
                <w:rFonts w:ascii="Arial" w:cs="Arial" w:eastAsia="Arial" w:hAnsi="Arial"/>
                <w:sz w:val="16"/>
                <w:szCs w:val="16"/>
                <w:color w:val="auto"/>
                <w:w w:val="94"/>
              </w:rPr>
              <w:t>None</w:t>
            </w:r>
          </w:p>
        </w:tc>
      </w:tr>
      <w:tr>
        <w:trPr>
          <w:trHeight w:val="203"/>
        </w:trPr>
        <w:tc>
          <w:tcPr>
            <w:tcW w:w="3440" w:type="dxa"/>
            <w:vAlign w:val="bottom"/>
            <w:shd w:val="clear" w:color="auto" w:fill="CCEEFF"/>
          </w:tcPr>
          <w:p>
            <w:pPr>
              <w:spacing w:after="0"/>
              <w:rPr>
                <w:sz w:val="17"/>
                <w:szCs w:val="17"/>
                <w:color w:val="auto"/>
              </w:rPr>
            </w:pPr>
          </w:p>
        </w:tc>
        <w:tc>
          <w:tcPr>
            <w:tcW w:w="3040" w:type="dxa"/>
            <w:vAlign w:val="bottom"/>
            <w:shd w:val="clear" w:color="auto" w:fill="CCEEFF"/>
          </w:tcPr>
          <w:p>
            <w:pPr>
              <w:jc w:val="center"/>
              <w:ind w:left="919"/>
              <w:spacing w:after="0"/>
              <w:rPr>
                <w:sz w:val="20"/>
                <w:szCs w:val="20"/>
                <w:color w:val="auto"/>
              </w:rPr>
            </w:pPr>
            <w:r>
              <w:rPr>
                <w:rFonts w:ascii="Arial" w:cs="Arial" w:eastAsia="Arial" w:hAnsi="Arial"/>
                <w:sz w:val="16"/>
                <w:szCs w:val="16"/>
                <w:color w:val="auto"/>
                <w:w w:val="93"/>
              </w:rPr>
              <w:t>Over $5,000,000</w:t>
            </w:r>
          </w:p>
        </w:tc>
        <w:tc>
          <w:tcPr>
            <w:tcW w:w="4940" w:type="dxa"/>
            <w:vAlign w:val="bottom"/>
            <w:shd w:val="clear" w:color="auto" w:fill="CCEEFF"/>
          </w:tcPr>
          <w:p>
            <w:pPr>
              <w:jc w:val="center"/>
              <w:ind w:left="879"/>
              <w:spacing w:after="0"/>
              <w:rPr>
                <w:sz w:val="20"/>
                <w:szCs w:val="20"/>
                <w:color w:val="auto"/>
              </w:rPr>
            </w:pPr>
            <w:r>
              <w:rPr>
                <w:rFonts w:ascii="Arial" w:cs="Arial" w:eastAsia="Arial" w:hAnsi="Arial"/>
                <w:sz w:val="16"/>
                <w:szCs w:val="16"/>
                <w:color w:val="auto"/>
                <w:w w:val="92"/>
              </w:rPr>
              <w:t>100%</w:t>
            </w:r>
          </w:p>
        </w:tc>
      </w:tr>
      <w:tr>
        <w:trPr>
          <w:trHeight w:val="203"/>
        </w:trPr>
        <w:tc>
          <w:tcPr>
            <w:tcW w:w="344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4940" w:type="dxa"/>
            <w:vAlign w:val="bottom"/>
          </w:tcPr>
          <w:p>
            <w:pPr>
              <w:spacing w:after="0"/>
              <w:rPr>
                <w:sz w:val="17"/>
                <w:szCs w:val="17"/>
                <w:color w:val="auto"/>
              </w:rPr>
            </w:pPr>
          </w:p>
        </w:tc>
      </w:tr>
      <w:tr>
        <w:trPr>
          <w:trHeight w:val="203"/>
        </w:trPr>
        <w:tc>
          <w:tcPr>
            <w:tcW w:w="3440" w:type="dxa"/>
            <w:vAlign w:val="bottom"/>
            <w:shd w:val="clear" w:color="auto" w:fill="CCEEFF"/>
          </w:tcPr>
          <w:p>
            <w:pPr>
              <w:spacing w:after="0"/>
              <w:rPr>
                <w:sz w:val="20"/>
                <w:szCs w:val="20"/>
                <w:color w:val="auto"/>
              </w:rPr>
            </w:pPr>
            <w:r>
              <w:rPr>
                <w:rFonts w:ascii="Arial" w:cs="Arial" w:eastAsia="Arial" w:hAnsi="Arial"/>
                <w:sz w:val="16"/>
                <w:szCs w:val="16"/>
                <w:color w:val="auto"/>
              </w:rPr>
              <w:t>Commercial Lines</w:t>
            </w:r>
          </w:p>
        </w:tc>
        <w:tc>
          <w:tcPr>
            <w:tcW w:w="3040" w:type="dxa"/>
            <w:vAlign w:val="bottom"/>
            <w:shd w:val="clear" w:color="auto" w:fill="CCEEFF"/>
          </w:tcPr>
          <w:p>
            <w:pPr>
              <w:jc w:val="center"/>
              <w:ind w:left="919"/>
              <w:spacing w:after="0"/>
              <w:rPr>
                <w:sz w:val="20"/>
                <w:szCs w:val="20"/>
                <w:color w:val="auto"/>
              </w:rPr>
            </w:pPr>
            <w:r>
              <w:rPr>
                <w:rFonts w:ascii="Arial" w:cs="Arial" w:eastAsia="Arial" w:hAnsi="Arial"/>
                <w:sz w:val="16"/>
                <w:szCs w:val="16"/>
                <w:color w:val="auto"/>
                <w:w w:val="95"/>
              </w:rPr>
              <w:t>Initial $750,000</w:t>
            </w:r>
          </w:p>
        </w:tc>
        <w:tc>
          <w:tcPr>
            <w:tcW w:w="4940" w:type="dxa"/>
            <w:vAlign w:val="bottom"/>
            <w:shd w:val="clear" w:color="auto" w:fill="CCEEFF"/>
          </w:tcPr>
          <w:p>
            <w:pPr>
              <w:jc w:val="center"/>
              <w:ind w:left="879"/>
              <w:spacing w:after="0"/>
              <w:rPr>
                <w:sz w:val="20"/>
                <w:szCs w:val="20"/>
                <w:color w:val="auto"/>
              </w:rPr>
            </w:pPr>
            <w:r>
              <w:rPr>
                <w:rFonts w:ascii="Arial" w:cs="Arial" w:eastAsia="Arial" w:hAnsi="Arial"/>
                <w:sz w:val="16"/>
                <w:szCs w:val="16"/>
                <w:color w:val="auto"/>
                <w:w w:val="92"/>
              </w:rPr>
              <w:t>$750,000</w:t>
            </w:r>
          </w:p>
        </w:tc>
      </w:tr>
      <w:tr>
        <w:trPr>
          <w:trHeight w:val="203"/>
        </w:trPr>
        <w:tc>
          <w:tcPr>
            <w:tcW w:w="3440" w:type="dxa"/>
            <w:vAlign w:val="bottom"/>
          </w:tcPr>
          <w:p>
            <w:pPr>
              <w:spacing w:after="0"/>
              <w:rPr>
                <w:sz w:val="17"/>
                <w:szCs w:val="17"/>
                <w:color w:val="auto"/>
              </w:rPr>
            </w:pPr>
          </w:p>
        </w:tc>
        <w:tc>
          <w:tcPr>
            <w:tcW w:w="3040" w:type="dxa"/>
            <w:vAlign w:val="bottom"/>
          </w:tcPr>
          <w:p>
            <w:pPr>
              <w:jc w:val="center"/>
              <w:ind w:left="899"/>
              <w:spacing w:after="0"/>
              <w:rPr>
                <w:sz w:val="20"/>
                <w:szCs w:val="20"/>
                <w:color w:val="auto"/>
              </w:rPr>
            </w:pPr>
            <w:r>
              <w:rPr>
                <w:rFonts w:ascii="Arial" w:cs="Arial" w:eastAsia="Arial" w:hAnsi="Arial"/>
                <w:sz w:val="16"/>
                <w:szCs w:val="16"/>
                <w:color w:val="auto"/>
                <w:w w:val="93"/>
              </w:rPr>
              <w:t>$750,000 - $4,500,000</w:t>
            </w:r>
          </w:p>
        </w:tc>
        <w:tc>
          <w:tcPr>
            <w:tcW w:w="4940" w:type="dxa"/>
            <w:vAlign w:val="bottom"/>
          </w:tcPr>
          <w:p>
            <w:pPr>
              <w:jc w:val="center"/>
              <w:ind w:left="919"/>
              <w:spacing w:after="0" w:line="202" w:lineRule="exact"/>
              <w:rPr>
                <w:sz w:val="20"/>
                <w:szCs w:val="20"/>
                <w:color w:val="auto"/>
              </w:rPr>
            </w:pPr>
            <w:r>
              <w:rPr>
                <w:rFonts w:ascii="Arial" w:cs="Arial" w:eastAsia="Arial" w:hAnsi="Arial"/>
                <w:sz w:val="16"/>
                <w:szCs w:val="16"/>
                <w:color w:val="auto"/>
                <w:w w:val="87"/>
              </w:rPr>
              <w:t>None</w:t>
            </w:r>
            <w:r>
              <w:rPr>
                <w:rFonts w:ascii="Arial" w:cs="Arial" w:eastAsia="Arial" w:hAnsi="Arial"/>
                <w:sz w:val="23"/>
                <w:szCs w:val="23"/>
                <w:color w:val="auto"/>
                <w:w w:val="87"/>
                <w:vertAlign w:val="superscript"/>
              </w:rPr>
              <w:t>(3)</w:t>
            </w:r>
          </w:p>
        </w:tc>
      </w:tr>
      <w:tr>
        <w:trPr>
          <w:trHeight w:val="203"/>
        </w:trPr>
        <w:tc>
          <w:tcPr>
            <w:tcW w:w="3440" w:type="dxa"/>
            <w:vAlign w:val="bottom"/>
            <w:shd w:val="clear" w:color="auto" w:fill="CCEEFF"/>
          </w:tcPr>
          <w:p>
            <w:pPr>
              <w:spacing w:after="0"/>
              <w:rPr>
                <w:sz w:val="17"/>
                <w:szCs w:val="17"/>
                <w:color w:val="auto"/>
              </w:rPr>
            </w:pPr>
          </w:p>
        </w:tc>
        <w:tc>
          <w:tcPr>
            <w:tcW w:w="3040" w:type="dxa"/>
            <w:vAlign w:val="bottom"/>
            <w:shd w:val="clear" w:color="auto" w:fill="CCEEFF"/>
          </w:tcPr>
          <w:p>
            <w:pPr>
              <w:jc w:val="center"/>
              <w:ind w:left="919"/>
              <w:spacing w:after="0"/>
              <w:rPr>
                <w:sz w:val="20"/>
                <w:szCs w:val="20"/>
                <w:color w:val="auto"/>
              </w:rPr>
            </w:pPr>
            <w:r>
              <w:rPr>
                <w:rFonts w:ascii="Arial" w:cs="Arial" w:eastAsia="Arial" w:hAnsi="Arial"/>
                <w:sz w:val="16"/>
                <w:szCs w:val="16"/>
                <w:color w:val="auto"/>
                <w:w w:val="93"/>
              </w:rPr>
              <w:t>Over $4,500,000</w:t>
            </w:r>
          </w:p>
        </w:tc>
        <w:tc>
          <w:tcPr>
            <w:tcW w:w="4940" w:type="dxa"/>
            <w:vAlign w:val="bottom"/>
            <w:shd w:val="clear" w:color="auto" w:fill="CCEEFF"/>
          </w:tcPr>
          <w:p>
            <w:pPr>
              <w:jc w:val="center"/>
              <w:ind w:left="879"/>
              <w:spacing w:after="0"/>
              <w:rPr>
                <w:sz w:val="20"/>
                <w:szCs w:val="20"/>
                <w:color w:val="auto"/>
              </w:rPr>
            </w:pPr>
            <w:r>
              <w:rPr>
                <w:rFonts w:ascii="Arial" w:cs="Arial" w:eastAsia="Arial" w:hAnsi="Arial"/>
                <w:sz w:val="16"/>
                <w:szCs w:val="16"/>
                <w:color w:val="auto"/>
                <w:w w:val="92"/>
              </w:rPr>
              <w:t>100%</w:t>
            </w:r>
          </w:p>
        </w:tc>
      </w:tr>
      <w:tr>
        <w:trPr>
          <w:trHeight w:val="203"/>
        </w:trPr>
        <w:tc>
          <w:tcPr>
            <w:tcW w:w="344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4940" w:type="dxa"/>
            <w:vAlign w:val="bottom"/>
          </w:tcPr>
          <w:p>
            <w:pPr>
              <w:spacing w:after="0"/>
              <w:rPr>
                <w:sz w:val="17"/>
                <w:szCs w:val="17"/>
                <w:color w:val="auto"/>
              </w:rPr>
            </w:pPr>
          </w:p>
        </w:tc>
      </w:tr>
      <w:tr>
        <w:trPr>
          <w:trHeight w:val="203"/>
        </w:trPr>
        <w:tc>
          <w:tcPr>
            <w:tcW w:w="3440" w:type="dxa"/>
            <w:vAlign w:val="bottom"/>
            <w:shd w:val="clear" w:color="auto" w:fill="CCEEFF"/>
          </w:tcPr>
          <w:p>
            <w:pPr>
              <w:spacing w:after="0"/>
              <w:rPr>
                <w:sz w:val="20"/>
                <w:szCs w:val="20"/>
                <w:color w:val="auto"/>
              </w:rPr>
            </w:pPr>
            <w:r>
              <w:rPr>
                <w:rFonts w:ascii="Arial" w:cs="Arial" w:eastAsia="Arial" w:hAnsi="Arial"/>
                <w:sz w:val="16"/>
                <w:szCs w:val="16"/>
                <w:color w:val="auto"/>
              </w:rPr>
              <w:t>Catastrophe (4)</w:t>
            </w:r>
          </w:p>
        </w:tc>
        <w:tc>
          <w:tcPr>
            <w:tcW w:w="3040" w:type="dxa"/>
            <w:vAlign w:val="bottom"/>
            <w:shd w:val="clear" w:color="auto" w:fill="CCEEFF"/>
          </w:tcPr>
          <w:p>
            <w:pPr>
              <w:jc w:val="center"/>
              <w:ind w:left="899"/>
              <w:spacing w:after="0"/>
              <w:rPr>
                <w:sz w:val="20"/>
                <w:szCs w:val="20"/>
                <w:color w:val="auto"/>
              </w:rPr>
            </w:pPr>
            <w:r>
              <w:rPr>
                <w:rFonts w:ascii="Arial" w:cs="Arial" w:eastAsia="Arial" w:hAnsi="Arial"/>
                <w:sz w:val="16"/>
                <w:szCs w:val="16"/>
                <w:color w:val="auto"/>
                <w:w w:val="96"/>
              </w:rPr>
              <w:t>Initial $7,500,000</w:t>
            </w:r>
          </w:p>
        </w:tc>
        <w:tc>
          <w:tcPr>
            <w:tcW w:w="4940" w:type="dxa"/>
            <w:vAlign w:val="bottom"/>
            <w:shd w:val="clear" w:color="auto" w:fill="CCEEFF"/>
          </w:tcPr>
          <w:p>
            <w:pPr>
              <w:jc w:val="center"/>
              <w:ind w:left="879"/>
              <w:spacing w:after="0"/>
              <w:rPr>
                <w:sz w:val="20"/>
                <w:szCs w:val="20"/>
                <w:color w:val="auto"/>
              </w:rPr>
            </w:pPr>
            <w:r>
              <w:rPr>
                <w:rFonts w:ascii="Arial" w:cs="Arial" w:eastAsia="Arial" w:hAnsi="Arial"/>
                <w:sz w:val="16"/>
                <w:szCs w:val="16"/>
                <w:color w:val="auto"/>
                <w:w w:val="92"/>
              </w:rPr>
              <w:t>$7,500,000</w:t>
            </w:r>
          </w:p>
        </w:tc>
      </w:tr>
      <w:tr>
        <w:trPr>
          <w:trHeight w:val="203"/>
        </w:trPr>
        <w:tc>
          <w:tcPr>
            <w:tcW w:w="3440" w:type="dxa"/>
            <w:vAlign w:val="bottom"/>
          </w:tcPr>
          <w:p>
            <w:pPr>
              <w:spacing w:after="0"/>
              <w:rPr>
                <w:sz w:val="17"/>
                <w:szCs w:val="17"/>
                <w:color w:val="auto"/>
              </w:rPr>
            </w:pPr>
          </w:p>
        </w:tc>
        <w:tc>
          <w:tcPr>
            <w:tcW w:w="3040" w:type="dxa"/>
            <w:vAlign w:val="bottom"/>
          </w:tcPr>
          <w:p>
            <w:pPr>
              <w:jc w:val="center"/>
              <w:ind w:left="899"/>
              <w:spacing w:after="0"/>
              <w:rPr>
                <w:sz w:val="20"/>
                <w:szCs w:val="20"/>
                <w:color w:val="auto"/>
              </w:rPr>
            </w:pPr>
            <w:r>
              <w:rPr>
                <w:rFonts w:ascii="Arial" w:cs="Arial" w:eastAsia="Arial" w:hAnsi="Arial"/>
                <w:sz w:val="16"/>
                <w:szCs w:val="16"/>
                <w:color w:val="auto"/>
                <w:w w:val="92"/>
              </w:rPr>
              <w:t>$7,500,000 - $610,000,000</w:t>
            </w:r>
          </w:p>
        </w:tc>
        <w:tc>
          <w:tcPr>
            <w:tcW w:w="4940" w:type="dxa"/>
            <w:vAlign w:val="bottom"/>
          </w:tcPr>
          <w:p>
            <w:pPr>
              <w:jc w:val="center"/>
              <w:ind w:left="939"/>
              <w:spacing w:after="0"/>
              <w:rPr>
                <w:sz w:val="20"/>
                <w:szCs w:val="20"/>
                <w:color w:val="auto"/>
              </w:rPr>
            </w:pPr>
            <w:r>
              <w:rPr>
                <w:rFonts w:ascii="Arial" w:cs="Arial" w:eastAsia="Arial" w:hAnsi="Arial"/>
                <w:sz w:val="16"/>
                <w:szCs w:val="16"/>
                <w:color w:val="auto"/>
                <w:w w:val="94"/>
              </w:rPr>
              <w:t>None</w:t>
            </w:r>
          </w:p>
        </w:tc>
      </w:tr>
      <w:tr>
        <w:trPr>
          <w:trHeight w:val="203"/>
        </w:trPr>
        <w:tc>
          <w:tcPr>
            <w:tcW w:w="3440" w:type="dxa"/>
            <w:vAlign w:val="bottom"/>
            <w:shd w:val="clear" w:color="auto" w:fill="CCEEFF"/>
          </w:tcPr>
          <w:p>
            <w:pPr>
              <w:spacing w:after="0"/>
              <w:rPr>
                <w:sz w:val="17"/>
                <w:szCs w:val="17"/>
                <w:color w:val="auto"/>
              </w:rPr>
            </w:pPr>
          </w:p>
        </w:tc>
        <w:tc>
          <w:tcPr>
            <w:tcW w:w="3040" w:type="dxa"/>
            <w:vAlign w:val="bottom"/>
            <w:shd w:val="clear" w:color="auto" w:fill="CCEEFF"/>
          </w:tcPr>
          <w:p>
            <w:pPr>
              <w:jc w:val="center"/>
              <w:ind w:left="919"/>
              <w:spacing w:after="0"/>
              <w:rPr>
                <w:sz w:val="20"/>
                <w:szCs w:val="20"/>
                <w:color w:val="auto"/>
              </w:rPr>
            </w:pPr>
            <w:r>
              <w:rPr>
                <w:rFonts w:ascii="Arial" w:cs="Arial" w:eastAsia="Arial" w:hAnsi="Arial"/>
                <w:sz w:val="16"/>
                <w:szCs w:val="16"/>
                <w:color w:val="auto"/>
                <w:w w:val="93"/>
              </w:rPr>
              <w:t>Over $610,000,000</w:t>
            </w:r>
          </w:p>
        </w:tc>
        <w:tc>
          <w:tcPr>
            <w:tcW w:w="4940" w:type="dxa"/>
            <w:vAlign w:val="bottom"/>
            <w:shd w:val="clear" w:color="auto" w:fill="CCEEFF"/>
          </w:tcPr>
          <w:p>
            <w:pPr>
              <w:jc w:val="center"/>
              <w:ind w:left="879"/>
              <w:spacing w:after="0"/>
              <w:rPr>
                <w:sz w:val="20"/>
                <w:szCs w:val="20"/>
                <w:color w:val="auto"/>
              </w:rPr>
            </w:pPr>
            <w:r>
              <w:rPr>
                <w:rFonts w:ascii="Arial" w:cs="Arial" w:eastAsia="Arial" w:hAnsi="Arial"/>
                <w:sz w:val="16"/>
                <w:szCs w:val="16"/>
                <w:color w:val="auto"/>
                <w:w w:val="92"/>
              </w:rPr>
              <w:t>100%</w:t>
            </w:r>
          </w:p>
        </w:tc>
      </w:tr>
    </w:tbl>
    <w:p>
      <w:pPr>
        <w:spacing w:after="0" w:line="194" w:lineRule="exact"/>
        <w:rPr>
          <w:sz w:val="20"/>
          <w:szCs w:val="20"/>
          <w:color w:val="auto"/>
        </w:rPr>
      </w:pPr>
    </w:p>
    <w:p>
      <w:pPr>
        <w:ind w:left="300" w:hanging="299"/>
        <w:spacing w:after="0"/>
        <w:tabs>
          <w:tab w:leader="none" w:pos="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Personal lines quota share treaty was eliminated effective July 1, 2019. The 2017/2019 Treaty expired on a run-off basis.</w:t>
      </w:r>
    </w:p>
    <w:p>
      <w:pPr>
        <w:spacing w:after="0" w:line="24" w:lineRule="exact"/>
        <w:rPr>
          <w:rFonts w:ascii="Arial" w:cs="Arial" w:eastAsia="Arial" w:hAnsi="Arial"/>
          <w:sz w:val="16"/>
          <w:szCs w:val="16"/>
          <w:color w:val="auto"/>
        </w:rPr>
      </w:pPr>
    </w:p>
    <w:p>
      <w:pPr>
        <w:ind w:left="300" w:hanging="299"/>
        <w:spacing w:after="0"/>
        <w:tabs>
          <w:tab w:leader="none" w:pos="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Covered by excess of loss treaties up to $3,500,000 and by facultative facility from $3,500,000 to $10,000,000.</w:t>
      </w:r>
    </w:p>
    <w:p>
      <w:pPr>
        <w:spacing w:after="0" w:line="18" w:lineRule="exact"/>
        <w:rPr>
          <w:rFonts w:ascii="Arial" w:cs="Arial" w:eastAsia="Arial" w:hAnsi="Arial"/>
          <w:sz w:val="16"/>
          <w:szCs w:val="16"/>
          <w:color w:val="auto"/>
        </w:rPr>
      </w:pPr>
    </w:p>
    <w:p>
      <w:pPr>
        <w:ind w:left="300" w:hanging="299"/>
        <w:spacing w:after="0"/>
        <w:tabs>
          <w:tab w:leader="none" w:pos="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Covered by excess of loss treaties.</w:t>
      </w:r>
    </w:p>
    <w:p>
      <w:pPr>
        <w:spacing w:after="0" w:line="18" w:lineRule="exact"/>
        <w:rPr>
          <w:rFonts w:ascii="Arial" w:cs="Arial" w:eastAsia="Arial" w:hAnsi="Arial"/>
          <w:sz w:val="16"/>
          <w:szCs w:val="16"/>
          <w:color w:val="auto"/>
        </w:rPr>
      </w:pPr>
    </w:p>
    <w:p>
      <w:pPr>
        <w:ind w:left="300" w:hanging="299"/>
        <w:spacing w:after="0"/>
        <w:tabs>
          <w:tab w:leader="none" w:pos="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Catastrophe coverage is limited on an annual basis to two times the per occurrence amounts.</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The single maximum risks per occurrence to which the Company is subject under the treaties effective July 1, 2018 and 2017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200" w:type="dxa"/>
            <w:vAlign w:val="bottom"/>
          </w:tcPr>
          <w:p>
            <w:pPr>
              <w:spacing w:after="0"/>
              <w:rPr>
                <w:sz w:val="17"/>
                <w:szCs w:val="17"/>
                <w:color w:val="auto"/>
              </w:rPr>
            </w:pPr>
          </w:p>
        </w:tc>
        <w:tc>
          <w:tcPr>
            <w:tcW w:w="3900" w:type="dxa"/>
            <w:vAlign w:val="bottom"/>
            <w:tcBorders>
              <w:bottom w:val="single" w:sz="8" w:color="auto"/>
            </w:tcBorders>
            <w:gridSpan w:val="2"/>
          </w:tcPr>
          <w:p>
            <w:pPr>
              <w:ind w:left="1240"/>
              <w:spacing w:after="0"/>
              <w:rPr>
                <w:sz w:val="20"/>
                <w:szCs w:val="20"/>
                <w:color w:val="auto"/>
              </w:rPr>
            </w:pPr>
            <w:r>
              <w:rPr>
                <w:rFonts w:ascii="Arial" w:cs="Arial" w:eastAsia="Arial" w:hAnsi="Arial"/>
                <w:sz w:val="14"/>
                <w:szCs w:val="14"/>
                <w:b w:val="1"/>
                <w:bCs w:val="1"/>
                <w:color w:val="auto"/>
              </w:rPr>
              <w:t>July 1, 2018 - June 30, 2019</w:t>
            </w:r>
          </w:p>
        </w:tc>
        <w:tc>
          <w:tcPr>
            <w:tcW w:w="4320" w:type="dxa"/>
            <w:vAlign w:val="bottom"/>
            <w:tcBorders>
              <w:bottom w:val="single" w:sz="8" w:color="auto"/>
            </w:tcBorders>
            <w:gridSpan w:val="2"/>
          </w:tcPr>
          <w:p>
            <w:pPr>
              <w:ind w:left="1460"/>
              <w:spacing w:after="0"/>
              <w:rPr>
                <w:sz w:val="20"/>
                <w:szCs w:val="20"/>
                <w:color w:val="auto"/>
              </w:rPr>
            </w:pPr>
            <w:r>
              <w:rPr>
                <w:rFonts w:ascii="Arial" w:cs="Arial" w:eastAsia="Arial" w:hAnsi="Arial"/>
                <w:sz w:val="14"/>
                <w:szCs w:val="14"/>
                <w:b w:val="1"/>
                <w:bCs w:val="1"/>
                <w:color w:val="auto"/>
              </w:rPr>
              <w:t>July 1, 2017 - June 30, 2018</w:t>
            </w:r>
          </w:p>
        </w:tc>
      </w:tr>
      <w:tr>
        <w:trPr>
          <w:trHeight w:val="208"/>
        </w:trPr>
        <w:tc>
          <w:tcPr>
            <w:tcW w:w="3200" w:type="dxa"/>
            <w:vAlign w:val="bottom"/>
            <w:tcBorders>
              <w:bottom w:val="single" w:sz="8" w:color="auto"/>
            </w:tcBorders>
          </w:tcPr>
          <w:p>
            <w:pPr>
              <w:ind w:left="1380"/>
              <w:spacing w:after="0"/>
              <w:rPr>
                <w:sz w:val="20"/>
                <w:szCs w:val="20"/>
                <w:color w:val="auto"/>
              </w:rPr>
            </w:pPr>
            <w:r>
              <w:rPr>
                <w:rFonts w:ascii="Arial" w:cs="Arial" w:eastAsia="Arial" w:hAnsi="Arial"/>
                <w:sz w:val="16"/>
                <w:szCs w:val="16"/>
                <w:b w:val="1"/>
                <w:bCs w:val="1"/>
                <w:color w:val="auto"/>
              </w:rPr>
              <w:t>Treaty</w:t>
            </w:r>
          </w:p>
        </w:tc>
        <w:tc>
          <w:tcPr>
            <w:tcW w:w="232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87"/>
              </w:rPr>
              <w:t>Range of Loss</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Risk Retained</w:t>
            </w: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Range of Loss</w:t>
            </w:r>
          </w:p>
        </w:tc>
        <w:tc>
          <w:tcPr>
            <w:tcW w:w="180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0"/>
              </w:rPr>
              <w:t>Risk Retained</w:t>
            </w:r>
          </w:p>
        </w:tc>
      </w:tr>
      <w:tr>
        <w:trPr>
          <w:trHeight w:val="203"/>
        </w:trPr>
        <w:tc>
          <w:tcPr>
            <w:tcW w:w="3200" w:type="dxa"/>
            <w:vAlign w:val="bottom"/>
            <w:shd w:val="clear" w:color="auto" w:fill="CCEEFF"/>
          </w:tcPr>
          <w:p>
            <w:pPr>
              <w:spacing w:after="0"/>
              <w:rPr>
                <w:sz w:val="20"/>
                <w:szCs w:val="20"/>
                <w:color w:val="auto"/>
              </w:rPr>
            </w:pPr>
            <w:r>
              <w:rPr>
                <w:rFonts w:ascii="Arial" w:cs="Arial" w:eastAsia="Arial" w:hAnsi="Arial"/>
                <w:sz w:val="16"/>
                <w:szCs w:val="16"/>
                <w:color w:val="auto"/>
              </w:rPr>
              <w:t>Personal Lines (1)</w:t>
            </w:r>
          </w:p>
        </w:tc>
        <w:tc>
          <w:tcPr>
            <w:tcW w:w="2320" w:type="dxa"/>
            <w:vAlign w:val="bottom"/>
            <w:shd w:val="clear" w:color="auto" w:fill="CCEEFF"/>
          </w:tcPr>
          <w:p>
            <w:pPr>
              <w:jc w:val="center"/>
              <w:ind w:right="119"/>
              <w:spacing w:after="0"/>
              <w:rPr>
                <w:sz w:val="20"/>
                <w:szCs w:val="20"/>
                <w:color w:val="auto"/>
              </w:rPr>
            </w:pPr>
            <w:r>
              <w:rPr>
                <w:rFonts w:ascii="Arial" w:cs="Arial" w:eastAsia="Arial" w:hAnsi="Arial"/>
                <w:sz w:val="16"/>
                <w:szCs w:val="16"/>
                <w:color w:val="auto"/>
                <w:w w:val="95"/>
              </w:rPr>
              <w:t>Initial $1,000,000</w:t>
            </w:r>
          </w:p>
        </w:tc>
        <w:tc>
          <w:tcPr>
            <w:tcW w:w="1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$900,000</w:t>
            </w:r>
          </w:p>
        </w:tc>
        <w:tc>
          <w:tcPr>
            <w:tcW w:w="2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Initial $1,000,000</w:t>
            </w:r>
          </w:p>
        </w:tc>
        <w:tc>
          <w:tcPr>
            <w:tcW w:w="1800" w:type="dxa"/>
            <w:vAlign w:val="bottom"/>
            <w:shd w:val="clear" w:color="auto" w:fill="CCEEFF"/>
          </w:tcPr>
          <w:p>
            <w:pPr>
              <w:jc w:val="center"/>
              <w:ind w:right="158"/>
              <w:spacing w:after="0"/>
              <w:rPr>
                <w:sz w:val="20"/>
                <w:szCs w:val="20"/>
                <w:color w:val="auto"/>
              </w:rPr>
            </w:pPr>
            <w:r>
              <w:rPr>
                <w:rFonts w:ascii="Arial" w:cs="Arial" w:eastAsia="Arial" w:hAnsi="Arial"/>
                <w:sz w:val="16"/>
                <w:szCs w:val="16"/>
                <w:color w:val="auto"/>
                <w:w w:val="89"/>
              </w:rPr>
              <w:t>$800,000</w:t>
            </w:r>
          </w:p>
        </w:tc>
      </w:tr>
      <w:tr>
        <w:trPr>
          <w:trHeight w:val="203"/>
        </w:trPr>
        <w:tc>
          <w:tcPr>
            <w:tcW w:w="3200" w:type="dxa"/>
            <w:vAlign w:val="bottom"/>
          </w:tcPr>
          <w:p>
            <w:pPr>
              <w:spacing w:after="0"/>
              <w:rPr>
                <w:sz w:val="17"/>
                <w:szCs w:val="17"/>
                <w:color w:val="auto"/>
              </w:rPr>
            </w:pPr>
          </w:p>
        </w:tc>
        <w:tc>
          <w:tcPr>
            <w:tcW w:w="2320" w:type="dxa"/>
            <w:vAlign w:val="bottom"/>
          </w:tcPr>
          <w:p>
            <w:pPr>
              <w:jc w:val="center"/>
              <w:ind w:right="139"/>
              <w:spacing w:after="0"/>
              <w:rPr>
                <w:sz w:val="20"/>
                <w:szCs w:val="20"/>
                <w:color w:val="auto"/>
              </w:rPr>
            </w:pPr>
            <w:r>
              <w:rPr>
                <w:rFonts w:ascii="Arial" w:cs="Arial" w:eastAsia="Arial" w:hAnsi="Arial"/>
                <w:sz w:val="16"/>
                <w:szCs w:val="16"/>
                <w:color w:val="auto"/>
                <w:w w:val="92"/>
              </w:rPr>
              <w:t>$1,000,000 - $10,000,000</w:t>
            </w:r>
          </w:p>
        </w:tc>
        <w:tc>
          <w:tcPr>
            <w:tcW w:w="1580" w:type="dxa"/>
            <w:vAlign w:val="bottom"/>
          </w:tcPr>
          <w:p>
            <w:pPr>
              <w:jc w:val="center"/>
              <w:spacing w:after="0"/>
              <w:rPr>
                <w:sz w:val="20"/>
                <w:szCs w:val="20"/>
                <w:color w:val="auto"/>
              </w:rPr>
            </w:pPr>
            <w:r>
              <w:rPr>
                <w:rFonts w:ascii="Arial" w:cs="Arial" w:eastAsia="Arial" w:hAnsi="Arial"/>
                <w:sz w:val="16"/>
                <w:szCs w:val="16"/>
                <w:color w:val="auto"/>
                <w:w w:val="96"/>
              </w:rPr>
              <w:t>None(2)</w:t>
            </w:r>
          </w:p>
        </w:tc>
        <w:tc>
          <w:tcPr>
            <w:tcW w:w="2520" w:type="dxa"/>
            <w:vAlign w:val="bottom"/>
          </w:tcPr>
          <w:p>
            <w:pPr>
              <w:jc w:val="center"/>
              <w:spacing w:after="0"/>
              <w:rPr>
                <w:sz w:val="20"/>
                <w:szCs w:val="20"/>
                <w:color w:val="auto"/>
              </w:rPr>
            </w:pPr>
            <w:r>
              <w:rPr>
                <w:rFonts w:ascii="Arial" w:cs="Arial" w:eastAsia="Arial" w:hAnsi="Arial"/>
                <w:sz w:val="16"/>
                <w:szCs w:val="16"/>
                <w:color w:val="auto"/>
                <w:w w:val="92"/>
              </w:rPr>
              <w:t>$1,000,000 - $10,000,000</w:t>
            </w:r>
          </w:p>
        </w:tc>
        <w:tc>
          <w:tcPr>
            <w:tcW w:w="1800" w:type="dxa"/>
            <w:vAlign w:val="bottom"/>
          </w:tcPr>
          <w:p>
            <w:pPr>
              <w:jc w:val="center"/>
              <w:ind w:right="118"/>
              <w:spacing w:after="0"/>
              <w:rPr>
                <w:sz w:val="20"/>
                <w:szCs w:val="20"/>
                <w:color w:val="auto"/>
              </w:rPr>
            </w:pPr>
            <w:r>
              <w:rPr>
                <w:rFonts w:ascii="Arial" w:cs="Arial" w:eastAsia="Arial" w:hAnsi="Arial"/>
                <w:sz w:val="16"/>
                <w:szCs w:val="16"/>
                <w:color w:val="auto"/>
                <w:w w:val="96"/>
              </w:rPr>
              <w:t>None(2)</w:t>
            </w:r>
          </w:p>
        </w:tc>
      </w:tr>
      <w:tr>
        <w:trPr>
          <w:trHeight w:val="203"/>
        </w:trPr>
        <w:tc>
          <w:tcPr>
            <w:tcW w:w="3200" w:type="dxa"/>
            <w:vAlign w:val="bottom"/>
            <w:shd w:val="clear" w:color="auto" w:fill="CCEEFF"/>
          </w:tcPr>
          <w:p>
            <w:pPr>
              <w:spacing w:after="0"/>
              <w:rPr>
                <w:sz w:val="17"/>
                <w:szCs w:val="17"/>
                <w:color w:val="auto"/>
              </w:rPr>
            </w:pPr>
          </w:p>
        </w:tc>
        <w:tc>
          <w:tcPr>
            <w:tcW w:w="2320" w:type="dxa"/>
            <w:vAlign w:val="bottom"/>
            <w:shd w:val="clear" w:color="auto" w:fill="CCEEFF"/>
          </w:tcPr>
          <w:p>
            <w:pPr>
              <w:jc w:val="center"/>
              <w:ind w:right="119"/>
              <w:spacing w:after="0"/>
              <w:rPr>
                <w:sz w:val="20"/>
                <w:szCs w:val="20"/>
                <w:color w:val="auto"/>
              </w:rPr>
            </w:pPr>
            <w:r>
              <w:rPr>
                <w:rFonts w:ascii="Arial" w:cs="Arial" w:eastAsia="Arial" w:hAnsi="Arial"/>
                <w:sz w:val="16"/>
                <w:szCs w:val="16"/>
                <w:color w:val="auto"/>
                <w:w w:val="93"/>
              </w:rPr>
              <w:t>Over $10,000,000</w:t>
            </w:r>
          </w:p>
        </w:tc>
        <w:tc>
          <w:tcPr>
            <w:tcW w:w="1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2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Over $10,000,000</w:t>
            </w:r>
          </w:p>
        </w:tc>
        <w:tc>
          <w:tcPr>
            <w:tcW w:w="1800" w:type="dxa"/>
            <w:vAlign w:val="bottom"/>
            <w:shd w:val="clear" w:color="auto" w:fill="CCEEFF"/>
          </w:tcPr>
          <w:p>
            <w:pPr>
              <w:jc w:val="center"/>
              <w:ind w:right="158"/>
              <w:spacing w:after="0"/>
              <w:rPr>
                <w:sz w:val="20"/>
                <w:szCs w:val="20"/>
                <w:color w:val="auto"/>
              </w:rPr>
            </w:pPr>
            <w:r>
              <w:rPr>
                <w:rFonts w:ascii="Arial" w:cs="Arial" w:eastAsia="Arial" w:hAnsi="Arial"/>
                <w:sz w:val="16"/>
                <w:szCs w:val="16"/>
                <w:color w:val="auto"/>
                <w:w w:val="97"/>
              </w:rPr>
              <w:t>100%</w:t>
            </w:r>
          </w:p>
        </w:tc>
      </w:tr>
      <w:tr>
        <w:trPr>
          <w:trHeight w:val="203"/>
        </w:trPr>
        <w:tc>
          <w:tcPr>
            <w:tcW w:w="3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3200" w:type="dxa"/>
            <w:vAlign w:val="bottom"/>
            <w:shd w:val="clear" w:color="auto" w:fill="CCEEFF"/>
          </w:tcPr>
          <w:p>
            <w:pPr>
              <w:spacing w:after="0"/>
              <w:rPr>
                <w:sz w:val="20"/>
                <w:szCs w:val="20"/>
                <w:color w:val="auto"/>
              </w:rPr>
            </w:pPr>
            <w:r>
              <w:rPr>
                <w:rFonts w:ascii="Arial" w:cs="Arial" w:eastAsia="Arial" w:hAnsi="Arial"/>
                <w:sz w:val="16"/>
                <w:szCs w:val="16"/>
                <w:color w:val="auto"/>
              </w:rPr>
              <w:t>Personal Umbrella</w:t>
            </w:r>
          </w:p>
        </w:tc>
        <w:tc>
          <w:tcPr>
            <w:tcW w:w="2320" w:type="dxa"/>
            <w:vAlign w:val="bottom"/>
            <w:shd w:val="clear" w:color="auto" w:fill="CCEEFF"/>
          </w:tcPr>
          <w:p>
            <w:pPr>
              <w:jc w:val="center"/>
              <w:ind w:right="119"/>
              <w:spacing w:after="0"/>
              <w:rPr>
                <w:sz w:val="20"/>
                <w:szCs w:val="20"/>
                <w:color w:val="auto"/>
              </w:rPr>
            </w:pPr>
            <w:r>
              <w:rPr>
                <w:rFonts w:ascii="Arial" w:cs="Arial" w:eastAsia="Arial" w:hAnsi="Arial"/>
                <w:sz w:val="16"/>
                <w:szCs w:val="16"/>
                <w:color w:val="auto"/>
                <w:w w:val="95"/>
              </w:rPr>
              <w:t>Initial $1,000,000</w:t>
            </w:r>
          </w:p>
        </w:tc>
        <w:tc>
          <w:tcPr>
            <w:tcW w:w="1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$100,000</w:t>
            </w:r>
          </w:p>
        </w:tc>
        <w:tc>
          <w:tcPr>
            <w:tcW w:w="2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Initial $1,000,000</w:t>
            </w:r>
          </w:p>
        </w:tc>
        <w:tc>
          <w:tcPr>
            <w:tcW w:w="1800" w:type="dxa"/>
            <w:vAlign w:val="bottom"/>
            <w:shd w:val="clear" w:color="auto" w:fill="CCEEFF"/>
          </w:tcPr>
          <w:p>
            <w:pPr>
              <w:jc w:val="center"/>
              <w:ind w:right="158"/>
              <w:spacing w:after="0"/>
              <w:rPr>
                <w:sz w:val="20"/>
                <w:szCs w:val="20"/>
                <w:color w:val="auto"/>
              </w:rPr>
            </w:pPr>
            <w:r>
              <w:rPr>
                <w:rFonts w:ascii="Arial" w:cs="Arial" w:eastAsia="Arial" w:hAnsi="Arial"/>
                <w:sz w:val="16"/>
                <w:szCs w:val="16"/>
                <w:color w:val="auto"/>
                <w:w w:val="89"/>
              </w:rPr>
              <w:t>$100,000</w:t>
            </w:r>
          </w:p>
        </w:tc>
      </w:tr>
      <w:tr>
        <w:trPr>
          <w:trHeight w:val="203"/>
        </w:trPr>
        <w:tc>
          <w:tcPr>
            <w:tcW w:w="3200" w:type="dxa"/>
            <w:vAlign w:val="bottom"/>
          </w:tcPr>
          <w:p>
            <w:pPr>
              <w:spacing w:after="0"/>
              <w:rPr>
                <w:sz w:val="17"/>
                <w:szCs w:val="17"/>
                <w:color w:val="auto"/>
              </w:rPr>
            </w:pPr>
          </w:p>
        </w:tc>
        <w:tc>
          <w:tcPr>
            <w:tcW w:w="2320" w:type="dxa"/>
            <w:vAlign w:val="bottom"/>
          </w:tcPr>
          <w:p>
            <w:pPr>
              <w:jc w:val="center"/>
              <w:ind w:right="139"/>
              <w:spacing w:after="0"/>
              <w:rPr>
                <w:sz w:val="20"/>
                <w:szCs w:val="20"/>
                <w:color w:val="auto"/>
              </w:rPr>
            </w:pPr>
            <w:r>
              <w:rPr>
                <w:rFonts w:ascii="Arial" w:cs="Arial" w:eastAsia="Arial" w:hAnsi="Arial"/>
                <w:sz w:val="16"/>
                <w:szCs w:val="16"/>
                <w:color w:val="auto"/>
                <w:w w:val="92"/>
              </w:rPr>
              <w:t>$1,000,000 - $5,000,000</w:t>
            </w:r>
          </w:p>
        </w:tc>
        <w:tc>
          <w:tcPr>
            <w:tcW w:w="1580" w:type="dxa"/>
            <w:vAlign w:val="bottom"/>
          </w:tcPr>
          <w:p>
            <w:pPr>
              <w:jc w:val="center"/>
              <w:spacing w:after="0"/>
              <w:rPr>
                <w:sz w:val="20"/>
                <w:szCs w:val="20"/>
                <w:color w:val="auto"/>
              </w:rPr>
            </w:pPr>
            <w:r>
              <w:rPr>
                <w:rFonts w:ascii="Arial" w:cs="Arial" w:eastAsia="Arial" w:hAnsi="Arial"/>
                <w:sz w:val="16"/>
                <w:szCs w:val="16"/>
                <w:color w:val="auto"/>
                <w:w w:val="94"/>
              </w:rPr>
              <w:t>None</w:t>
            </w:r>
          </w:p>
        </w:tc>
        <w:tc>
          <w:tcPr>
            <w:tcW w:w="2520" w:type="dxa"/>
            <w:vAlign w:val="bottom"/>
          </w:tcPr>
          <w:p>
            <w:pPr>
              <w:jc w:val="center"/>
              <w:spacing w:after="0"/>
              <w:rPr>
                <w:sz w:val="20"/>
                <w:szCs w:val="20"/>
                <w:color w:val="auto"/>
              </w:rPr>
            </w:pPr>
            <w:r>
              <w:rPr>
                <w:rFonts w:ascii="Arial" w:cs="Arial" w:eastAsia="Arial" w:hAnsi="Arial"/>
                <w:sz w:val="16"/>
                <w:szCs w:val="16"/>
                <w:color w:val="auto"/>
                <w:w w:val="92"/>
              </w:rPr>
              <w:t>$1,000,000 - $5,000,000</w:t>
            </w:r>
          </w:p>
        </w:tc>
        <w:tc>
          <w:tcPr>
            <w:tcW w:w="1800" w:type="dxa"/>
            <w:vAlign w:val="bottom"/>
          </w:tcPr>
          <w:p>
            <w:pPr>
              <w:jc w:val="center"/>
              <w:ind w:right="118"/>
              <w:spacing w:after="0"/>
              <w:rPr>
                <w:sz w:val="20"/>
                <w:szCs w:val="20"/>
                <w:color w:val="auto"/>
              </w:rPr>
            </w:pPr>
            <w:r>
              <w:rPr>
                <w:rFonts w:ascii="Arial" w:cs="Arial" w:eastAsia="Arial" w:hAnsi="Arial"/>
                <w:sz w:val="16"/>
                <w:szCs w:val="16"/>
                <w:color w:val="auto"/>
                <w:w w:val="94"/>
              </w:rPr>
              <w:t>None</w:t>
            </w:r>
          </w:p>
        </w:tc>
      </w:tr>
      <w:tr>
        <w:trPr>
          <w:trHeight w:val="203"/>
        </w:trPr>
        <w:tc>
          <w:tcPr>
            <w:tcW w:w="3200" w:type="dxa"/>
            <w:vAlign w:val="bottom"/>
            <w:shd w:val="clear" w:color="auto" w:fill="CCEEFF"/>
          </w:tcPr>
          <w:p>
            <w:pPr>
              <w:spacing w:after="0"/>
              <w:rPr>
                <w:sz w:val="17"/>
                <w:szCs w:val="17"/>
                <w:color w:val="auto"/>
              </w:rPr>
            </w:pPr>
          </w:p>
        </w:tc>
        <w:tc>
          <w:tcPr>
            <w:tcW w:w="2320" w:type="dxa"/>
            <w:vAlign w:val="bottom"/>
            <w:shd w:val="clear" w:color="auto" w:fill="CCEEFF"/>
          </w:tcPr>
          <w:p>
            <w:pPr>
              <w:jc w:val="center"/>
              <w:ind w:right="119"/>
              <w:spacing w:after="0"/>
              <w:rPr>
                <w:sz w:val="20"/>
                <w:szCs w:val="20"/>
                <w:color w:val="auto"/>
              </w:rPr>
            </w:pPr>
            <w:r>
              <w:rPr>
                <w:rFonts w:ascii="Arial" w:cs="Arial" w:eastAsia="Arial" w:hAnsi="Arial"/>
                <w:sz w:val="16"/>
                <w:szCs w:val="16"/>
                <w:color w:val="auto"/>
                <w:w w:val="93"/>
              </w:rPr>
              <w:t>Over $5,000,000</w:t>
            </w:r>
          </w:p>
        </w:tc>
        <w:tc>
          <w:tcPr>
            <w:tcW w:w="1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2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Over $5,000,000</w:t>
            </w:r>
          </w:p>
        </w:tc>
        <w:tc>
          <w:tcPr>
            <w:tcW w:w="1800" w:type="dxa"/>
            <w:vAlign w:val="bottom"/>
            <w:shd w:val="clear" w:color="auto" w:fill="CCEEFF"/>
          </w:tcPr>
          <w:p>
            <w:pPr>
              <w:jc w:val="center"/>
              <w:ind w:right="158"/>
              <w:spacing w:after="0"/>
              <w:rPr>
                <w:sz w:val="20"/>
                <w:szCs w:val="20"/>
                <w:color w:val="auto"/>
              </w:rPr>
            </w:pPr>
            <w:r>
              <w:rPr>
                <w:rFonts w:ascii="Arial" w:cs="Arial" w:eastAsia="Arial" w:hAnsi="Arial"/>
                <w:sz w:val="16"/>
                <w:szCs w:val="16"/>
                <w:color w:val="auto"/>
                <w:w w:val="97"/>
              </w:rPr>
              <w:t>100%</w:t>
            </w:r>
          </w:p>
        </w:tc>
      </w:tr>
      <w:tr>
        <w:trPr>
          <w:trHeight w:val="203"/>
        </w:trPr>
        <w:tc>
          <w:tcPr>
            <w:tcW w:w="3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3200" w:type="dxa"/>
            <w:vAlign w:val="bottom"/>
            <w:shd w:val="clear" w:color="auto" w:fill="CCEEFF"/>
          </w:tcPr>
          <w:p>
            <w:pPr>
              <w:spacing w:after="0"/>
              <w:rPr>
                <w:sz w:val="20"/>
                <w:szCs w:val="20"/>
                <w:color w:val="auto"/>
              </w:rPr>
            </w:pPr>
            <w:r>
              <w:rPr>
                <w:rFonts w:ascii="Arial" w:cs="Arial" w:eastAsia="Arial" w:hAnsi="Arial"/>
                <w:sz w:val="16"/>
                <w:szCs w:val="16"/>
                <w:color w:val="auto"/>
              </w:rPr>
              <w:t>Commercial Lines</w:t>
            </w:r>
          </w:p>
        </w:tc>
        <w:tc>
          <w:tcPr>
            <w:tcW w:w="2320" w:type="dxa"/>
            <w:vAlign w:val="bottom"/>
            <w:shd w:val="clear" w:color="auto" w:fill="CCEEFF"/>
          </w:tcPr>
          <w:p>
            <w:pPr>
              <w:jc w:val="center"/>
              <w:ind w:right="119"/>
              <w:spacing w:after="0"/>
              <w:rPr>
                <w:sz w:val="20"/>
                <w:szCs w:val="20"/>
                <w:color w:val="auto"/>
              </w:rPr>
            </w:pPr>
            <w:r>
              <w:rPr>
                <w:rFonts w:ascii="Arial" w:cs="Arial" w:eastAsia="Arial" w:hAnsi="Arial"/>
                <w:sz w:val="16"/>
                <w:szCs w:val="16"/>
                <w:color w:val="auto"/>
                <w:w w:val="95"/>
              </w:rPr>
              <w:t>Initial $750,000</w:t>
            </w:r>
          </w:p>
        </w:tc>
        <w:tc>
          <w:tcPr>
            <w:tcW w:w="1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$750,000</w:t>
            </w:r>
          </w:p>
        </w:tc>
        <w:tc>
          <w:tcPr>
            <w:tcW w:w="2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Initial $750,000</w:t>
            </w:r>
          </w:p>
        </w:tc>
        <w:tc>
          <w:tcPr>
            <w:tcW w:w="1800" w:type="dxa"/>
            <w:vAlign w:val="bottom"/>
            <w:shd w:val="clear" w:color="auto" w:fill="CCEEFF"/>
          </w:tcPr>
          <w:p>
            <w:pPr>
              <w:jc w:val="center"/>
              <w:ind w:right="158"/>
              <w:spacing w:after="0"/>
              <w:rPr>
                <w:sz w:val="20"/>
                <w:szCs w:val="20"/>
                <w:color w:val="auto"/>
              </w:rPr>
            </w:pPr>
            <w:r>
              <w:rPr>
                <w:rFonts w:ascii="Arial" w:cs="Arial" w:eastAsia="Arial" w:hAnsi="Arial"/>
                <w:sz w:val="16"/>
                <w:szCs w:val="16"/>
                <w:color w:val="auto"/>
                <w:w w:val="89"/>
              </w:rPr>
              <w:t>$750,000</w:t>
            </w:r>
          </w:p>
        </w:tc>
      </w:tr>
      <w:tr>
        <w:trPr>
          <w:trHeight w:val="203"/>
        </w:trPr>
        <w:tc>
          <w:tcPr>
            <w:tcW w:w="3200" w:type="dxa"/>
            <w:vAlign w:val="bottom"/>
          </w:tcPr>
          <w:p>
            <w:pPr>
              <w:spacing w:after="0"/>
              <w:rPr>
                <w:sz w:val="17"/>
                <w:szCs w:val="17"/>
                <w:color w:val="auto"/>
              </w:rPr>
            </w:pPr>
          </w:p>
        </w:tc>
        <w:tc>
          <w:tcPr>
            <w:tcW w:w="2320" w:type="dxa"/>
            <w:vAlign w:val="bottom"/>
          </w:tcPr>
          <w:p>
            <w:pPr>
              <w:jc w:val="center"/>
              <w:ind w:right="119"/>
              <w:spacing w:after="0"/>
              <w:rPr>
                <w:sz w:val="20"/>
                <w:szCs w:val="20"/>
                <w:color w:val="auto"/>
              </w:rPr>
            </w:pPr>
            <w:r>
              <w:rPr>
                <w:rFonts w:ascii="Arial" w:cs="Arial" w:eastAsia="Arial" w:hAnsi="Arial"/>
                <w:sz w:val="16"/>
                <w:szCs w:val="16"/>
                <w:color w:val="auto"/>
                <w:w w:val="91"/>
              </w:rPr>
              <w:t>$750,000 - $4,500,000</w:t>
            </w:r>
          </w:p>
        </w:tc>
        <w:tc>
          <w:tcPr>
            <w:tcW w:w="1580" w:type="dxa"/>
            <w:vAlign w:val="bottom"/>
          </w:tcPr>
          <w:p>
            <w:pPr>
              <w:jc w:val="center"/>
              <w:spacing w:after="0"/>
              <w:rPr>
                <w:sz w:val="20"/>
                <w:szCs w:val="20"/>
                <w:color w:val="auto"/>
              </w:rPr>
            </w:pPr>
            <w:r>
              <w:rPr>
                <w:rFonts w:ascii="Arial" w:cs="Arial" w:eastAsia="Arial" w:hAnsi="Arial"/>
                <w:sz w:val="16"/>
                <w:szCs w:val="16"/>
                <w:color w:val="auto"/>
                <w:w w:val="96"/>
              </w:rPr>
              <w:t>None(3)</w:t>
            </w:r>
          </w:p>
        </w:tc>
        <w:tc>
          <w:tcPr>
            <w:tcW w:w="2520" w:type="dxa"/>
            <w:vAlign w:val="bottom"/>
          </w:tcPr>
          <w:p>
            <w:pPr>
              <w:jc w:val="center"/>
              <w:spacing w:after="0"/>
              <w:rPr>
                <w:sz w:val="20"/>
                <w:szCs w:val="20"/>
                <w:color w:val="auto"/>
              </w:rPr>
            </w:pPr>
            <w:r>
              <w:rPr>
                <w:rFonts w:ascii="Arial" w:cs="Arial" w:eastAsia="Arial" w:hAnsi="Arial"/>
                <w:sz w:val="16"/>
                <w:szCs w:val="16"/>
                <w:color w:val="auto"/>
                <w:w w:val="93"/>
              </w:rPr>
              <w:t>$750,000 - $4,500,000</w:t>
            </w:r>
          </w:p>
        </w:tc>
        <w:tc>
          <w:tcPr>
            <w:tcW w:w="1800" w:type="dxa"/>
            <w:vAlign w:val="bottom"/>
          </w:tcPr>
          <w:p>
            <w:pPr>
              <w:jc w:val="center"/>
              <w:ind w:right="118"/>
              <w:spacing w:after="0"/>
              <w:rPr>
                <w:sz w:val="20"/>
                <w:szCs w:val="20"/>
                <w:color w:val="auto"/>
              </w:rPr>
            </w:pPr>
            <w:r>
              <w:rPr>
                <w:rFonts w:ascii="Arial" w:cs="Arial" w:eastAsia="Arial" w:hAnsi="Arial"/>
                <w:sz w:val="16"/>
                <w:szCs w:val="16"/>
                <w:color w:val="auto"/>
                <w:w w:val="96"/>
              </w:rPr>
              <w:t>None(3)</w:t>
            </w:r>
          </w:p>
        </w:tc>
      </w:tr>
      <w:tr>
        <w:trPr>
          <w:trHeight w:val="203"/>
        </w:trPr>
        <w:tc>
          <w:tcPr>
            <w:tcW w:w="3200" w:type="dxa"/>
            <w:vAlign w:val="bottom"/>
            <w:shd w:val="clear" w:color="auto" w:fill="CCEEFF"/>
          </w:tcPr>
          <w:p>
            <w:pPr>
              <w:spacing w:after="0"/>
              <w:rPr>
                <w:sz w:val="17"/>
                <w:szCs w:val="17"/>
                <w:color w:val="auto"/>
              </w:rPr>
            </w:pPr>
          </w:p>
        </w:tc>
        <w:tc>
          <w:tcPr>
            <w:tcW w:w="2320" w:type="dxa"/>
            <w:vAlign w:val="bottom"/>
            <w:shd w:val="clear" w:color="auto" w:fill="CCEEFF"/>
          </w:tcPr>
          <w:p>
            <w:pPr>
              <w:jc w:val="center"/>
              <w:ind w:right="119"/>
              <w:spacing w:after="0"/>
              <w:rPr>
                <w:sz w:val="20"/>
                <w:szCs w:val="20"/>
                <w:color w:val="auto"/>
              </w:rPr>
            </w:pPr>
            <w:r>
              <w:rPr>
                <w:rFonts w:ascii="Arial" w:cs="Arial" w:eastAsia="Arial" w:hAnsi="Arial"/>
                <w:sz w:val="16"/>
                <w:szCs w:val="16"/>
                <w:color w:val="auto"/>
                <w:w w:val="93"/>
              </w:rPr>
              <w:t>Over $4,500,000</w:t>
            </w:r>
          </w:p>
        </w:tc>
        <w:tc>
          <w:tcPr>
            <w:tcW w:w="1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2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Over $4,500,000</w:t>
            </w:r>
          </w:p>
        </w:tc>
        <w:tc>
          <w:tcPr>
            <w:tcW w:w="1800" w:type="dxa"/>
            <w:vAlign w:val="bottom"/>
            <w:shd w:val="clear" w:color="auto" w:fill="CCEEFF"/>
          </w:tcPr>
          <w:p>
            <w:pPr>
              <w:jc w:val="center"/>
              <w:ind w:right="158"/>
              <w:spacing w:after="0"/>
              <w:rPr>
                <w:sz w:val="20"/>
                <w:szCs w:val="20"/>
                <w:color w:val="auto"/>
              </w:rPr>
            </w:pPr>
            <w:r>
              <w:rPr>
                <w:rFonts w:ascii="Arial" w:cs="Arial" w:eastAsia="Arial" w:hAnsi="Arial"/>
                <w:sz w:val="16"/>
                <w:szCs w:val="16"/>
                <w:color w:val="auto"/>
                <w:w w:val="97"/>
              </w:rPr>
              <w:t>100%</w:t>
            </w:r>
          </w:p>
        </w:tc>
      </w:tr>
      <w:tr>
        <w:trPr>
          <w:trHeight w:val="203"/>
        </w:trPr>
        <w:tc>
          <w:tcPr>
            <w:tcW w:w="3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3200" w:type="dxa"/>
            <w:vAlign w:val="bottom"/>
            <w:shd w:val="clear" w:color="auto" w:fill="CCEEFF"/>
          </w:tcPr>
          <w:p>
            <w:pPr>
              <w:spacing w:after="0"/>
              <w:rPr>
                <w:sz w:val="20"/>
                <w:szCs w:val="20"/>
                <w:color w:val="auto"/>
              </w:rPr>
            </w:pPr>
            <w:r>
              <w:rPr>
                <w:rFonts w:ascii="Arial" w:cs="Arial" w:eastAsia="Arial" w:hAnsi="Arial"/>
                <w:sz w:val="16"/>
                <w:szCs w:val="16"/>
                <w:color w:val="auto"/>
              </w:rPr>
              <w:t>Commercial Umbrella</w:t>
            </w:r>
          </w:p>
        </w:tc>
        <w:tc>
          <w:tcPr>
            <w:tcW w:w="2320" w:type="dxa"/>
            <w:vAlign w:val="bottom"/>
            <w:shd w:val="clear" w:color="auto" w:fill="CCEEFF"/>
          </w:tcPr>
          <w:p>
            <w:pPr>
              <w:jc w:val="center"/>
              <w:ind w:right="119"/>
              <w:spacing w:after="0"/>
              <w:rPr>
                <w:sz w:val="20"/>
                <w:szCs w:val="20"/>
                <w:color w:val="auto"/>
              </w:rPr>
            </w:pPr>
            <w:r>
              <w:rPr>
                <w:rFonts w:ascii="Arial" w:cs="Arial" w:eastAsia="Arial" w:hAnsi="Arial"/>
                <w:sz w:val="16"/>
                <w:szCs w:val="16"/>
                <w:color w:val="auto"/>
                <w:w w:val="95"/>
              </w:rPr>
              <w:t>Initial $1,000,000</w:t>
            </w:r>
          </w:p>
        </w:tc>
        <w:tc>
          <w:tcPr>
            <w:tcW w:w="1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$100,000</w:t>
            </w:r>
          </w:p>
        </w:tc>
        <w:tc>
          <w:tcPr>
            <w:tcW w:w="2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Initial $1,000,000</w:t>
            </w:r>
          </w:p>
        </w:tc>
        <w:tc>
          <w:tcPr>
            <w:tcW w:w="1800" w:type="dxa"/>
            <w:vAlign w:val="bottom"/>
            <w:shd w:val="clear" w:color="auto" w:fill="CCEEFF"/>
          </w:tcPr>
          <w:p>
            <w:pPr>
              <w:jc w:val="center"/>
              <w:ind w:right="158"/>
              <w:spacing w:after="0"/>
              <w:rPr>
                <w:sz w:val="20"/>
                <w:szCs w:val="20"/>
                <w:color w:val="auto"/>
              </w:rPr>
            </w:pPr>
            <w:r>
              <w:rPr>
                <w:rFonts w:ascii="Arial" w:cs="Arial" w:eastAsia="Arial" w:hAnsi="Arial"/>
                <w:sz w:val="16"/>
                <w:szCs w:val="16"/>
                <w:color w:val="auto"/>
                <w:w w:val="89"/>
              </w:rPr>
              <w:t>$100,000</w:t>
            </w:r>
          </w:p>
        </w:tc>
      </w:tr>
      <w:tr>
        <w:trPr>
          <w:trHeight w:val="203"/>
        </w:trPr>
        <w:tc>
          <w:tcPr>
            <w:tcW w:w="3200" w:type="dxa"/>
            <w:vAlign w:val="bottom"/>
          </w:tcPr>
          <w:p>
            <w:pPr>
              <w:spacing w:after="0"/>
              <w:rPr>
                <w:sz w:val="17"/>
                <w:szCs w:val="17"/>
                <w:color w:val="auto"/>
              </w:rPr>
            </w:pPr>
          </w:p>
        </w:tc>
        <w:tc>
          <w:tcPr>
            <w:tcW w:w="2320" w:type="dxa"/>
            <w:vAlign w:val="bottom"/>
          </w:tcPr>
          <w:p>
            <w:pPr>
              <w:jc w:val="center"/>
              <w:ind w:right="139"/>
              <w:spacing w:after="0"/>
              <w:rPr>
                <w:sz w:val="20"/>
                <w:szCs w:val="20"/>
                <w:color w:val="auto"/>
              </w:rPr>
            </w:pPr>
            <w:r>
              <w:rPr>
                <w:rFonts w:ascii="Arial" w:cs="Arial" w:eastAsia="Arial" w:hAnsi="Arial"/>
                <w:sz w:val="16"/>
                <w:szCs w:val="16"/>
                <w:color w:val="auto"/>
                <w:w w:val="92"/>
              </w:rPr>
              <w:t>$1,000,000 - $5,000,000</w:t>
            </w:r>
          </w:p>
        </w:tc>
        <w:tc>
          <w:tcPr>
            <w:tcW w:w="1580" w:type="dxa"/>
            <w:vAlign w:val="bottom"/>
          </w:tcPr>
          <w:p>
            <w:pPr>
              <w:jc w:val="center"/>
              <w:spacing w:after="0"/>
              <w:rPr>
                <w:sz w:val="20"/>
                <w:szCs w:val="20"/>
                <w:color w:val="auto"/>
              </w:rPr>
            </w:pPr>
            <w:r>
              <w:rPr>
                <w:rFonts w:ascii="Arial" w:cs="Arial" w:eastAsia="Arial" w:hAnsi="Arial"/>
                <w:sz w:val="16"/>
                <w:szCs w:val="16"/>
                <w:color w:val="auto"/>
                <w:w w:val="94"/>
              </w:rPr>
              <w:t>None</w:t>
            </w:r>
          </w:p>
        </w:tc>
        <w:tc>
          <w:tcPr>
            <w:tcW w:w="2520" w:type="dxa"/>
            <w:vAlign w:val="bottom"/>
          </w:tcPr>
          <w:p>
            <w:pPr>
              <w:jc w:val="center"/>
              <w:spacing w:after="0"/>
              <w:rPr>
                <w:sz w:val="20"/>
                <w:szCs w:val="20"/>
                <w:color w:val="auto"/>
              </w:rPr>
            </w:pPr>
            <w:r>
              <w:rPr>
                <w:rFonts w:ascii="Arial" w:cs="Arial" w:eastAsia="Arial" w:hAnsi="Arial"/>
                <w:sz w:val="16"/>
                <w:szCs w:val="16"/>
                <w:color w:val="auto"/>
                <w:w w:val="92"/>
              </w:rPr>
              <w:t>$1,000,000 - $5,000,000</w:t>
            </w:r>
          </w:p>
        </w:tc>
        <w:tc>
          <w:tcPr>
            <w:tcW w:w="1800" w:type="dxa"/>
            <w:vAlign w:val="bottom"/>
          </w:tcPr>
          <w:p>
            <w:pPr>
              <w:jc w:val="center"/>
              <w:ind w:right="118"/>
              <w:spacing w:after="0"/>
              <w:rPr>
                <w:sz w:val="20"/>
                <w:szCs w:val="20"/>
                <w:color w:val="auto"/>
              </w:rPr>
            </w:pPr>
            <w:r>
              <w:rPr>
                <w:rFonts w:ascii="Arial" w:cs="Arial" w:eastAsia="Arial" w:hAnsi="Arial"/>
                <w:sz w:val="16"/>
                <w:szCs w:val="16"/>
                <w:color w:val="auto"/>
                <w:w w:val="94"/>
              </w:rPr>
              <w:t>None</w:t>
            </w:r>
          </w:p>
        </w:tc>
      </w:tr>
      <w:tr>
        <w:trPr>
          <w:trHeight w:val="203"/>
        </w:trPr>
        <w:tc>
          <w:tcPr>
            <w:tcW w:w="3200" w:type="dxa"/>
            <w:vAlign w:val="bottom"/>
            <w:shd w:val="clear" w:color="auto" w:fill="CCEEFF"/>
          </w:tcPr>
          <w:p>
            <w:pPr>
              <w:spacing w:after="0"/>
              <w:rPr>
                <w:sz w:val="17"/>
                <w:szCs w:val="17"/>
                <w:color w:val="auto"/>
              </w:rPr>
            </w:pPr>
          </w:p>
        </w:tc>
        <w:tc>
          <w:tcPr>
            <w:tcW w:w="2320" w:type="dxa"/>
            <w:vAlign w:val="bottom"/>
            <w:shd w:val="clear" w:color="auto" w:fill="CCEEFF"/>
          </w:tcPr>
          <w:p>
            <w:pPr>
              <w:jc w:val="center"/>
              <w:ind w:right="119"/>
              <w:spacing w:after="0"/>
              <w:rPr>
                <w:sz w:val="20"/>
                <w:szCs w:val="20"/>
                <w:color w:val="auto"/>
              </w:rPr>
            </w:pPr>
            <w:r>
              <w:rPr>
                <w:rFonts w:ascii="Arial" w:cs="Arial" w:eastAsia="Arial" w:hAnsi="Arial"/>
                <w:sz w:val="16"/>
                <w:szCs w:val="16"/>
                <w:color w:val="auto"/>
                <w:w w:val="93"/>
              </w:rPr>
              <w:t>Over $5,000,000</w:t>
            </w:r>
          </w:p>
        </w:tc>
        <w:tc>
          <w:tcPr>
            <w:tcW w:w="1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2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Over $5,000,000</w:t>
            </w:r>
          </w:p>
        </w:tc>
        <w:tc>
          <w:tcPr>
            <w:tcW w:w="1800" w:type="dxa"/>
            <w:vAlign w:val="bottom"/>
            <w:shd w:val="clear" w:color="auto" w:fill="CCEEFF"/>
          </w:tcPr>
          <w:p>
            <w:pPr>
              <w:jc w:val="center"/>
              <w:ind w:right="158"/>
              <w:spacing w:after="0"/>
              <w:rPr>
                <w:sz w:val="20"/>
                <w:szCs w:val="20"/>
                <w:color w:val="auto"/>
              </w:rPr>
            </w:pPr>
            <w:r>
              <w:rPr>
                <w:rFonts w:ascii="Arial" w:cs="Arial" w:eastAsia="Arial" w:hAnsi="Arial"/>
                <w:sz w:val="16"/>
                <w:szCs w:val="16"/>
                <w:color w:val="auto"/>
                <w:w w:val="97"/>
              </w:rPr>
              <w:t>100%</w:t>
            </w:r>
          </w:p>
        </w:tc>
      </w:tr>
      <w:tr>
        <w:trPr>
          <w:trHeight w:val="203"/>
        </w:trPr>
        <w:tc>
          <w:tcPr>
            <w:tcW w:w="3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3200" w:type="dxa"/>
            <w:vAlign w:val="bottom"/>
            <w:shd w:val="clear" w:color="auto" w:fill="CCEEFF"/>
          </w:tcPr>
          <w:p>
            <w:pPr>
              <w:spacing w:after="0"/>
              <w:rPr>
                <w:sz w:val="20"/>
                <w:szCs w:val="20"/>
                <w:color w:val="auto"/>
              </w:rPr>
            </w:pPr>
            <w:r>
              <w:rPr>
                <w:rFonts w:ascii="Arial" w:cs="Arial" w:eastAsia="Arial" w:hAnsi="Arial"/>
                <w:sz w:val="16"/>
                <w:szCs w:val="16"/>
                <w:color w:val="auto"/>
              </w:rPr>
              <w:t>Catastrophe (4)</w:t>
            </w:r>
          </w:p>
        </w:tc>
        <w:tc>
          <w:tcPr>
            <w:tcW w:w="2320" w:type="dxa"/>
            <w:vAlign w:val="bottom"/>
            <w:shd w:val="clear" w:color="auto" w:fill="CCEEFF"/>
          </w:tcPr>
          <w:p>
            <w:pPr>
              <w:jc w:val="center"/>
              <w:ind w:right="119"/>
              <w:spacing w:after="0"/>
              <w:rPr>
                <w:sz w:val="20"/>
                <w:szCs w:val="20"/>
                <w:color w:val="auto"/>
              </w:rPr>
            </w:pPr>
            <w:r>
              <w:rPr>
                <w:rFonts w:ascii="Arial" w:cs="Arial" w:eastAsia="Arial" w:hAnsi="Arial"/>
                <w:sz w:val="16"/>
                <w:szCs w:val="16"/>
                <w:color w:val="auto"/>
                <w:w w:val="95"/>
              </w:rPr>
              <w:t>Initial $5,000,000</w:t>
            </w:r>
          </w:p>
        </w:tc>
        <w:tc>
          <w:tcPr>
            <w:tcW w:w="1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$4,500,000</w:t>
            </w:r>
          </w:p>
        </w:tc>
        <w:tc>
          <w:tcPr>
            <w:tcW w:w="2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Initial $5,000,000</w:t>
            </w:r>
          </w:p>
        </w:tc>
        <w:tc>
          <w:tcPr>
            <w:tcW w:w="1800" w:type="dxa"/>
            <w:vAlign w:val="bottom"/>
            <w:shd w:val="clear" w:color="auto" w:fill="CCEEFF"/>
          </w:tcPr>
          <w:p>
            <w:pPr>
              <w:jc w:val="center"/>
              <w:ind w:right="138"/>
              <w:spacing w:after="0"/>
              <w:rPr>
                <w:sz w:val="20"/>
                <w:szCs w:val="20"/>
                <w:color w:val="auto"/>
              </w:rPr>
            </w:pPr>
            <w:r>
              <w:rPr>
                <w:rFonts w:ascii="Arial" w:cs="Arial" w:eastAsia="Arial" w:hAnsi="Arial"/>
                <w:sz w:val="16"/>
                <w:szCs w:val="16"/>
                <w:color w:val="auto"/>
                <w:w w:val="92"/>
              </w:rPr>
              <w:t>$4,000,000</w:t>
            </w:r>
          </w:p>
        </w:tc>
      </w:tr>
      <w:tr>
        <w:trPr>
          <w:trHeight w:val="203"/>
        </w:trPr>
        <w:tc>
          <w:tcPr>
            <w:tcW w:w="3200" w:type="dxa"/>
            <w:vAlign w:val="bottom"/>
          </w:tcPr>
          <w:p>
            <w:pPr>
              <w:spacing w:after="0"/>
              <w:rPr>
                <w:sz w:val="17"/>
                <w:szCs w:val="17"/>
                <w:color w:val="auto"/>
              </w:rPr>
            </w:pPr>
          </w:p>
        </w:tc>
        <w:tc>
          <w:tcPr>
            <w:tcW w:w="2320" w:type="dxa"/>
            <w:vAlign w:val="bottom"/>
          </w:tcPr>
          <w:p>
            <w:pPr>
              <w:jc w:val="center"/>
              <w:ind w:right="119"/>
              <w:spacing w:after="0"/>
              <w:rPr>
                <w:sz w:val="20"/>
                <w:szCs w:val="20"/>
                <w:color w:val="auto"/>
              </w:rPr>
            </w:pPr>
            <w:r>
              <w:rPr>
                <w:rFonts w:ascii="Arial" w:cs="Arial" w:eastAsia="Arial" w:hAnsi="Arial"/>
                <w:sz w:val="16"/>
                <w:szCs w:val="16"/>
                <w:color w:val="auto"/>
                <w:w w:val="93"/>
              </w:rPr>
              <w:t>$5,000,000 - $450,000,000</w:t>
            </w:r>
          </w:p>
        </w:tc>
        <w:tc>
          <w:tcPr>
            <w:tcW w:w="1580" w:type="dxa"/>
            <w:vAlign w:val="bottom"/>
          </w:tcPr>
          <w:p>
            <w:pPr>
              <w:jc w:val="center"/>
              <w:spacing w:after="0"/>
              <w:rPr>
                <w:sz w:val="20"/>
                <w:szCs w:val="20"/>
                <w:color w:val="auto"/>
              </w:rPr>
            </w:pPr>
            <w:r>
              <w:rPr>
                <w:rFonts w:ascii="Arial" w:cs="Arial" w:eastAsia="Arial" w:hAnsi="Arial"/>
                <w:sz w:val="16"/>
                <w:szCs w:val="16"/>
                <w:color w:val="auto"/>
                <w:w w:val="94"/>
              </w:rPr>
              <w:t>None</w:t>
            </w:r>
          </w:p>
        </w:tc>
        <w:tc>
          <w:tcPr>
            <w:tcW w:w="2520" w:type="dxa"/>
            <w:vAlign w:val="bottom"/>
          </w:tcPr>
          <w:p>
            <w:pPr>
              <w:jc w:val="center"/>
              <w:spacing w:after="0"/>
              <w:rPr>
                <w:sz w:val="20"/>
                <w:szCs w:val="20"/>
                <w:color w:val="auto"/>
              </w:rPr>
            </w:pPr>
            <w:r>
              <w:rPr>
                <w:rFonts w:ascii="Arial" w:cs="Arial" w:eastAsia="Arial" w:hAnsi="Arial"/>
                <w:sz w:val="16"/>
                <w:szCs w:val="16"/>
                <w:color w:val="auto"/>
                <w:w w:val="92"/>
              </w:rPr>
              <w:t>$5,000,000 - $320,000,000</w:t>
            </w:r>
          </w:p>
        </w:tc>
        <w:tc>
          <w:tcPr>
            <w:tcW w:w="1800" w:type="dxa"/>
            <w:vAlign w:val="bottom"/>
          </w:tcPr>
          <w:p>
            <w:pPr>
              <w:jc w:val="center"/>
              <w:ind w:right="118"/>
              <w:spacing w:after="0"/>
              <w:rPr>
                <w:sz w:val="20"/>
                <w:szCs w:val="20"/>
                <w:color w:val="auto"/>
              </w:rPr>
            </w:pPr>
            <w:r>
              <w:rPr>
                <w:rFonts w:ascii="Arial" w:cs="Arial" w:eastAsia="Arial" w:hAnsi="Arial"/>
                <w:sz w:val="16"/>
                <w:szCs w:val="16"/>
                <w:color w:val="auto"/>
                <w:w w:val="94"/>
              </w:rPr>
              <w:t>None</w:t>
            </w:r>
          </w:p>
        </w:tc>
      </w:tr>
      <w:tr>
        <w:trPr>
          <w:trHeight w:val="203"/>
        </w:trPr>
        <w:tc>
          <w:tcPr>
            <w:tcW w:w="3200" w:type="dxa"/>
            <w:vAlign w:val="bottom"/>
            <w:shd w:val="clear" w:color="auto" w:fill="CCEEFF"/>
          </w:tcPr>
          <w:p>
            <w:pPr>
              <w:spacing w:after="0"/>
              <w:rPr>
                <w:sz w:val="17"/>
                <w:szCs w:val="17"/>
                <w:color w:val="auto"/>
              </w:rPr>
            </w:pPr>
          </w:p>
        </w:tc>
        <w:tc>
          <w:tcPr>
            <w:tcW w:w="2320" w:type="dxa"/>
            <w:vAlign w:val="bottom"/>
            <w:shd w:val="clear" w:color="auto" w:fill="CCEEFF"/>
          </w:tcPr>
          <w:p>
            <w:pPr>
              <w:jc w:val="center"/>
              <w:ind w:right="119"/>
              <w:spacing w:after="0"/>
              <w:rPr>
                <w:sz w:val="20"/>
                <w:szCs w:val="20"/>
                <w:color w:val="auto"/>
              </w:rPr>
            </w:pPr>
            <w:r>
              <w:rPr>
                <w:rFonts w:ascii="Arial" w:cs="Arial" w:eastAsia="Arial" w:hAnsi="Arial"/>
                <w:sz w:val="16"/>
                <w:szCs w:val="16"/>
                <w:color w:val="auto"/>
                <w:w w:val="93"/>
              </w:rPr>
              <w:t>Over $450,000,000</w:t>
            </w:r>
          </w:p>
        </w:tc>
        <w:tc>
          <w:tcPr>
            <w:tcW w:w="1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2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Over $320,000,000</w:t>
            </w:r>
          </w:p>
        </w:tc>
        <w:tc>
          <w:tcPr>
            <w:tcW w:w="1800" w:type="dxa"/>
            <w:vAlign w:val="bottom"/>
            <w:shd w:val="clear" w:color="auto" w:fill="CCEEFF"/>
          </w:tcPr>
          <w:p>
            <w:pPr>
              <w:jc w:val="center"/>
              <w:ind w:right="158"/>
              <w:spacing w:after="0"/>
              <w:rPr>
                <w:sz w:val="20"/>
                <w:szCs w:val="20"/>
                <w:color w:val="auto"/>
              </w:rPr>
            </w:pPr>
            <w:r>
              <w:rPr>
                <w:rFonts w:ascii="Arial" w:cs="Arial" w:eastAsia="Arial" w:hAnsi="Arial"/>
                <w:sz w:val="16"/>
                <w:szCs w:val="16"/>
                <w:color w:val="auto"/>
                <w:w w:val="97"/>
              </w:rPr>
              <w:t>100%</w:t>
            </w:r>
          </w:p>
        </w:tc>
      </w:tr>
    </w:tbl>
    <w:p>
      <w:pPr>
        <w:spacing w:after="0" w:line="194" w:lineRule="exact"/>
        <w:rPr>
          <w:sz w:val="20"/>
          <w:szCs w:val="20"/>
          <w:color w:val="auto"/>
        </w:rPr>
      </w:pPr>
    </w:p>
    <w:p>
      <w:pPr>
        <w:ind w:left="300" w:hanging="299"/>
        <w:spacing w:after="0"/>
        <w:tabs>
          <w:tab w:leader="none" w:pos="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Treaty for July 1, 2017 – June 30, 2018 and July 1, 2018 – June 30, 2019 is a two-year treaty with expiration date of June 30, 2019.</w:t>
      </w:r>
    </w:p>
    <w:p>
      <w:pPr>
        <w:spacing w:after="0" w:line="24" w:lineRule="exact"/>
        <w:rPr>
          <w:rFonts w:ascii="Arial" w:cs="Arial" w:eastAsia="Arial" w:hAnsi="Arial"/>
          <w:sz w:val="16"/>
          <w:szCs w:val="16"/>
          <w:color w:val="auto"/>
        </w:rPr>
      </w:pPr>
    </w:p>
    <w:p>
      <w:pPr>
        <w:ind w:left="300" w:hanging="299"/>
        <w:spacing w:after="0"/>
        <w:tabs>
          <w:tab w:leader="none" w:pos="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Covered by excess of loss treaties up to $3,500,000 and by facultative facility from $3,500,000 to $10,000,000.</w:t>
      </w:r>
    </w:p>
    <w:p>
      <w:pPr>
        <w:spacing w:after="0" w:line="18" w:lineRule="exact"/>
        <w:rPr>
          <w:rFonts w:ascii="Arial" w:cs="Arial" w:eastAsia="Arial" w:hAnsi="Arial"/>
          <w:sz w:val="16"/>
          <w:szCs w:val="16"/>
          <w:color w:val="auto"/>
        </w:rPr>
      </w:pPr>
    </w:p>
    <w:p>
      <w:pPr>
        <w:ind w:left="300" w:hanging="299"/>
        <w:spacing w:after="0"/>
        <w:tabs>
          <w:tab w:leader="none" w:pos="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Covered by excess of loss treaties.</w:t>
      </w:r>
    </w:p>
    <w:p>
      <w:pPr>
        <w:spacing w:after="0" w:line="18" w:lineRule="exact"/>
        <w:rPr>
          <w:rFonts w:ascii="Arial" w:cs="Arial" w:eastAsia="Arial" w:hAnsi="Arial"/>
          <w:sz w:val="16"/>
          <w:szCs w:val="16"/>
          <w:color w:val="auto"/>
        </w:rPr>
      </w:pPr>
    </w:p>
    <w:p>
      <w:pPr>
        <w:ind w:left="300" w:hanging="299"/>
        <w:spacing w:after="0"/>
        <w:tabs>
          <w:tab w:leader="none" w:pos="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Catastrophe coverage is limited on an annual basis to two times the per occurrence amounts.</w:t>
      </w:r>
    </w:p>
    <w:p>
      <w:pPr>
        <w:spacing w:after="0" w:line="21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Company’s reinsurance program has been structured to enable the Company to grow its premium volume while maintaining regulatory capital and other financial ratios generally within or below the expected ranges used for regulatory oversight purposes. The reinsurance program also provides income as a result of ceding commissions earned pursuant to the quota share reinsurance contracts. The Company’s participation in reinsurance arrangements does not relieve the Company of its obligations to policyholders.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28" w:name="page29"/>
    <w:bookmarkEnd w:id="28"/>
    <w:p>
      <w:pPr>
        <w:spacing w:after="0"/>
        <w:rPr>
          <w:sz w:val="20"/>
          <w:szCs w:val="20"/>
          <w:color w:val="auto"/>
        </w:rPr>
      </w:pPr>
      <w:r>
        <w:rPr>
          <w:rFonts w:ascii="Arial" w:cs="Arial" w:eastAsia="Arial" w:hAnsi="Arial"/>
          <w:sz w:val="16"/>
          <w:szCs w:val="16"/>
          <w:u w:val="single" w:color="auto"/>
          <w:color w:val="auto"/>
        </w:rPr>
        <w:t>Ceding Commission Revenue</w:t>
      </w:r>
    </w:p>
    <w:p>
      <w:pPr>
        <w:spacing w:after="0" w:line="221"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The Company earns ceding commission revenue under its quota share reinsurance agreements based on: (i) a fixed provisional commission rate at which provisional ceding commissions are earned, and (ii) a sliding scale of commission rates and ultimate treaty year loss ratios on the policies reinsured under each of these agreements based upon which contingent ceding commissions are earned. The sliding scale includes minimum and maximum commission rates in relation to specified ultimate loss ratios. The commission rate and contingent ceding commissions earned increases when the estimated ultimate loss ratio decreases and, conversely, the commission rate and contingent ceding commissions earned decreases when the estimated ultimate loss ratio increases.</w:t>
      </w:r>
    </w:p>
    <w:p>
      <w:pPr>
        <w:spacing w:after="0" w:line="173"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The Company’s estimated ultimate treaty year loss ratios (the “Loss Ratio(s)”) for treaties in effect during the nine months ended September 30, 2019 are attributable to contracts under the 2017/2019 Treaty for the 2018/2019 Treaty Year, which expired on June 30, 2019 and was not renewed. The Loss Ratios for treaties in effect for the three months ended September 30, 2018 are attributable to contracts under the 2017/2019 Treaty for the 2018/2019 Treaty Year. The Loss Ratios for treaties in effect for the nine months ended September 30, 2018 are attributable to contracts under the 2017/2019 Treaty for both the 2017/2018 Treaty Year and the 2018/2019 Treaty Year.</w:t>
      </w:r>
    </w:p>
    <w:p>
      <w:pPr>
        <w:spacing w:after="0" w:line="157" w:lineRule="exact"/>
        <w:rPr>
          <w:sz w:val="20"/>
          <w:szCs w:val="20"/>
          <w:color w:val="auto"/>
        </w:rPr>
      </w:pPr>
    </w:p>
    <w:p>
      <w:pPr>
        <w:ind w:left="600"/>
        <w:spacing w:after="0"/>
        <w:rPr>
          <w:sz w:val="20"/>
          <w:szCs w:val="20"/>
          <w:color w:val="auto"/>
        </w:rPr>
      </w:pPr>
      <w:r>
        <w:rPr>
          <w:rFonts w:ascii="Arial" w:cs="Arial" w:eastAsia="Arial" w:hAnsi="Arial"/>
          <w:sz w:val="16"/>
          <w:szCs w:val="16"/>
          <w:i w:val="1"/>
          <w:iCs w:val="1"/>
          <w:color w:val="auto"/>
        </w:rPr>
        <w:t>Treaty in effect during the three months and nine months ended September 30, 2019</w:t>
      </w:r>
    </w:p>
    <w:p>
      <w:pPr>
        <w:spacing w:after="0" w:line="221" w:lineRule="exact"/>
        <w:rPr>
          <w:sz w:val="20"/>
          <w:szCs w:val="20"/>
          <w:color w:val="auto"/>
        </w:rPr>
      </w:pPr>
    </w:p>
    <w:p>
      <w:pPr>
        <w:jc w:val="both"/>
        <w:ind w:left="600"/>
        <w:spacing w:after="0" w:line="292" w:lineRule="auto"/>
        <w:rPr>
          <w:sz w:val="20"/>
          <w:szCs w:val="20"/>
          <w:color w:val="auto"/>
        </w:rPr>
      </w:pPr>
      <w:r>
        <w:rPr>
          <w:rFonts w:ascii="Arial" w:cs="Arial" w:eastAsia="Arial" w:hAnsi="Arial"/>
          <w:sz w:val="15"/>
          <w:szCs w:val="15"/>
          <w:color w:val="auto"/>
        </w:rPr>
        <w:t>There was no current quota share treaty in effect during the three months ended September 30, 2019, and therefore no current contingent commission adjustment was recorded for the three months ended September 30, 2019.Under the 2017/2019 Treaty, the Company received an upfront fixed provisional rate that was only subject to a sliding scale contingent adjustment based upon Loss Ratio for the 2017/2018 Treaty Year (“Loss Period”). Under this arrangement, the Company earned provisional ceding commissions that are subject to later adjustment dependent on changes to the estimated Loss Period Loss Ratio for the 2017/2019 Treaty. The Company’s Loss Period Loss Ratios attributable to the 2017/2019 Treaty reached the maximum contractual level during the six months ended June 30, 2018, and therefore no contingent commission adjustment was recorded for the nine months ended September 30, 2019.</w:t>
      </w:r>
    </w:p>
    <w:p>
      <w:pPr>
        <w:spacing w:after="0" w:line="160" w:lineRule="exact"/>
        <w:rPr>
          <w:sz w:val="20"/>
          <w:szCs w:val="20"/>
          <w:color w:val="auto"/>
        </w:rPr>
      </w:pPr>
    </w:p>
    <w:p>
      <w:pPr>
        <w:ind w:left="600"/>
        <w:spacing w:after="0"/>
        <w:rPr>
          <w:sz w:val="20"/>
          <w:szCs w:val="20"/>
          <w:color w:val="auto"/>
        </w:rPr>
      </w:pPr>
      <w:r>
        <w:rPr>
          <w:rFonts w:ascii="Arial" w:cs="Arial" w:eastAsia="Arial" w:hAnsi="Arial"/>
          <w:sz w:val="16"/>
          <w:szCs w:val="16"/>
          <w:i w:val="1"/>
          <w:iCs w:val="1"/>
          <w:color w:val="auto"/>
        </w:rPr>
        <w:t>Treaties in effect for the three months and nine months ended September 30, 2018</w:t>
      </w:r>
    </w:p>
    <w:p>
      <w:pPr>
        <w:spacing w:after="0" w:line="221" w:lineRule="exact"/>
        <w:rPr>
          <w:sz w:val="20"/>
          <w:szCs w:val="20"/>
          <w:color w:val="auto"/>
        </w:rPr>
      </w:pPr>
    </w:p>
    <w:p>
      <w:pPr>
        <w:jc w:val="both"/>
        <w:ind w:left="600"/>
        <w:spacing w:after="0" w:line="272" w:lineRule="auto"/>
        <w:rPr>
          <w:sz w:val="20"/>
          <w:szCs w:val="20"/>
          <w:color w:val="auto"/>
        </w:rPr>
      </w:pPr>
      <w:r>
        <w:rPr>
          <w:rFonts w:ascii="Arial" w:cs="Arial" w:eastAsia="Arial" w:hAnsi="Arial"/>
          <w:sz w:val="16"/>
          <w:szCs w:val="16"/>
          <w:color w:val="auto"/>
        </w:rPr>
        <w:t>Under the 2017/2019 Treaty, the Company received an upfront fixed provisional rate that was only subject to a sliding scale contingent adjustment based upon Loss Ratio for the 2017/2018 Treaty Year (“Loss Period”). The Company’s Loss Period Loss Ratios attributable to the 2017/2019 Treaty reached the maximum contractual level during the six months ended June 30, 2018, and therefore no contingent commission adjustment was recorded for the three months ended September 30, 2018. For the nine months ended September 30, 2018, the Company incurred negative contingent ceding commissions as a result of the Loss Period Loss Ratio for the 2017/2019 Treaty, which reduced contingent ceding commissions earned.</w:t>
      </w:r>
    </w:p>
    <w:p>
      <w:pPr>
        <w:spacing w:after="0" w:line="173"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In addition to the treaties that were in effect during the three months and nine months ended September 30, 2019 and 2018, the Loss Ratios from prior years’ treaties are subject to change as incurred losses from those periods increase or decrease, resulting in an increase or decrease in the commission rate and contingent ceding commissions earned.</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Ceding commission revenue consists of the following:</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3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8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6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Nine months ended</w:t>
            </w:r>
          </w:p>
        </w:tc>
      </w:tr>
      <w:tr>
        <w:trPr>
          <w:trHeight w:val="217"/>
        </w:trPr>
        <w:tc>
          <w:tcPr>
            <w:tcW w:w="43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33"/>
        </w:trPr>
        <w:tc>
          <w:tcPr>
            <w:tcW w:w="43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20"/>
                <w:szCs w:val="20"/>
                <w:color w:val="auto"/>
              </w:rPr>
            </w:pPr>
          </w:p>
        </w:tc>
      </w:tr>
      <w:tr>
        <w:trPr>
          <w:trHeight w:val="228"/>
        </w:trPr>
        <w:tc>
          <w:tcPr>
            <w:tcW w:w="43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03"/>
        </w:trPr>
        <w:tc>
          <w:tcPr>
            <w:tcW w:w="4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Provisional ceding commissions earned</w:t>
            </w:r>
          </w:p>
        </w:tc>
        <w:tc>
          <w:tcPr>
            <w:tcW w:w="1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1,320,069</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1,255,034</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4,001,294</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5,468,314</w:t>
            </w:r>
          </w:p>
        </w:tc>
      </w:tr>
      <w:tr>
        <w:trPr>
          <w:trHeight w:val="203"/>
        </w:trPr>
        <w:tc>
          <w:tcPr>
            <w:tcW w:w="4380" w:type="dxa"/>
            <w:vAlign w:val="bottom"/>
          </w:tcPr>
          <w:p>
            <w:pPr>
              <w:ind w:left="40"/>
              <w:spacing w:after="0"/>
              <w:rPr>
                <w:sz w:val="20"/>
                <w:szCs w:val="20"/>
                <w:color w:val="auto"/>
              </w:rPr>
            </w:pPr>
            <w:r>
              <w:rPr>
                <w:rFonts w:ascii="Arial" w:cs="Arial" w:eastAsia="Arial" w:hAnsi="Arial"/>
                <w:sz w:val="16"/>
                <w:szCs w:val="16"/>
                <w:color w:val="auto"/>
              </w:rPr>
              <w:t>Contingent ceding commissions earned</w:t>
            </w:r>
          </w:p>
        </w:tc>
        <w:tc>
          <w:tcPr>
            <w:tcW w:w="1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(290,487)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(210,505)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(1,018,334)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w w:val="97"/>
              </w:rPr>
              <w:t>(1,037,459)</w:t>
            </w:r>
          </w:p>
        </w:tc>
      </w:tr>
      <w:tr>
        <w:trPr>
          <w:trHeight w:val="25"/>
        </w:trPr>
        <w:tc>
          <w:tcPr>
            <w:tcW w:w="43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438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1,029,582</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1,044,529</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2,982,960</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4,430,855</w:t>
            </w:r>
          </w:p>
        </w:tc>
      </w:tr>
      <w:tr>
        <w:trPr>
          <w:trHeight w:val="20"/>
        </w:trPr>
        <w:tc>
          <w:tcPr>
            <w:tcW w:w="438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Provisional ceding commissions are settled monthly. Balances due from reinsurers for contingent ceding commissions on quota share treaties are settled annually based on the Loss Ratio of each treaty year that ends on June 30. As discussed above, the Loss Ratios from prior years’ treaties are subject to change as incurred losses from those periods develop, resulting in an increase or decrease in the commission rate and contingent ceding commissions earned. As of September 30, 2019 and December 31, 2018, net contingent ceding commissions payable to reinsurers under all treaties was approximately $3,060,000 and $1,581,000, respectively, which is recorded in reinsurance balances payable on the accompanying condensed consolidated balance sheets.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Commercial Lines of Business</w:t>
      </w:r>
    </w:p>
    <w:p>
      <w:pPr>
        <w:spacing w:after="0" w:line="221"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In July 2019, the Company made the decision that it will no longer underwrite Commercial Lines risks. These include Business Owners, Artisans (“CraftPak”), Special Multi-Peril, and Commercial Umbrella policies. The Company had 6,793 commercial lines policies in force as of September 30, 2019 and approximately $12,179,000 in earned premiums for the nine months ended September 30, 2019. As of June 30, 2019 the Company had 7,770 commercial lines policies in force.</w:t>
      </w:r>
    </w:p>
    <w:p>
      <w:pPr>
        <w:spacing w:after="0" w:line="149"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For the nine months ended September 30, 2019, these policies represented approximately 12% of net premiums earned. As of September 30, 2019, claims from these commercial lines represent 46% of loss and loss adjustment expense reserves net of reinsurance recoverables. In force policies for these lines will be non-renewed at the end of their current annual terms. All existing inforce Commercial Lines policies will expire by September 30, 2020.</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color w:val="auto"/>
        </w:rPr>
        <w:t>Note 7 – Debt</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Federal Home Loan Bank</w:t>
      </w:r>
    </w:p>
    <w:p>
      <w:pPr>
        <w:spacing w:after="0" w:line="221"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In July 2017, KICO became a member of, and invested in, the Federal Home Loan Bank of New York (“FHLBNY”). The aggregate investment in dividend bearing common stock was $15,180 as of September 30, 2019. FHLBNY members have access to a variety of flexible, low cost funding through FHLBNY’s credit products, enabling members to customize advances, which are to be fully collateralized. Eligible collateral to pledge to FHLBNY includes residential and commercial mortgage backed securities, along with U.S. Treasury and agency securities. See Note 3 – Investments for eligible collateral held in a designated custodian account available for future advances. Advances are limited to 5% of KICO’s net admitted assets as of the previous quarter and are due and payable within one year of borrowing. The maximum allowable advance as of September 30, 2019 was approximately $11,502,000. Advances are limited to 90% of the amount of available collateral, which was approximately $4,630,000 as of September 30, 2019. There were no borrowings under this facility during the nine months ended September 30, 2019.</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Long-term Debt</w:t>
      </w:r>
    </w:p>
    <w:p>
      <w:pPr>
        <w:spacing w:after="0" w:line="22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December 19, 2017, the Company issued $30 million of its 5.50% Senior Unsecured Notes due December 30, 2022 (the “Notes”) in an underwritten public offering. Interest is payable semi-annually in arrears on June 30 and December 30 of each year, which began on June 30, 2018 at the rate of 5.50%. The net proceeds of the issuance were $29,121,630, net of discount of $163,200 and transaction costs of $715,170, for an effective yield of 5.67%. The balance of long-term debt as of September 30, 2019 and December 31, 2018 is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September 30,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December 31,</w:t>
            </w:r>
          </w:p>
        </w:tc>
      </w:tr>
      <w:tr>
        <w:trPr>
          <w:trHeight w:val="217"/>
        </w:trPr>
        <w:tc>
          <w:tcPr>
            <w:tcW w:w="88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8"/>
                <w:szCs w:val="18"/>
                <w:color w:val="auto"/>
              </w:rPr>
            </w:pPr>
          </w:p>
        </w:tc>
      </w:tr>
      <w:tr>
        <w:trPr>
          <w:trHeight w:val="228"/>
        </w:trPr>
        <w:tc>
          <w:tcPr>
            <w:tcW w:w="8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03"/>
        </w:trPr>
        <w:tc>
          <w:tcPr>
            <w:tcW w:w="8820" w:type="dxa"/>
            <w:vAlign w:val="bottom"/>
            <w:shd w:val="clear" w:color="auto" w:fill="CCEEFF"/>
          </w:tcPr>
          <w:p>
            <w:pPr>
              <w:spacing w:after="0"/>
              <w:rPr>
                <w:sz w:val="20"/>
                <w:szCs w:val="20"/>
                <w:color w:val="auto"/>
              </w:rPr>
            </w:pPr>
            <w:r>
              <w:rPr>
                <w:rFonts w:ascii="Arial" w:cs="Arial" w:eastAsia="Arial" w:hAnsi="Arial"/>
                <w:sz w:val="16"/>
                <w:szCs w:val="16"/>
                <w:color w:val="auto"/>
              </w:rPr>
              <w:t>5.50% Senior Unsecured Notes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30,000,000</w:t>
            </w:r>
          </w:p>
        </w:tc>
        <w:tc>
          <w:tcPr>
            <w:tcW w:w="1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30,000,000</w:t>
            </w:r>
          </w:p>
        </w:tc>
      </w:tr>
      <w:tr>
        <w:trPr>
          <w:trHeight w:val="203"/>
        </w:trPr>
        <w:tc>
          <w:tcPr>
            <w:tcW w:w="8820" w:type="dxa"/>
            <w:vAlign w:val="bottom"/>
          </w:tcPr>
          <w:p>
            <w:pPr>
              <w:ind w:left="40"/>
              <w:spacing w:after="0"/>
              <w:rPr>
                <w:sz w:val="20"/>
                <w:szCs w:val="20"/>
                <w:color w:val="auto"/>
              </w:rPr>
            </w:pPr>
            <w:r>
              <w:rPr>
                <w:rFonts w:ascii="Arial" w:cs="Arial" w:eastAsia="Arial" w:hAnsi="Arial"/>
                <w:sz w:val="16"/>
                <w:szCs w:val="16"/>
                <w:color w:val="auto"/>
              </w:rPr>
              <w:t>Discount</w:t>
            </w:r>
          </w:p>
        </w:tc>
        <w:tc>
          <w:tcPr>
            <w:tcW w:w="12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(105,465)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(129,796)</w:t>
            </w:r>
          </w:p>
        </w:tc>
      </w:tr>
      <w:tr>
        <w:trPr>
          <w:trHeight w:val="203"/>
        </w:trPr>
        <w:tc>
          <w:tcPr>
            <w:tcW w:w="8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Issuance costs</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(467,149)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(574,953)</w:t>
            </w:r>
          </w:p>
        </w:tc>
      </w:tr>
      <w:tr>
        <w:trPr>
          <w:trHeight w:val="25"/>
        </w:trPr>
        <w:tc>
          <w:tcPr>
            <w:tcW w:w="88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03"/>
        </w:trPr>
        <w:tc>
          <w:tcPr>
            <w:tcW w:w="8820" w:type="dxa"/>
            <w:vAlign w:val="bottom"/>
          </w:tcPr>
          <w:p>
            <w:pPr>
              <w:ind w:left="40"/>
              <w:spacing w:after="0"/>
              <w:rPr>
                <w:sz w:val="20"/>
                <w:szCs w:val="20"/>
                <w:color w:val="auto"/>
              </w:rPr>
            </w:pPr>
            <w:r>
              <w:rPr>
                <w:rFonts w:ascii="Arial" w:cs="Arial" w:eastAsia="Arial" w:hAnsi="Arial"/>
                <w:sz w:val="16"/>
                <w:szCs w:val="16"/>
                <w:color w:val="auto"/>
              </w:rPr>
              <w:t>Long-term debt, net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29,427,386</w:t>
            </w:r>
          </w:p>
        </w:tc>
        <w:tc>
          <w:tcPr>
            <w:tcW w:w="160" w:type="dxa"/>
            <w:vAlign w:val="bottom"/>
          </w:tcPr>
          <w:p>
            <w:pPr>
              <w:spacing w:after="0"/>
              <w:rPr>
                <w:sz w:val="17"/>
                <w:szCs w:val="17"/>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29,295,251</w:t>
            </w:r>
          </w:p>
        </w:tc>
      </w:tr>
      <w:tr>
        <w:trPr>
          <w:trHeight w:val="20"/>
        </w:trPr>
        <w:tc>
          <w:tcPr>
            <w:tcW w:w="8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The Notes are unsecured obligations of the Company and are not the obligations of or guaranteed by any of the Company's subsidiaries. The Notes rank senior in right of payment to any of the Company's existing and future indebtedness that is by its terms expressly subordinated or junior in right of payment to the Notes. The Notes rank equally in right of payment to all of the Company's existing and future senior indebtedness, but will be effectively subordinated to any secured indebtedness to the extent of the value of the collateral securing such secured indebtedness. In addition, the Notes will be structurally subordinated to the indebtedness and other obligations of the Company's subsidiaries. The Company may redeem the Notes, at any time in whole or from time to time in part, at the redemption price equal to the greater of: (i) 100% of the principal amount of the Notes to be redeemed; and (ii) the sum of the present values of the remaining scheduled payments of principal and interest on the Notes to be redeemed that would be due if the Notes matured on the applicable redemption date (exclusive of interest accrued to the applicable redemption date) discounted to the redemption date on a semi-annual basis at the Treasury Rate, plus 50 basis points.</w:t>
      </w:r>
    </w:p>
    <w:p>
      <w:pPr>
        <w:spacing w:after="0" w:line="180"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On December 20, 2017, the Company used $25,000,000 of the net proceeds from the offering to contribute capital to KICO in order to support additional growth. The remainder of the net proceeds are being used for general corporate purposes. A registration statement relating to the debt issued in the offering was filed with the SEC, which became effective on November 28, 2017.</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 Stockholders’ Equity</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Dividends Declared and Paid</w:t>
      </w:r>
    </w:p>
    <w:p>
      <w:pPr>
        <w:spacing w:after="0" w:line="221"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Dividends declared and paid on common stock were $2,827,276 and $3,204,813 for the nine months ended September 30, 2019 and 2018, respectively. The Company’s Board of Directors approved a quarterly dividend on November 11, 2019 of $0.0625 per share payable in cash on December 13, 2019 to stockholders of record as of November 29, 2019 (see Note 13).</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481" w:right="239" w:bottom="1440" w:gutter="0" w:footer="0" w:header="0"/>
        </w:sectPr>
      </w:pPr>
    </w:p>
    <w:bookmarkStart w:id="30" w:name="page31"/>
    <w:bookmarkEnd w:id="30"/>
    <w:p>
      <w:pPr>
        <w:spacing w:after="0"/>
        <w:rPr>
          <w:sz w:val="20"/>
          <w:szCs w:val="20"/>
          <w:color w:val="auto"/>
        </w:rPr>
      </w:pPr>
      <w:r>
        <w:rPr>
          <w:rFonts w:ascii="Arial" w:cs="Arial" w:eastAsia="Arial" w:hAnsi="Arial"/>
          <w:sz w:val="16"/>
          <w:szCs w:val="16"/>
          <w:u w:val="single" w:color="auto"/>
          <w:color w:val="auto"/>
        </w:rPr>
        <w:t>Stock Options</w:t>
      </w:r>
    </w:p>
    <w:p>
      <w:pPr>
        <w:spacing w:after="0" w:line="221"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Effective August 12, 2014, the Company adopted the 2014 Equity Participation Plan (the “2014 Plan”) pursuant to which a maximum of 700,000 shares of Common Stock of the Company are authorized to be issued pursuant to the grant of incentive stock options, non-statutory stock options, stock appreciation rights, restricted stock and stock bonuses. Incentive stock options granted under the 2014 Plan expire no later than ten years from the date of grant (except no later than five years for a grant to a 10% stockholder). The Board of Directors or the Compensation Committee determines the expiration date with respect to non-statutory stock options and the vesting provisions for restricted stock granted under the 2014 Plan.</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The results of operations for the three months ended September 30, 2019 and 2018 include stock-based compensation expense related to the 2014 Plan totaling approximately $19,800 and $1,000, respectively. The results of operations for the nine months ended September 30, 2019 and 2018 include stock-based compensation expense related to stock options totaling approximately $20,800 and $5,000, respectively. Stock-based compensation expense related to stock options is net of estimated forfeitures of approximately 17% for the three months and nine months ended September 30, 2019 and 2018. Such amounts have been included in the condensed consolidated statements of operations and comprehensive income (loss) within other operating expenses.</w:t>
      </w:r>
    </w:p>
    <w:p>
      <w:pPr>
        <w:spacing w:after="0" w:line="173"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Stock-based compensation expense for the nine months ended September 30, 2019 and 2018 is the estimated fair value of options granted, amortized on a straight-line basis over the requisite service period, for the entire portion of the award less an estimate for anticipated forfeitures. The Company uses the “simplified” method to estimate the expected term of the options because the Company’s historical share option exercise experience does not provide a reasonable basis upon which to estimate expected term. The weighted average estimated fair value of stock options granted during the nine months ended September 30, 2019 was $1.91 per share. No options were granted during the nine months September 30, 2018. The fair value of stock options at the grant date was estimated using the Black-Scholes option-pricing model. The following weighted average assumptions were used for grants during the following periods: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820" w:type="dxa"/>
            <w:vAlign w:val="bottom"/>
          </w:tcPr>
          <w:p>
            <w:pPr>
              <w:spacing w:after="0"/>
              <w:rPr>
                <w:sz w:val="15"/>
                <w:szCs w:val="15"/>
                <w:color w:val="auto"/>
              </w:rPr>
            </w:pPr>
          </w:p>
        </w:tc>
        <w:tc>
          <w:tcPr>
            <w:tcW w:w="26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7"/>
              </w:rPr>
              <w:t>Nine months ended</w:t>
            </w:r>
          </w:p>
        </w:tc>
      </w:tr>
      <w:tr>
        <w:trPr>
          <w:trHeight w:val="217"/>
        </w:trPr>
        <w:tc>
          <w:tcPr>
            <w:tcW w:w="8820" w:type="dxa"/>
            <w:vAlign w:val="bottom"/>
          </w:tcPr>
          <w:p>
            <w:pPr>
              <w:spacing w:after="0"/>
              <w:rPr>
                <w:sz w:val="18"/>
                <w:szCs w:val="18"/>
                <w:color w:val="auto"/>
              </w:rPr>
            </w:pPr>
          </w:p>
        </w:tc>
        <w:tc>
          <w:tcPr>
            <w:tcW w:w="1740" w:type="dxa"/>
            <w:vAlign w:val="bottom"/>
            <w:tcBorders>
              <w:bottom w:val="single" w:sz="8" w:color="auto"/>
            </w:tcBorders>
            <w:gridSpan w:val="3"/>
          </w:tcPr>
          <w:p>
            <w:pPr>
              <w:jc w:val="center"/>
              <w:ind w:left="703"/>
              <w:spacing w:after="0"/>
              <w:rPr>
                <w:sz w:val="20"/>
                <w:szCs w:val="20"/>
                <w:color w:val="auto"/>
              </w:rPr>
            </w:pPr>
            <w:r>
              <w:rPr>
                <w:rFonts w:ascii="Arial" w:cs="Arial" w:eastAsia="Arial" w:hAnsi="Arial"/>
                <w:sz w:val="14"/>
                <w:szCs w:val="14"/>
                <w:b w:val="1"/>
                <w:bCs w:val="1"/>
                <w:color w:val="auto"/>
                <w:w w:val="87"/>
              </w:rPr>
              <w:t>September 30,</w:t>
            </w:r>
          </w:p>
        </w:tc>
        <w:tc>
          <w:tcPr>
            <w:tcW w:w="7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33"/>
        </w:trPr>
        <w:tc>
          <w:tcPr>
            <w:tcW w:w="8820" w:type="dxa"/>
            <w:vAlign w:val="bottom"/>
          </w:tcPr>
          <w:p>
            <w:pPr>
              <w:spacing w:after="0"/>
              <w:rPr>
                <w:sz w:val="20"/>
                <w:szCs w:val="20"/>
                <w:color w:val="auto"/>
              </w:rPr>
            </w:pPr>
          </w:p>
        </w:tc>
        <w:tc>
          <w:tcPr>
            <w:tcW w:w="110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20"/>
                <w:szCs w:val="20"/>
                <w:color w:val="auto"/>
              </w:rPr>
            </w:pPr>
          </w:p>
        </w:tc>
      </w:tr>
      <w:tr>
        <w:trPr>
          <w:trHeight w:val="228"/>
        </w:trPr>
        <w:tc>
          <w:tcPr>
            <w:tcW w:w="88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03"/>
        </w:trPr>
        <w:tc>
          <w:tcPr>
            <w:tcW w:w="8820" w:type="dxa"/>
            <w:vAlign w:val="bottom"/>
            <w:shd w:val="clear" w:color="auto" w:fill="CCEEFF"/>
          </w:tcPr>
          <w:p>
            <w:pPr>
              <w:spacing w:after="0"/>
              <w:rPr>
                <w:sz w:val="20"/>
                <w:szCs w:val="20"/>
                <w:color w:val="auto"/>
              </w:rPr>
            </w:pPr>
            <w:r>
              <w:rPr>
                <w:rFonts w:ascii="Arial" w:cs="Arial" w:eastAsia="Arial" w:hAnsi="Arial"/>
                <w:sz w:val="16"/>
                <w:szCs w:val="16"/>
                <w:color w:val="auto"/>
              </w:rPr>
              <w:t>Dividend Yield</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2.87%</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na</w:t>
            </w:r>
          </w:p>
        </w:tc>
      </w:tr>
      <w:tr>
        <w:trPr>
          <w:trHeight w:val="203"/>
        </w:trPr>
        <w:tc>
          <w:tcPr>
            <w:tcW w:w="8820" w:type="dxa"/>
            <w:vAlign w:val="bottom"/>
          </w:tcPr>
          <w:p>
            <w:pPr>
              <w:spacing w:after="0"/>
              <w:rPr>
                <w:sz w:val="20"/>
                <w:szCs w:val="20"/>
                <w:color w:val="auto"/>
              </w:rPr>
            </w:pPr>
            <w:r>
              <w:rPr>
                <w:rFonts w:ascii="Arial" w:cs="Arial" w:eastAsia="Arial" w:hAnsi="Arial"/>
                <w:sz w:val="16"/>
                <w:szCs w:val="16"/>
                <w:color w:val="auto"/>
              </w:rPr>
              <w:t>Volatility</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36.11%</w:t>
            </w:r>
          </w:p>
        </w:tc>
        <w:tc>
          <w:tcPr>
            <w:tcW w:w="360" w:type="dxa"/>
            <w:vAlign w:val="bottom"/>
          </w:tcPr>
          <w:p>
            <w:pPr>
              <w:spacing w:after="0"/>
              <w:rPr>
                <w:sz w:val="17"/>
                <w:szCs w:val="17"/>
                <w:color w:val="auto"/>
              </w:rPr>
            </w:pPr>
          </w:p>
        </w:tc>
        <w:tc>
          <w:tcPr>
            <w:tcW w:w="860" w:type="dxa"/>
            <w:vAlign w:val="bottom"/>
            <w:gridSpan w:val="2"/>
          </w:tcPr>
          <w:p>
            <w:pPr>
              <w:ind w:left="580"/>
              <w:spacing w:after="0"/>
              <w:rPr>
                <w:sz w:val="20"/>
                <w:szCs w:val="20"/>
                <w:color w:val="auto"/>
              </w:rPr>
            </w:pPr>
            <w:r>
              <w:rPr>
                <w:rFonts w:ascii="Arial" w:cs="Arial" w:eastAsia="Arial" w:hAnsi="Arial"/>
                <w:sz w:val="16"/>
                <w:szCs w:val="16"/>
                <w:color w:val="auto"/>
              </w:rPr>
              <w:t>na</w:t>
            </w:r>
          </w:p>
        </w:tc>
      </w:tr>
      <w:tr>
        <w:trPr>
          <w:trHeight w:val="203"/>
        </w:trPr>
        <w:tc>
          <w:tcPr>
            <w:tcW w:w="8820" w:type="dxa"/>
            <w:vAlign w:val="bottom"/>
            <w:shd w:val="clear" w:color="auto" w:fill="CCEEFF"/>
          </w:tcPr>
          <w:p>
            <w:pPr>
              <w:spacing w:after="0"/>
              <w:rPr>
                <w:sz w:val="20"/>
                <w:szCs w:val="20"/>
                <w:color w:val="auto"/>
              </w:rPr>
            </w:pPr>
            <w:r>
              <w:rPr>
                <w:rFonts w:ascii="Arial" w:cs="Arial" w:eastAsia="Arial" w:hAnsi="Arial"/>
                <w:sz w:val="16"/>
                <w:szCs w:val="16"/>
                <w:color w:val="auto"/>
              </w:rPr>
              <w:t>Risk-Free Interest Rate</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1.61%</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na</w:t>
            </w:r>
          </w:p>
        </w:tc>
      </w:tr>
      <w:tr>
        <w:trPr>
          <w:trHeight w:val="209"/>
        </w:trPr>
        <w:tc>
          <w:tcPr>
            <w:tcW w:w="8820" w:type="dxa"/>
            <w:vAlign w:val="bottom"/>
          </w:tcPr>
          <w:p>
            <w:pPr>
              <w:spacing w:after="0"/>
              <w:rPr>
                <w:sz w:val="20"/>
                <w:szCs w:val="20"/>
                <w:color w:val="auto"/>
              </w:rPr>
            </w:pPr>
            <w:r>
              <w:rPr>
                <w:rFonts w:ascii="Arial" w:cs="Arial" w:eastAsia="Arial" w:hAnsi="Arial"/>
                <w:sz w:val="16"/>
                <w:szCs w:val="16"/>
                <w:color w:val="auto"/>
              </w:rPr>
              <w:t>Expected Life</w:t>
            </w:r>
          </w:p>
        </w:tc>
        <w:tc>
          <w:tcPr>
            <w:tcW w:w="1740" w:type="dxa"/>
            <w:vAlign w:val="bottom"/>
            <w:gridSpan w:val="3"/>
          </w:tcPr>
          <w:p>
            <w:pPr>
              <w:ind w:left="420"/>
              <w:spacing w:after="0"/>
              <w:rPr>
                <w:sz w:val="20"/>
                <w:szCs w:val="20"/>
                <w:color w:val="auto"/>
              </w:rPr>
            </w:pPr>
            <w:r>
              <w:rPr>
                <w:rFonts w:ascii="Arial" w:cs="Arial" w:eastAsia="Arial" w:hAnsi="Arial"/>
                <w:sz w:val="16"/>
                <w:szCs w:val="16"/>
                <w:color w:val="auto"/>
              </w:rPr>
              <w:t>3.25 years</w:t>
            </w:r>
          </w:p>
        </w:tc>
        <w:tc>
          <w:tcPr>
            <w:tcW w:w="860" w:type="dxa"/>
            <w:vAlign w:val="bottom"/>
            <w:gridSpan w:val="2"/>
          </w:tcPr>
          <w:p>
            <w:pPr>
              <w:ind w:left="580"/>
              <w:spacing w:after="0"/>
              <w:rPr>
                <w:sz w:val="20"/>
                <w:szCs w:val="20"/>
                <w:color w:val="auto"/>
              </w:rPr>
            </w:pPr>
            <w:r>
              <w:rPr>
                <w:rFonts w:ascii="Arial" w:cs="Arial" w:eastAsia="Arial" w:hAnsi="Arial"/>
                <w:sz w:val="16"/>
                <w:szCs w:val="16"/>
                <w:color w:val="auto"/>
              </w:rPr>
              <w:t>na</w:t>
            </w:r>
          </w:p>
        </w:tc>
      </w:tr>
    </w:tbl>
    <w:p>
      <w:pPr>
        <w:spacing w:after="0" w:line="391"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The Black-Scholes Option Valuation Model was developed for use in estimating the fair value of traded options, which have no vesting restrictions and are fully transferable. In addition, option valuation models require the input of highly subjective assumptions including the expected stock price volatility. Because the Company’s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our stock options.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A summary of stock option activity under the Company’s 2014 Plan for the nine months ended September 30, 2019 is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5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2"/>
          </w:tcPr>
          <w:p>
            <w:pPr>
              <w:jc w:val="center"/>
              <w:ind w:right="320"/>
              <w:spacing w:after="0" w:line="152" w:lineRule="exact"/>
              <w:rPr>
                <w:sz w:val="20"/>
                <w:szCs w:val="20"/>
                <w:color w:val="auto"/>
              </w:rPr>
            </w:pPr>
            <w:r>
              <w:rPr>
                <w:rFonts w:ascii="Arial" w:cs="Arial" w:eastAsia="Arial" w:hAnsi="Arial"/>
                <w:sz w:val="14"/>
                <w:szCs w:val="14"/>
                <w:b w:val="1"/>
                <w:bCs w:val="1"/>
                <w:color w:val="auto"/>
                <w:w w:val="88"/>
              </w:rPr>
              <w:t>Weighted</w:t>
            </w:r>
          </w:p>
        </w:tc>
        <w:tc>
          <w:tcPr>
            <w:tcW w:w="1240" w:type="dxa"/>
            <w:vAlign w:val="bottom"/>
            <w:gridSpan w:val="2"/>
          </w:tcPr>
          <w:p>
            <w:pPr>
              <w:jc w:val="center"/>
              <w:ind w:right="120"/>
              <w:spacing w:after="0" w:line="152" w:lineRule="exact"/>
              <w:rPr>
                <w:sz w:val="20"/>
                <w:szCs w:val="20"/>
                <w:color w:val="auto"/>
              </w:rPr>
            </w:pPr>
            <w:r>
              <w:rPr>
                <w:rFonts w:ascii="Arial" w:cs="Arial" w:eastAsia="Arial" w:hAnsi="Arial"/>
                <w:sz w:val="14"/>
                <w:szCs w:val="14"/>
                <w:b w:val="1"/>
                <w:bCs w:val="1"/>
                <w:color w:val="auto"/>
                <w:w w:val="86"/>
              </w:rPr>
              <w:t>Average</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960" w:type="dxa"/>
            <w:vAlign w:val="bottom"/>
            <w:vMerge w:val="restart"/>
          </w:tcPr>
          <w:p>
            <w:pPr>
              <w:ind w:left="2500"/>
              <w:spacing w:after="0"/>
              <w:rPr>
                <w:sz w:val="20"/>
                <w:szCs w:val="20"/>
                <w:color w:val="auto"/>
              </w:rPr>
            </w:pPr>
            <w:r>
              <w:rPr>
                <w:rFonts w:ascii="Arial" w:cs="Arial" w:eastAsia="Arial" w:hAnsi="Arial"/>
                <w:sz w:val="16"/>
                <w:szCs w:val="16"/>
                <w:color w:val="auto"/>
              </w:rPr>
              <w:t>Stock Options</w:t>
            </w: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3"/>
          </w:tcPr>
          <w:p>
            <w:pPr>
              <w:jc w:val="center"/>
              <w:ind w:right="260"/>
              <w:spacing w:after="0" w:line="152" w:lineRule="exact"/>
              <w:rPr>
                <w:sz w:val="20"/>
                <w:szCs w:val="20"/>
                <w:color w:val="auto"/>
              </w:rPr>
            </w:pPr>
            <w:r>
              <w:rPr>
                <w:rFonts w:ascii="Arial" w:cs="Arial" w:eastAsia="Arial" w:hAnsi="Arial"/>
                <w:sz w:val="14"/>
                <w:szCs w:val="14"/>
                <w:b w:val="1"/>
                <w:bCs w:val="1"/>
                <w:color w:val="auto"/>
                <w:w w:val="87"/>
              </w:rPr>
              <w:t>Average Exercise</w:t>
            </w:r>
          </w:p>
        </w:tc>
        <w:tc>
          <w:tcPr>
            <w:tcW w:w="1240" w:type="dxa"/>
            <w:vAlign w:val="bottom"/>
            <w:gridSpan w:val="2"/>
          </w:tcPr>
          <w:p>
            <w:pPr>
              <w:jc w:val="center"/>
              <w:ind w:right="140"/>
              <w:spacing w:after="0" w:line="152" w:lineRule="exact"/>
              <w:rPr>
                <w:sz w:val="20"/>
                <w:szCs w:val="20"/>
                <w:color w:val="auto"/>
              </w:rPr>
            </w:pPr>
            <w:r>
              <w:rPr>
                <w:rFonts w:ascii="Arial" w:cs="Arial" w:eastAsia="Arial" w:hAnsi="Arial"/>
                <w:sz w:val="14"/>
                <w:szCs w:val="14"/>
                <w:b w:val="1"/>
                <w:bCs w:val="1"/>
                <w:color w:val="auto"/>
                <w:w w:val="92"/>
              </w:rPr>
              <w:t>Remaining</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360"/>
              <w:spacing w:after="0" w:line="152" w:lineRule="exact"/>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71"/>
        </w:trPr>
        <w:tc>
          <w:tcPr>
            <w:tcW w:w="59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7"/>
              </w:rPr>
              <w:t>Number of Shares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Price per Share</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Contractual Term</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1"/>
              </w:rPr>
              <w:t>Intrinsic Value</w:t>
            </w:r>
          </w:p>
        </w:tc>
        <w:tc>
          <w:tcPr>
            <w:tcW w:w="0" w:type="dxa"/>
            <w:vAlign w:val="bottom"/>
          </w:tcPr>
          <w:p>
            <w:pPr>
              <w:spacing w:after="0"/>
              <w:rPr>
                <w:sz w:val="1"/>
                <w:szCs w:val="1"/>
                <w:color w:val="auto"/>
              </w:rPr>
            </w:pPr>
          </w:p>
        </w:tc>
      </w:tr>
      <w:tr>
        <w:trPr>
          <w:trHeight w:val="228"/>
        </w:trPr>
        <w:tc>
          <w:tcPr>
            <w:tcW w:w="59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Outstanding at January 1, 2019</w:t>
            </w:r>
          </w:p>
        </w:tc>
        <w:tc>
          <w:tcPr>
            <w:tcW w:w="14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37,500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8.36</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2.24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349,950</w:t>
            </w:r>
          </w:p>
        </w:tc>
        <w:tc>
          <w:tcPr>
            <w:tcW w:w="0" w:type="dxa"/>
            <w:vAlign w:val="bottom"/>
          </w:tcPr>
          <w:p>
            <w:pPr>
              <w:spacing w:after="0"/>
              <w:rPr>
                <w:sz w:val="1"/>
                <w:szCs w:val="1"/>
                <w:color w:val="auto"/>
              </w:rPr>
            </w:pPr>
          </w:p>
        </w:tc>
      </w:tr>
      <w:tr>
        <w:trPr>
          <w:trHeight w:val="203"/>
        </w:trPr>
        <w:tc>
          <w:tcPr>
            <w:tcW w:w="5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Granted</w:t>
            </w:r>
          </w:p>
        </w:tc>
        <w:tc>
          <w:tcPr>
            <w:tcW w:w="14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50,000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8.72</w:t>
            </w: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960" w:type="dxa"/>
            <w:vAlign w:val="bottom"/>
          </w:tcPr>
          <w:p>
            <w:pPr>
              <w:spacing w:after="0"/>
              <w:rPr>
                <w:sz w:val="20"/>
                <w:szCs w:val="20"/>
                <w:color w:val="auto"/>
              </w:rPr>
            </w:pPr>
            <w:r>
              <w:rPr>
                <w:rFonts w:ascii="Arial" w:cs="Arial" w:eastAsia="Arial" w:hAnsi="Arial"/>
                <w:sz w:val="16"/>
                <w:szCs w:val="16"/>
                <w:color w:val="auto"/>
              </w:rPr>
              <w:t>Exercised</w:t>
            </w:r>
          </w:p>
        </w:tc>
        <w:tc>
          <w:tcPr>
            <w:tcW w:w="1400" w:type="dxa"/>
            <w:vAlign w:val="bottom"/>
            <w:gridSpan w:val="3"/>
          </w:tcPr>
          <w:p>
            <w:pPr>
              <w:jc w:val="right"/>
              <w:ind w:right="120"/>
              <w:spacing w:after="0"/>
              <w:rPr>
                <w:sz w:val="20"/>
                <w:szCs w:val="20"/>
                <w:color w:val="auto"/>
              </w:rPr>
            </w:pPr>
            <w:r>
              <w:rPr>
                <w:rFonts w:ascii="Arial" w:cs="Arial" w:eastAsia="Arial" w:hAnsi="Arial"/>
                <w:sz w:val="16"/>
                <w:szCs w:val="16"/>
                <w:color w:val="auto"/>
              </w:rPr>
              <w:t>(3,000)</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7.85</w:t>
            </w: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6,270</w:t>
            </w:r>
          </w:p>
        </w:tc>
        <w:tc>
          <w:tcPr>
            <w:tcW w:w="0" w:type="dxa"/>
            <w:vAlign w:val="bottom"/>
          </w:tcPr>
          <w:p>
            <w:pPr>
              <w:spacing w:after="0"/>
              <w:rPr>
                <w:sz w:val="1"/>
                <w:szCs w:val="1"/>
                <w:color w:val="auto"/>
              </w:rPr>
            </w:pPr>
          </w:p>
        </w:tc>
      </w:tr>
      <w:tr>
        <w:trPr>
          <w:trHeight w:val="208"/>
        </w:trPr>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Forfeited</w:t>
            </w:r>
          </w:p>
        </w:tc>
        <w:tc>
          <w:tcPr>
            <w:tcW w:w="14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(2,500)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7.85</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2.04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13,588</w:t>
            </w:r>
          </w:p>
        </w:tc>
        <w:tc>
          <w:tcPr>
            <w:tcW w:w="0" w:type="dxa"/>
            <w:vAlign w:val="bottom"/>
          </w:tcPr>
          <w:p>
            <w:pPr>
              <w:spacing w:after="0"/>
              <w:rPr>
                <w:sz w:val="1"/>
                <w:szCs w:val="1"/>
                <w:color w:val="auto"/>
              </w:rPr>
            </w:pPr>
          </w:p>
        </w:tc>
      </w:tr>
      <w:tr>
        <w:trPr>
          <w:trHeight w:val="203"/>
        </w:trPr>
        <w:tc>
          <w:tcPr>
            <w:tcW w:w="59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Outstanding at September 30, 2019</w:t>
            </w:r>
          </w:p>
        </w:tc>
        <w:tc>
          <w:tcPr>
            <w:tcW w:w="14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82,000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8.61</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3.63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11,390</w:t>
            </w:r>
          </w:p>
        </w:tc>
        <w:tc>
          <w:tcPr>
            <w:tcW w:w="0" w:type="dxa"/>
            <w:vAlign w:val="bottom"/>
          </w:tcPr>
          <w:p>
            <w:pPr>
              <w:spacing w:after="0"/>
              <w:rPr>
                <w:sz w:val="1"/>
                <w:szCs w:val="1"/>
                <w:color w:val="auto"/>
              </w:rPr>
            </w:pPr>
          </w:p>
        </w:tc>
      </w:tr>
      <w:tr>
        <w:trPr>
          <w:trHeight w:val="193"/>
        </w:trPr>
        <w:tc>
          <w:tcPr>
            <w:tcW w:w="596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Vested and Exercisable at September 30, 2019</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50,000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8.45</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2.41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15,075</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The aggregate intrinsic value of options outstanding and options exercisable at September 30, 2019 is calculated as the difference between the exercise price of the underlying options and the market price of the Company’s Common Stock for the options that had exercise prices that were lower than the $8.52 closing price of the Company’s Common Stock on September 30, 2019. The total intrinsic value of options exercised during the nine months ended September 30, 2019 was $6,270, determined as of the date of exercise. The total intrinsic value of options forfeited during the nine months ended September 30, 2019 was $13,588, determined as of the date of forfeiture.</w:t>
      </w:r>
    </w:p>
    <w:p>
      <w:pPr>
        <w:spacing w:after="0" w:line="110"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Participants in the 2014 Plan may exercise their outstanding vested options, in whole or in part, by having the Company reduce the number of shares otherwise issuable by a number of shares having a fair market value equal to the exercise price of the option being exercised (“Net Exercise”), or by exchanging a number of shares owned for a period of greater than one year having a fair market value equal to the exercise price of the option being exercised (“Share Exchange”). The Company received cash proceeds of $23,552 from the exercise of options for the purchase of 3,000 shares of Common Stock during the nine months ended September 30, 2019. The Company received cash proceeds of $74,139 from the exercise of options for the purchase of 12,750 shares of Common Stock during the nine months ended September 30, 2018. The Company received 7,855 shares from the exercise of options under a Share Exchange for the purchase of 30,000 shares of Common Stock during the nine months ended September 30, 2018. The remaining 132,500 options exercised during the nine months ended September 30, 2018 were Net Exercises, resulting in the issuance of 54,231 shares of Common Stock.</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of September 30, 2019, the fair value of unamortized compensation cost related to unvested stock option awards was approximately $59,000. Unamortized compensation cost as of September 30, 2019 is expected to be recognized over a remaining weighted-average vesting period of 1.99 years.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2019, there were 390,338 shares reserved for grants under the 2014 Plan.</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485" w:right="239" w:bottom="581" w:gutter="0" w:footer="0" w:header="0"/>
        </w:sectPr>
      </w:pPr>
    </w:p>
    <w:bookmarkStart w:id="31" w:name="page32"/>
    <w:bookmarkEnd w:id="31"/>
    <w:p>
      <w:pPr>
        <w:spacing w:after="0"/>
        <w:rPr>
          <w:sz w:val="20"/>
          <w:szCs w:val="20"/>
          <w:color w:val="auto"/>
        </w:rPr>
      </w:pPr>
      <w:r>
        <w:rPr>
          <w:rFonts w:ascii="Arial" w:cs="Arial" w:eastAsia="Arial" w:hAnsi="Arial"/>
          <w:sz w:val="16"/>
          <w:szCs w:val="16"/>
          <w:u w:val="single" w:color="auto"/>
          <w:color w:val="auto"/>
        </w:rPr>
        <w:t>Restricted Stock Awards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restricted common stock activity under the Company’s 2014 Plan for the nine months ended September 30, 2019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74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220"/>
              <w:spacing w:after="0" w:line="152" w:lineRule="exact"/>
              <w:rPr>
                <w:sz w:val="20"/>
                <w:szCs w:val="20"/>
                <w:color w:val="auto"/>
              </w:rPr>
            </w:pPr>
            <w:r>
              <w:rPr>
                <w:rFonts w:ascii="Arial" w:cs="Arial" w:eastAsia="Arial" w:hAnsi="Arial"/>
                <w:sz w:val="14"/>
                <w:szCs w:val="14"/>
                <w:b w:val="1"/>
                <w:bCs w:val="1"/>
                <w:color w:val="auto"/>
                <w:w w:val="91"/>
              </w:rPr>
              <w:t>Average Grant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7460" w:type="dxa"/>
            <w:vAlign w:val="bottom"/>
            <w:vMerge w:val="restart"/>
          </w:tcPr>
          <w:p>
            <w:pPr>
              <w:ind w:left="2860"/>
              <w:spacing w:after="0"/>
              <w:rPr>
                <w:sz w:val="20"/>
                <w:szCs w:val="20"/>
                <w:color w:val="auto"/>
              </w:rPr>
            </w:pPr>
            <w:r>
              <w:rPr>
                <w:rFonts w:ascii="Arial" w:cs="Arial" w:eastAsia="Arial" w:hAnsi="Arial"/>
                <w:sz w:val="16"/>
                <w:szCs w:val="16"/>
                <w:color w:val="auto"/>
              </w:rPr>
              <w:t>Restricted Stock Awards</w:t>
            </w: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3"/>
          </w:tcPr>
          <w:p>
            <w:pPr>
              <w:jc w:val="center"/>
              <w:ind w:right="140"/>
              <w:spacing w:after="0" w:line="152" w:lineRule="exact"/>
              <w:rPr>
                <w:sz w:val="20"/>
                <w:szCs w:val="20"/>
                <w:color w:val="auto"/>
              </w:rPr>
            </w:pPr>
            <w:r>
              <w:rPr>
                <w:rFonts w:ascii="Arial" w:cs="Arial" w:eastAsia="Arial" w:hAnsi="Arial"/>
                <w:sz w:val="14"/>
                <w:szCs w:val="14"/>
                <w:b w:val="1"/>
                <w:bCs w:val="1"/>
                <w:color w:val="auto"/>
                <w:w w:val="92"/>
              </w:rPr>
              <w:t>Date Fair Value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220"/>
              <w:spacing w:after="0" w:line="152" w:lineRule="exact"/>
              <w:rPr>
                <w:sz w:val="20"/>
                <w:szCs w:val="20"/>
                <w:color w:val="auto"/>
              </w:rPr>
            </w:pPr>
            <w:r>
              <w:rPr>
                <w:rFonts w:ascii="Arial" w:cs="Arial" w:eastAsia="Arial" w:hAnsi="Arial"/>
                <w:sz w:val="14"/>
                <w:szCs w:val="14"/>
                <w:b w:val="1"/>
                <w:bCs w:val="1"/>
                <w:color w:val="auto"/>
                <w:w w:val="89"/>
              </w:rPr>
              <w:t>Aggregate Fair</w:t>
            </w:r>
          </w:p>
        </w:tc>
        <w:tc>
          <w:tcPr>
            <w:tcW w:w="0" w:type="dxa"/>
            <w:vAlign w:val="bottom"/>
          </w:tcPr>
          <w:p>
            <w:pPr>
              <w:spacing w:after="0"/>
              <w:rPr>
                <w:sz w:val="1"/>
                <w:szCs w:val="1"/>
                <w:color w:val="auto"/>
              </w:rPr>
            </w:pPr>
          </w:p>
        </w:tc>
      </w:tr>
      <w:tr>
        <w:trPr>
          <w:trHeight w:val="171"/>
        </w:trPr>
        <w:tc>
          <w:tcPr>
            <w:tcW w:w="7460" w:type="dxa"/>
            <w:vAlign w:val="bottom"/>
            <w:tcBorders>
              <w:bottom w:val="single" w:sz="8" w:color="auto"/>
            </w:tcBorders>
            <w:vMerge w:val="continue"/>
          </w:tcPr>
          <w:p>
            <w:pPr>
              <w:spacing w:after="0"/>
              <w:rPr>
                <w:sz w:val="14"/>
                <w:szCs w:val="14"/>
                <w:color w:val="auto"/>
              </w:rPr>
            </w:pPr>
          </w:p>
        </w:tc>
        <w:tc>
          <w:tcPr>
            <w:tcW w:w="126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9"/>
              </w:rPr>
              <w:t>per Share</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8"/>
        </w:trPr>
        <w:tc>
          <w:tcPr>
            <w:tcW w:w="7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460" w:type="dxa"/>
            <w:vAlign w:val="bottom"/>
            <w:shd w:val="clear" w:color="auto" w:fill="CCEEFF"/>
          </w:tcPr>
          <w:p>
            <w:pPr>
              <w:spacing w:after="0"/>
              <w:rPr>
                <w:sz w:val="20"/>
                <w:szCs w:val="20"/>
                <w:color w:val="auto"/>
              </w:rPr>
            </w:pPr>
            <w:r>
              <w:rPr>
                <w:rFonts w:ascii="Arial" w:cs="Arial" w:eastAsia="Arial" w:hAnsi="Arial"/>
                <w:sz w:val="16"/>
                <w:szCs w:val="16"/>
                <w:color w:val="auto"/>
              </w:rPr>
              <w:t>Balance at January 1, 2019</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120,499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17.66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2,129,175</w:t>
            </w:r>
          </w:p>
        </w:tc>
        <w:tc>
          <w:tcPr>
            <w:tcW w:w="0" w:type="dxa"/>
            <w:vAlign w:val="bottom"/>
          </w:tcPr>
          <w:p>
            <w:pPr>
              <w:spacing w:after="0"/>
              <w:rPr>
                <w:sz w:val="1"/>
                <w:szCs w:val="1"/>
                <w:color w:val="auto"/>
              </w:rPr>
            </w:pPr>
          </w:p>
        </w:tc>
      </w:tr>
      <w:tr>
        <w:trPr>
          <w:trHeight w:val="203"/>
        </w:trPr>
        <w:tc>
          <w:tcPr>
            <w:tcW w:w="7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60" w:type="dxa"/>
            <w:vAlign w:val="bottom"/>
            <w:shd w:val="clear" w:color="auto" w:fill="CCEEFF"/>
          </w:tcPr>
          <w:p>
            <w:pPr>
              <w:spacing w:after="0"/>
              <w:rPr>
                <w:sz w:val="20"/>
                <w:szCs w:val="20"/>
                <w:color w:val="auto"/>
              </w:rPr>
            </w:pPr>
            <w:r>
              <w:rPr>
                <w:rFonts w:ascii="Arial" w:cs="Arial" w:eastAsia="Arial" w:hAnsi="Arial"/>
                <w:sz w:val="16"/>
                <w:szCs w:val="16"/>
                <w:color w:val="auto"/>
              </w:rPr>
              <w:t>Granted</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120,586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15.51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1,870,487</w:t>
            </w:r>
          </w:p>
        </w:tc>
        <w:tc>
          <w:tcPr>
            <w:tcW w:w="0" w:type="dxa"/>
            <w:vAlign w:val="bottom"/>
          </w:tcPr>
          <w:p>
            <w:pPr>
              <w:spacing w:after="0"/>
              <w:rPr>
                <w:sz w:val="1"/>
                <w:szCs w:val="1"/>
                <w:color w:val="auto"/>
              </w:rPr>
            </w:pPr>
          </w:p>
        </w:tc>
      </w:tr>
      <w:tr>
        <w:trPr>
          <w:trHeight w:val="203"/>
        </w:trPr>
        <w:tc>
          <w:tcPr>
            <w:tcW w:w="7460" w:type="dxa"/>
            <w:vAlign w:val="bottom"/>
          </w:tcPr>
          <w:p>
            <w:pPr>
              <w:spacing w:after="0"/>
              <w:rPr>
                <w:sz w:val="20"/>
                <w:szCs w:val="20"/>
                <w:color w:val="auto"/>
              </w:rPr>
            </w:pPr>
            <w:r>
              <w:rPr>
                <w:rFonts w:ascii="Arial" w:cs="Arial" w:eastAsia="Arial" w:hAnsi="Arial"/>
                <w:sz w:val="16"/>
                <w:szCs w:val="16"/>
                <w:color w:val="auto"/>
              </w:rPr>
              <w:t>Vested</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(44,410)</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17.18</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(763,103)</w:t>
            </w:r>
          </w:p>
        </w:tc>
        <w:tc>
          <w:tcPr>
            <w:tcW w:w="0" w:type="dxa"/>
            <w:vAlign w:val="bottom"/>
          </w:tcPr>
          <w:p>
            <w:pPr>
              <w:spacing w:after="0"/>
              <w:rPr>
                <w:sz w:val="1"/>
                <w:szCs w:val="1"/>
                <w:color w:val="auto"/>
              </w:rPr>
            </w:pPr>
          </w:p>
        </w:tc>
      </w:tr>
      <w:tr>
        <w:trPr>
          <w:trHeight w:val="208"/>
        </w:trPr>
        <w:tc>
          <w:tcPr>
            <w:tcW w:w="7460" w:type="dxa"/>
            <w:vAlign w:val="bottom"/>
            <w:shd w:val="clear" w:color="auto" w:fill="CCEEFF"/>
          </w:tcPr>
          <w:p>
            <w:pPr>
              <w:spacing w:after="0"/>
              <w:rPr>
                <w:sz w:val="20"/>
                <w:szCs w:val="20"/>
                <w:color w:val="auto"/>
              </w:rPr>
            </w:pPr>
            <w:r>
              <w:rPr>
                <w:rFonts w:ascii="Arial" w:cs="Arial" w:eastAsia="Arial" w:hAnsi="Arial"/>
                <w:sz w:val="16"/>
                <w:szCs w:val="16"/>
                <w:color w:val="auto"/>
              </w:rPr>
              <w:t>Forfeited</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(10,459)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15.79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(165,171)</w:t>
            </w:r>
          </w:p>
        </w:tc>
        <w:tc>
          <w:tcPr>
            <w:tcW w:w="0" w:type="dxa"/>
            <w:vAlign w:val="bottom"/>
          </w:tcPr>
          <w:p>
            <w:pPr>
              <w:spacing w:after="0"/>
              <w:rPr>
                <w:sz w:val="1"/>
                <w:szCs w:val="1"/>
                <w:color w:val="auto"/>
              </w:rPr>
            </w:pPr>
          </w:p>
        </w:tc>
      </w:tr>
      <w:tr>
        <w:trPr>
          <w:trHeight w:val="203"/>
        </w:trPr>
        <w:tc>
          <w:tcPr>
            <w:tcW w:w="746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460" w:type="dxa"/>
            <w:vAlign w:val="bottom"/>
            <w:shd w:val="clear" w:color="auto" w:fill="CCEEFF"/>
          </w:tcPr>
          <w:p>
            <w:pPr>
              <w:spacing w:after="0"/>
              <w:rPr>
                <w:sz w:val="20"/>
                <w:szCs w:val="20"/>
                <w:color w:val="auto"/>
              </w:rPr>
            </w:pPr>
            <w:r>
              <w:rPr>
                <w:rFonts w:ascii="Arial" w:cs="Arial" w:eastAsia="Arial" w:hAnsi="Arial"/>
                <w:sz w:val="16"/>
                <w:szCs w:val="16"/>
                <w:color w:val="auto"/>
              </w:rPr>
              <w:t>Balance at September 30, 2019</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186,216</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16.47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3,071,388</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Fair value was calculated using the closing price of the Company’s Common Stock on the grant date. For the three months ended September 30, 2019 and 2018, stock-based compensation for these grants was approximately $388,000 and $196,000, respectively, which is included in other operating expenses on the accompanying condensed consolidated statements of operations and comprehensive income (loss). For the nine months ended September 30, 2019 and 2018, stock-based compensation for these grants of approximately $1,096,000 and $477,000, respectively, for these grants is included in other operating expenses in the condensed consolidated statements of operations and comprehensive income (loss). These amounts reflect the Company’s accounting expense and do not correspond to the actual value that will be recognized by the directors, executives and employees.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color w:val="auto"/>
        </w:rPr>
        <w:t>Note 9 – Income Taxes</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The Company files a consolidated U.S. federal income tax return that includes all wholly owned subsidiaries. State tax returns are filed on a consolidated or separate return basis depending on applicable laws. The Company records adjustments related to prior years’ taxes during the period when they are identified, generally when the tax returns are filed. The effect of these adjustments on the current and prior periods (during which the differences originated) is evaluated based upon quantitative and qualitative factors and are considered in relation to the consolidated financial statements taken as a whole for the respective periods.</w:t>
      </w:r>
    </w:p>
    <w:p>
      <w:pPr>
        <w:spacing w:after="0" w:line="15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Deferred tax assets and liabilities are determined using the enacted tax rates applicable to the period the temporary differences are expected to be recovered. Accordingly, the current period income tax provision can be affected by the enactment of new tax rates. The net deferred income taxes on the balance sheets reflect temporary differences between the carrying amounts of the assets and liabilities for financial reporting purposes and income tax purposes, tax effected at various rates depending on whether the temporary differences are subject to federal taxes, state taxes, or both.</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Significant components of the Company’s deferred tax assets and liabilities are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9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September 30,</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217"/>
        </w:trPr>
        <w:tc>
          <w:tcPr>
            <w:tcW w:w="49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5"/>
        </w:trPr>
        <w:tc>
          <w:tcPr>
            <w:tcW w:w="4920" w:type="dxa"/>
            <w:vAlign w:val="bottom"/>
          </w:tcPr>
          <w:p>
            <w:pPr>
              <w:ind w:left="40"/>
              <w:spacing w:after="0"/>
              <w:rPr>
                <w:sz w:val="20"/>
                <w:szCs w:val="20"/>
                <w:color w:val="auto"/>
              </w:rPr>
            </w:pPr>
            <w:r>
              <w:rPr>
                <w:rFonts w:ascii="Arial" w:cs="Arial" w:eastAsia="Arial" w:hAnsi="Arial"/>
                <w:sz w:val="16"/>
                <w:szCs w:val="16"/>
                <w:color w:val="auto"/>
              </w:rPr>
              <w:t>Deferred tax asset:</w:t>
            </w:r>
          </w:p>
        </w:tc>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49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operating loss carryovers (1)</w:t>
            </w:r>
          </w:p>
        </w:tc>
        <w:tc>
          <w:tcPr>
            <w:tcW w:w="40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2,418,344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90,438</w:t>
            </w:r>
          </w:p>
        </w:tc>
        <w:tc>
          <w:tcPr>
            <w:tcW w:w="0" w:type="dxa"/>
            <w:vAlign w:val="bottom"/>
          </w:tcPr>
          <w:p>
            <w:pPr>
              <w:spacing w:after="0"/>
              <w:rPr>
                <w:sz w:val="1"/>
                <w:szCs w:val="1"/>
                <w:color w:val="auto"/>
              </w:rPr>
            </w:pPr>
          </w:p>
        </w:tc>
      </w:tr>
      <w:tr>
        <w:trPr>
          <w:trHeight w:val="203"/>
        </w:trPr>
        <w:tc>
          <w:tcPr>
            <w:tcW w:w="4920" w:type="dxa"/>
            <w:vAlign w:val="bottom"/>
          </w:tcPr>
          <w:p>
            <w:pPr>
              <w:ind w:left="200"/>
              <w:spacing w:after="0"/>
              <w:rPr>
                <w:sz w:val="20"/>
                <w:szCs w:val="20"/>
                <w:color w:val="auto"/>
              </w:rPr>
            </w:pPr>
            <w:r>
              <w:rPr>
                <w:rFonts w:ascii="Arial" w:cs="Arial" w:eastAsia="Arial" w:hAnsi="Arial"/>
                <w:sz w:val="16"/>
                <w:szCs w:val="16"/>
                <w:color w:val="auto"/>
              </w:rPr>
              <w:t>Claims reserve discount</w:t>
            </w:r>
          </w:p>
        </w:tc>
        <w:tc>
          <w:tcPr>
            <w:tcW w:w="3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526,114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343,905</w:t>
            </w:r>
          </w:p>
        </w:tc>
        <w:tc>
          <w:tcPr>
            <w:tcW w:w="0" w:type="dxa"/>
            <w:vAlign w:val="bottom"/>
          </w:tcPr>
          <w:p>
            <w:pPr>
              <w:spacing w:after="0"/>
              <w:rPr>
                <w:sz w:val="1"/>
                <w:szCs w:val="1"/>
                <w:color w:val="auto"/>
              </w:rPr>
            </w:pPr>
          </w:p>
        </w:tc>
      </w:tr>
      <w:tr>
        <w:trPr>
          <w:trHeight w:val="203"/>
        </w:trPr>
        <w:tc>
          <w:tcPr>
            <w:tcW w:w="49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Unearned premium</w:t>
            </w:r>
          </w:p>
        </w:tc>
        <w:tc>
          <w:tcPr>
            <w:tcW w:w="3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3,735,054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3,145,682</w:t>
            </w:r>
          </w:p>
        </w:tc>
        <w:tc>
          <w:tcPr>
            <w:tcW w:w="0" w:type="dxa"/>
            <w:vAlign w:val="bottom"/>
          </w:tcPr>
          <w:p>
            <w:pPr>
              <w:spacing w:after="0"/>
              <w:rPr>
                <w:sz w:val="1"/>
                <w:szCs w:val="1"/>
                <w:color w:val="auto"/>
              </w:rPr>
            </w:pPr>
          </w:p>
        </w:tc>
      </w:tr>
      <w:tr>
        <w:trPr>
          <w:trHeight w:val="203"/>
        </w:trPr>
        <w:tc>
          <w:tcPr>
            <w:tcW w:w="4920" w:type="dxa"/>
            <w:vAlign w:val="bottom"/>
          </w:tcPr>
          <w:p>
            <w:pPr>
              <w:ind w:left="200"/>
              <w:spacing w:after="0"/>
              <w:rPr>
                <w:sz w:val="20"/>
                <w:szCs w:val="20"/>
                <w:color w:val="auto"/>
              </w:rPr>
            </w:pPr>
            <w:r>
              <w:rPr>
                <w:rFonts w:ascii="Arial" w:cs="Arial" w:eastAsia="Arial" w:hAnsi="Arial"/>
                <w:sz w:val="16"/>
                <w:szCs w:val="16"/>
                <w:color w:val="auto"/>
              </w:rPr>
              <w:t>Deferred ceding commission revenue</w:t>
            </w:r>
          </w:p>
        </w:tc>
        <w:tc>
          <w:tcPr>
            <w:tcW w:w="3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384,063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564,202</w:t>
            </w:r>
          </w:p>
        </w:tc>
        <w:tc>
          <w:tcPr>
            <w:tcW w:w="0" w:type="dxa"/>
            <w:vAlign w:val="bottom"/>
          </w:tcPr>
          <w:p>
            <w:pPr>
              <w:spacing w:after="0"/>
              <w:rPr>
                <w:sz w:val="1"/>
                <w:szCs w:val="1"/>
                <w:color w:val="auto"/>
              </w:rPr>
            </w:pPr>
          </w:p>
        </w:tc>
      </w:tr>
      <w:tr>
        <w:trPr>
          <w:trHeight w:val="203"/>
        </w:trPr>
        <w:tc>
          <w:tcPr>
            <w:tcW w:w="49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3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680,204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383,733</w:t>
            </w:r>
          </w:p>
        </w:tc>
        <w:tc>
          <w:tcPr>
            <w:tcW w:w="0" w:type="dxa"/>
            <w:vAlign w:val="bottom"/>
          </w:tcPr>
          <w:p>
            <w:pPr>
              <w:spacing w:after="0"/>
              <w:rPr>
                <w:sz w:val="1"/>
                <w:szCs w:val="1"/>
                <w:color w:val="auto"/>
              </w:rPr>
            </w:pPr>
          </w:p>
        </w:tc>
      </w:tr>
      <w:tr>
        <w:trPr>
          <w:trHeight w:val="25"/>
        </w:trPr>
        <w:tc>
          <w:tcPr>
            <w:tcW w:w="4920" w:type="dxa"/>
            <w:vAlign w:val="bottom"/>
            <w:shd w:val="clear" w:color="auto" w:fill="CCEEFF"/>
          </w:tcPr>
          <w:p>
            <w:pPr>
              <w:spacing w:after="0"/>
              <w:rPr>
                <w:sz w:val="2"/>
                <w:szCs w:val="2"/>
                <w:color w:val="auto"/>
              </w:rPr>
            </w:pPr>
          </w:p>
        </w:tc>
        <w:tc>
          <w:tcPr>
            <w:tcW w:w="39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4920" w:type="dxa"/>
            <w:vAlign w:val="bottom"/>
          </w:tcPr>
          <w:p>
            <w:pPr>
              <w:ind w:left="40"/>
              <w:spacing w:after="0"/>
              <w:rPr>
                <w:sz w:val="20"/>
                <w:szCs w:val="20"/>
                <w:color w:val="auto"/>
              </w:rPr>
            </w:pPr>
            <w:r>
              <w:rPr>
                <w:rFonts w:ascii="Arial" w:cs="Arial" w:eastAsia="Arial" w:hAnsi="Arial"/>
                <w:sz w:val="16"/>
                <w:szCs w:val="16"/>
                <w:color w:val="auto"/>
              </w:rPr>
              <w:t>Total deferred tax assets</w:t>
            </w:r>
          </w:p>
        </w:tc>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7,743,779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4,527,960</w:t>
            </w:r>
          </w:p>
        </w:tc>
        <w:tc>
          <w:tcPr>
            <w:tcW w:w="0" w:type="dxa"/>
            <w:vAlign w:val="bottom"/>
          </w:tcPr>
          <w:p>
            <w:pPr>
              <w:spacing w:after="0"/>
              <w:rPr>
                <w:sz w:val="1"/>
                <w:szCs w:val="1"/>
                <w:color w:val="auto"/>
              </w:rPr>
            </w:pPr>
          </w:p>
        </w:tc>
      </w:tr>
      <w:tr>
        <w:trPr>
          <w:trHeight w:val="203"/>
        </w:trPr>
        <w:tc>
          <w:tcPr>
            <w:tcW w:w="4920" w:type="dxa"/>
            <w:vAlign w:val="bottom"/>
            <w:shd w:val="clear" w:color="auto" w:fill="CCEEFF"/>
          </w:tcPr>
          <w:p>
            <w:pPr>
              <w:spacing w:after="0"/>
              <w:rPr>
                <w:sz w:val="17"/>
                <w:szCs w:val="17"/>
                <w:color w:val="auto"/>
              </w:rPr>
            </w:pPr>
          </w:p>
        </w:tc>
        <w:tc>
          <w:tcPr>
            <w:tcW w:w="39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tcPr>
          <w:p>
            <w:pPr>
              <w:ind w:left="40"/>
              <w:spacing w:after="0"/>
              <w:rPr>
                <w:sz w:val="20"/>
                <w:szCs w:val="20"/>
                <w:color w:val="auto"/>
              </w:rPr>
            </w:pPr>
            <w:r>
              <w:rPr>
                <w:rFonts w:ascii="Arial" w:cs="Arial" w:eastAsia="Arial" w:hAnsi="Arial"/>
                <w:sz w:val="16"/>
                <w:szCs w:val="16"/>
                <w:color w:val="auto"/>
              </w:rPr>
              <w:t>Deferred tax liability:</w:t>
            </w:r>
          </w:p>
        </w:tc>
        <w:tc>
          <w:tcPr>
            <w:tcW w:w="3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Investment in KICO (2)</w:t>
            </w:r>
          </w:p>
        </w:tc>
        <w:tc>
          <w:tcPr>
            <w:tcW w:w="3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759,543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759,543</w:t>
            </w:r>
          </w:p>
        </w:tc>
        <w:tc>
          <w:tcPr>
            <w:tcW w:w="0" w:type="dxa"/>
            <w:vAlign w:val="bottom"/>
          </w:tcPr>
          <w:p>
            <w:pPr>
              <w:spacing w:after="0"/>
              <w:rPr>
                <w:sz w:val="1"/>
                <w:szCs w:val="1"/>
                <w:color w:val="auto"/>
              </w:rPr>
            </w:pPr>
          </w:p>
        </w:tc>
      </w:tr>
      <w:tr>
        <w:trPr>
          <w:trHeight w:val="203"/>
        </w:trPr>
        <w:tc>
          <w:tcPr>
            <w:tcW w:w="4920" w:type="dxa"/>
            <w:vAlign w:val="bottom"/>
          </w:tcPr>
          <w:p>
            <w:pPr>
              <w:ind w:left="200"/>
              <w:spacing w:after="0"/>
              <w:rPr>
                <w:sz w:val="20"/>
                <w:szCs w:val="20"/>
                <w:color w:val="auto"/>
              </w:rPr>
            </w:pPr>
            <w:r>
              <w:rPr>
                <w:rFonts w:ascii="Arial" w:cs="Arial" w:eastAsia="Arial" w:hAnsi="Arial"/>
                <w:sz w:val="16"/>
                <w:szCs w:val="16"/>
                <w:color w:val="auto"/>
              </w:rPr>
              <w:t>Deferred acquisition costs</w:t>
            </w:r>
          </w:p>
        </w:tc>
        <w:tc>
          <w:tcPr>
            <w:tcW w:w="3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4,303,229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3,760,625</w:t>
            </w:r>
          </w:p>
        </w:tc>
        <w:tc>
          <w:tcPr>
            <w:tcW w:w="0" w:type="dxa"/>
            <w:vAlign w:val="bottom"/>
          </w:tcPr>
          <w:p>
            <w:pPr>
              <w:spacing w:after="0"/>
              <w:rPr>
                <w:sz w:val="1"/>
                <w:szCs w:val="1"/>
                <w:color w:val="auto"/>
              </w:rPr>
            </w:pPr>
          </w:p>
        </w:tc>
      </w:tr>
      <w:tr>
        <w:trPr>
          <w:trHeight w:val="203"/>
        </w:trPr>
        <w:tc>
          <w:tcPr>
            <w:tcW w:w="49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Intangibles</w:t>
            </w:r>
          </w:p>
        </w:tc>
        <w:tc>
          <w:tcPr>
            <w:tcW w:w="3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105,000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140,700</w:t>
            </w:r>
          </w:p>
        </w:tc>
        <w:tc>
          <w:tcPr>
            <w:tcW w:w="0" w:type="dxa"/>
            <w:vAlign w:val="bottom"/>
          </w:tcPr>
          <w:p>
            <w:pPr>
              <w:spacing w:after="0"/>
              <w:rPr>
                <w:sz w:val="1"/>
                <w:szCs w:val="1"/>
                <w:color w:val="auto"/>
              </w:rPr>
            </w:pPr>
          </w:p>
        </w:tc>
      </w:tr>
      <w:tr>
        <w:trPr>
          <w:trHeight w:val="203"/>
        </w:trPr>
        <w:tc>
          <w:tcPr>
            <w:tcW w:w="492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3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515,487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664,194</w:t>
            </w:r>
          </w:p>
        </w:tc>
        <w:tc>
          <w:tcPr>
            <w:tcW w:w="0" w:type="dxa"/>
            <w:vAlign w:val="bottom"/>
          </w:tcPr>
          <w:p>
            <w:pPr>
              <w:spacing w:after="0"/>
              <w:rPr>
                <w:sz w:val="1"/>
                <w:szCs w:val="1"/>
                <w:color w:val="auto"/>
              </w:rPr>
            </w:pPr>
          </w:p>
        </w:tc>
      </w:tr>
      <w:tr>
        <w:trPr>
          <w:trHeight w:val="203"/>
        </w:trPr>
        <w:tc>
          <w:tcPr>
            <w:tcW w:w="49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unrealized gains (losses) of securities - available for sale</w:t>
            </w:r>
          </w:p>
        </w:tc>
        <w:tc>
          <w:tcPr>
            <w:tcW w:w="3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1,520,225</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(1,151,335)</w:t>
            </w:r>
          </w:p>
        </w:tc>
        <w:tc>
          <w:tcPr>
            <w:tcW w:w="0" w:type="dxa"/>
            <w:vAlign w:val="bottom"/>
          </w:tcPr>
          <w:p>
            <w:pPr>
              <w:spacing w:after="0"/>
              <w:rPr>
                <w:sz w:val="1"/>
                <w:szCs w:val="1"/>
                <w:color w:val="auto"/>
              </w:rPr>
            </w:pPr>
          </w:p>
        </w:tc>
      </w:tr>
      <w:tr>
        <w:trPr>
          <w:trHeight w:val="25"/>
        </w:trPr>
        <w:tc>
          <w:tcPr>
            <w:tcW w:w="4920" w:type="dxa"/>
            <w:vAlign w:val="bottom"/>
            <w:shd w:val="clear" w:color="auto" w:fill="CCEEFF"/>
          </w:tcPr>
          <w:p>
            <w:pPr>
              <w:spacing w:after="0"/>
              <w:rPr>
                <w:sz w:val="2"/>
                <w:szCs w:val="2"/>
                <w:color w:val="auto"/>
              </w:rPr>
            </w:pPr>
          </w:p>
        </w:tc>
        <w:tc>
          <w:tcPr>
            <w:tcW w:w="39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4920" w:type="dxa"/>
            <w:vAlign w:val="bottom"/>
          </w:tcPr>
          <w:p>
            <w:pPr>
              <w:ind w:left="40"/>
              <w:spacing w:after="0"/>
              <w:rPr>
                <w:sz w:val="20"/>
                <w:szCs w:val="20"/>
                <w:color w:val="auto"/>
              </w:rPr>
            </w:pPr>
            <w:r>
              <w:rPr>
                <w:rFonts w:ascii="Arial" w:cs="Arial" w:eastAsia="Arial" w:hAnsi="Arial"/>
                <w:sz w:val="16"/>
                <w:szCs w:val="16"/>
                <w:color w:val="auto"/>
              </w:rPr>
              <w:t>Total deferred tax liabilities</w:t>
            </w:r>
          </w:p>
        </w:tc>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7,203,484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4,173,727</w:t>
            </w:r>
          </w:p>
        </w:tc>
        <w:tc>
          <w:tcPr>
            <w:tcW w:w="0" w:type="dxa"/>
            <w:vAlign w:val="bottom"/>
          </w:tcPr>
          <w:p>
            <w:pPr>
              <w:spacing w:after="0"/>
              <w:rPr>
                <w:sz w:val="1"/>
                <w:szCs w:val="1"/>
                <w:color w:val="auto"/>
              </w:rPr>
            </w:pPr>
          </w:p>
        </w:tc>
      </w:tr>
      <w:tr>
        <w:trPr>
          <w:trHeight w:val="203"/>
        </w:trPr>
        <w:tc>
          <w:tcPr>
            <w:tcW w:w="4920" w:type="dxa"/>
            <w:vAlign w:val="bottom"/>
            <w:shd w:val="clear" w:color="auto" w:fill="CCEEFF"/>
          </w:tcPr>
          <w:p>
            <w:pPr>
              <w:spacing w:after="0"/>
              <w:rPr>
                <w:sz w:val="17"/>
                <w:szCs w:val="17"/>
                <w:color w:val="auto"/>
              </w:rPr>
            </w:pPr>
          </w:p>
        </w:tc>
        <w:tc>
          <w:tcPr>
            <w:tcW w:w="39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tcPr>
          <w:p>
            <w:pPr>
              <w:ind w:left="40"/>
              <w:spacing w:after="0"/>
              <w:rPr>
                <w:sz w:val="20"/>
                <w:szCs w:val="20"/>
                <w:color w:val="auto"/>
              </w:rPr>
            </w:pPr>
            <w:r>
              <w:rPr>
                <w:rFonts w:ascii="Arial" w:cs="Arial" w:eastAsia="Arial" w:hAnsi="Arial"/>
                <w:sz w:val="16"/>
                <w:szCs w:val="16"/>
                <w:color w:val="auto"/>
              </w:rPr>
              <w:t>Net deferred income tax asset</w:t>
            </w:r>
          </w:p>
        </w:tc>
        <w:tc>
          <w:tcPr>
            <w:tcW w:w="40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540,295</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354,233</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3900" w:type="dxa"/>
            <w:vAlign w:val="bottom"/>
            <w:vMerge w:val="restart"/>
          </w:tcPr>
          <w:p>
            <w:pPr>
              <w:jc w:val="right"/>
              <w:ind w:right="2938"/>
              <w:spacing w:after="0"/>
              <w:rPr>
                <w:sz w:val="20"/>
                <w:szCs w:val="20"/>
                <w:color w:val="auto"/>
              </w:rPr>
            </w:pPr>
            <w:r>
              <w:rPr>
                <w:rFonts w:ascii="Arial" w:cs="Arial" w:eastAsia="Arial" w:hAnsi="Arial"/>
                <w:sz w:val="16"/>
                <w:szCs w:val="16"/>
                <w:color w:val="auto"/>
              </w:rPr>
              <w:t>31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492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07" w:right="239" w:bottom="1440" w:gutter="0" w:footer="0" w:header="0"/>
        </w:sectPr>
      </w:pPr>
    </w:p>
    <w:bookmarkStart w:id="33" w:name="page34"/>
    <w:bookmarkEnd w:id="33"/>
    <w:p>
      <w:pPr>
        <w:spacing w:after="0"/>
        <w:rPr>
          <w:sz w:val="20"/>
          <w:szCs w:val="20"/>
          <w:color w:val="auto"/>
        </w:rPr>
      </w:pPr>
      <w:r>
        <w:rPr>
          <w:rFonts w:ascii="Arial" w:cs="Arial" w:eastAsia="Arial" w:hAnsi="Arial"/>
          <w:sz w:val="16"/>
          <w:szCs w:val="16"/>
          <w:color w:val="auto"/>
        </w:rPr>
        <w:t>(1) The deferred tax assets from net operating loss carryovers (“NOL”) are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200" w:type="dxa"/>
            <w:vAlign w:val="bottom"/>
            <w:vMerge w:val="restart"/>
          </w:tcPr>
          <w:p>
            <w:pPr>
              <w:ind w:left="2760"/>
              <w:spacing w:after="0"/>
              <w:rPr>
                <w:sz w:val="20"/>
                <w:szCs w:val="20"/>
                <w:color w:val="auto"/>
              </w:rPr>
            </w:pPr>
            <w:r>
              <w:rPr>
                <w:rFonts w:ascii="Arial" w:cs="Arial" w:eastAsia="Arial" w:hAnsi="Arial"/>
                <w:sz w:val="16"/>
                <w:szCs w:val="16"/>
                <w:b w:val="1"/>
                <w:bCs w:val="1"/>
                <w:color w:val="auto"/>
              </w:rPr>
              <w:t>Type of NOL</w:t>
            </w: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September 30,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December 31,</w:t>
            </w: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200" w:type="dxa"/>
            <w:vAlign w:val="bottom"/>
            <w:tcBorders>
              <w:bottom w:val="single" w:sz="8" w:color="auto"/>
            </w:tcBorders>
            <w:vMerge w:val="continue"/>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93"/>
              </w:rPr>
              <w:t>Expiration</w:t>
            </w:r>
          </w:p>
        </w:tc>
        <w:tc>
          <w:tcPr>
            <w:tcW w:w="0" w:type="dxa"/>
            <w:vAlign w:val="bottom"/>
          </w:tcPr>
          <w:p>
            <w:pPr>
              <w:spacing w:after="0"/>
              <w:rPr>
                <w:sz w:val="1"/>
                <w:szCs w:val="1"/>
                <w:color w:val="auto"/>
              </w:rPr>
            </w:pPr>
          </w:p>
        </w:tc>
      </w:tr>
      <w:tr>
        <w:trPr>
          <w:trHeight w:val="228"/>
        </w:trPr>
        <w:tc>
          <w:tcPr>
            <w:tcW w:w="5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Federal only, current year</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2,347,962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2060" w:type="dxa"/>
            <w:vAlign w:val="bottom"/>
            <w:shd w:val="clear" w:color="auto" w:fill="CCEEFF"/>
          </w:tcPr>
          <w:p>
            <w:pPr>
              <w:ind w:left="780"/>
              <w:spacing w:after="0"/>
              <w:rPr>
                <w:sz w:val="20"/>
                <w:szCs w:val="20"/>
                <w:color w:val="auto"/>
              </w:rPr>
            </w:pPr>
            <w:r>
              <w:rPr>
                <w:rFonts w:ascii="Arial" w:cs="Arial" w:eastAsia="Arial" w:hAnsi="Arial"/>
                <w:sz w:val="16"/>
                <w:szCs w:val="16"/>
                <w:color w:val="auto"/>
              </w:rPr>
              <w:t>None</w:t>
            </w:r>
          </w:p>
        </w:tc>
        <w:tc>
          <w:tcPr>
            <w:tcW w:w="0" w:type="dxa"/>
            <w:vAlign w:val="bottom"/>
          </w:tcPr>
          <w:p>
            <w:pPr>
              <w:spacing w:after="0"/>
              <w:rPr>
                <w:sz w:val="1"/>
                <w:szCs w:val="1"/>
                <w:color w:val="auto"/>
              </w:rPr>
            </w:pPr>
          </w:p>
        </w:tc>
      </w:tr>
      <w:tr>
        <w:trPr>
          <w:trHeight w:val="203"/>
        </w:trPr>
        <w:tc>
          <w:tcPr>
            <w:tcW w:w="5200" w:type="dxa"/>
            <w:vAlign w:val="bottom"/>
          </w:tcPr>
          <w:p>
            <w:pPr>
              <w:ind w:left="40"/>
              <w:spacing w:after="0"/>
              <w:rPr>
                <w:sz w:val="20"/>
                <w:szCs w:val="20"/>
                <w:color w:val="auto"/>
              </w:rPr>
            </w:pPr>
            <w:r>
              <w:rPr>
                <w:rFonts w:ascii="Arial" w:cs="Arial" w:eastAsia="Arial" w:hAnsi="Arial"/>
                <w:sz w:val="16"/>
                <w:szCs w:val="16"/>
                <w:color w:val="auto"/>
              </w:rPr>
              <w:t>Amount subject to Annual Limitation, federal only</w:t>
            </w: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6"/>
                <w:szCs w:val="16"/>
                <w:color w:val="auto"/>
              </w:rPr>
              <w:t>2,100</w:t>
            </w:r>
          </w:p>
        </w:tc>
        <w:tc>
          <w:tcPr>
            <w:tcW w:w="2060" w:type="dxa"/>
            <w:vAlign w:val="bottom"/>
          </w:tcPr>
          <w:p>
            <w:pPr>
              <w:jc w:val="center"/>
              <w:ind w:right="121"/>
              <w:spacing w:after="0"/>
              <w:rPr>
                <w:sz w:val="20"/>
                <w:szCs w:val="20"/>
                <w:color w:val="auto"/>
              </w:rPr>
            </w:pPr>
            <w:r>
              <w:rPr>
                <w:rFonts w:ascii="Arial" w:cs="Arial" w:eastAsia="Arial" w:hAnsi="Arial"/>
                <w:sz w:val="16"/>
                <w:szCs w:val="16"/>
                <w:color w:val="auto"/>
                <w:w w:val="92"/>
              </w:rPr>
              <w:t>December 31, 2019</w:t>
            </w:r>
          </w:p>
        </w:tc>
        <w:tc>
          <w:tcPr>
            <w:tcW w:w="0" w:type="dxa"/>
            <w:vAlign w:val="bottom"/>
          </w:tcPr>
          <w:p>
            <w:pPr>
              <w:spacing w:after="0"/>
              <w:rPr>
                <w:sz w:val="1"/>
                <w:szCs w:val="1"/>
                <w:color w:val="auto"/>
              </w:rPr>
            </w:pPr>
          </w:p>
        </w:tc>
      </w:tr>
      <w:tr>
        <w:trPr>
          <w:trHeight w:val="25"/>
        </w:trPr>
        <w:tc>
          <w:tcPr>
            <w:tcW w:w="5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5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federal only</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2,347,962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2,100</w:t>
            </w:r>
          </w:p>
        </w:tc>
        <w:tc>
          <w:tcPr>
            <w:tcW w:w="2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200" w:type="dxa"/>
            <w:vAlign w:val="bottom"/>
            <w:tcBorders>
              <w:top w:val="single" w:sz="8" w:color="CCEEFF"/>
            </w:tcBorders>
          </w:tcPr>
          <w:p>
            <w:pPr>
              <w:spacing w:after="0"/>
              <w:rPr>
                <w:sz w:val="17"/>
                <w:szCs w:val="17"/>
                <w:color w:val="auto"/>
              </w:rPr>
            </w:pPr>
          </w:p>
        </w:tc>
        <w:tc>
          <w:tcPr>
            <w:tcW w:w="13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20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State only (A)</w:t>
            </w: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1,454,929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1,305,365</w:t>
            </w:r>
          </w:p>
        </w:tc>
        <w:tc>
          <w:tcPr>
            <w:tcW w:w="2060" w:type="dxa"/>
            <w:vAlign w:val="bottom"/>
            <w:shd w:val="clear" w:color="auto" w:fill="CCEEFF"/>
          </w:tcPr>
          <w:p>
            <w:pPr>
              <w:jc w:val="center"/>
              <w:ind w:right="121"/>
              <w:spacing w:after="0"/>
              <w:rPr>
                <w:sz w:val="20"/>
                <w:szCs w:val="20"/>
                <w:color w:val="auto"/>
              </w:rPr>
            </w:pPr>
            <w:r>
              <w:rPr>
                <w:rFonts w:ascii="Arial" w:cs="Arial" w:eastAsia="Arial" w:hAnsi="Arial"/>
                <w:sz w:val="16"/>
                <w:szCs w:val="16"/>
                <w:color w:val="auto"/>
                <w:w w:val="92"/>
              </w:rPr>
              <w:t>December 31, 2039</w:t>
            </w:r>
          </w:p>
        </w:tc>
        <w:tc>
          <w:tcPr>
            <w:tcW w:w="0" w:type="dxa"/>
            <w:vAlign w:val="bottom"/>
          </w:tcPr>
          <w:p>
            <w:pPr>
              <w:spacing w:after="0"/>
              <w:rPr>
                <w:sz w:val="1"/>
                <w:szCs w:val="1"/>
                <w:color w:val="auto"/>
              </w:rPr>
            </w:pPr>
          </w:p>
        </w:tc>
      </w:tr>
      <w:tr>
        <w:trPr>
          <w:trHeight w:val="203"/>
        </w:trPr>
        <w:tc>
          <w:tcPr>
            <w:tcW w:w="5200" w:type="dxa"/>
            <w:vAlign w:val="bottom"/>
          </w:tcPr>
          <w:p>
            <w:pPr>
              <w:ind w:left="40"/>
              <w:spacing w:after="0"/>
              <w:rPr>
                <w:sz w:val="20"/>
                <w:szCs w:val="20"/>
                <w:color w:val="auto"/>
              </w:rPr>
            </w:pPr>
            <w:r>
              <w:rPr>
                <w:rFonts w:ascii="Arial" w:cs="Arial" w:eastAsia="Arial" w:hAnsi="Arial"/>
                <w:sz w:val="16"/>
                <w:szCs w:val="16"/>
                <w:color w:val="auto"/>
              </w:rPr>
              <w:t>Valuation allowance</w:t>
            </w: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(1,384,547)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6"/>
                <w:szCs w:val="16"/>
                <w:color w:val="auto"/>
              </w:rPr>
              <w:t>(1,217,027)</w:t>
            </w: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5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5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State only, net of valuation allowance</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70,382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88,338</w:t>
            </w:r>
          </w:p>
        </w:tc>
        <w:tc>
          <w:tcPr>
            <w:tcW w:w="2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200" w:type="dxa"/>
            <w:vAlign w:val="bottom"/>
            <w:tcBorders>
              <w:top w:val="single" w:sz="8" w:color="CCEEFF"/>
            </w:tcBorders>
          </w:tcPr>
          <w:p>
            <w:pPr>
              <w:spacing w:after="0"/>
              <w:rPr>
                <w:sz w:val="17"/>
                <w:szCs w:val="17"/>
                <w:color w:val="auto"/>
              </w:rPr>
            </w:pPr>
          </w:p>
        </w:tc>
        <w:tc>
          <w:tcPr>
            <w:tcW w:w="13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20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deferred tax asset from net operating loss carryovers</w:t>
            </w: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2,418,344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90,438</w:t>
            </w:r>
          </w:p>
        </w:tc>
        <w:tc>
          <w:tcPr>
            <w:tcW w:w="2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left="600" w:firstLine="9"/>
        <w:spacing w:after="0" w:line="272" w:lineRule="auto"/>
        <w:tabs>
          <w:tab w:leader="none" w:pos="878" w:val="left"/>
        </w:tabs>
        <w:numPr>
          <w:ilvl w:val="0"/>
          <w:numId w:val="9"/>
        </w:numPr>
        <w:rPr>
          <w:rFonts w:ascii="Arial" w:cs="Arial" w:eastAsia="Arial" w:hAnsi="Arial"/>
          <w:sz w:val="16"/>
          <w:szCs w:val="16"/>
          <w:color w:val="auto"/>
        </w:rPr>
      </w:pPr>
      <w:r>
        <w:rPr>
          <w:rFonts w:ascii="Arial" w:cs="Arial" w:eastAsia="Arial" w:hAnsi="Arial"/>
          <w:sz w:val="16"/>
          <w:szCs w:val="16"/>
          <w:color w:val="auto"/>
        </w:rPr>
        <w:t>Kingstone generates operating losses for state purposes and has prior year NOLs available. The state NOL as of September 30, 2019 and December 31, 2018 was approximately $22,384,000 and $20,083,000, respectively. KICO is not subject to state income taxes. KICO’s state tax obligations are paid through a gross premiums tax, which is included in the condensed consolidated statements of operations and comprehensive income (loss) within other underwriting expenses. A valuation allowance has been recorded due to the uncertainty of generating enough state taxable income to utilize 100% of the available state NOLs over their remaining lives, which expire between 2027 and 2039.</w:t>
      </w:r>
    </w:p>
    <w:p>
      <w:pPr>
        <w:spacing w:after="0" w:line="11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(2)  Deferred tax liability – Investment in KICO</w:t>
      </w:r>
    </w:p>
    <w:p>
      <w:pPr>
        <w:spacing w:after="0" w:line="36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On July 1, 2009, the Company completed the acquisition of 100% of the issued and outstanding common stock of KICO (formerly known as Commercial Mutual Insurance Company (“CMIC”)) pursuant to the conversion of CMIC from an advance premium cooperative to a stock property and casualty insurance company. Pursuant to the plan of conversion, the Company acquired a 100% equity interest in KICO, in consideration for the exchange of $3,750,000 principal amount of surplus notes of CMIC. In addition, the Company forgave all accrued and unpaid interest on the surplus notes as of the date of conversion. As of the date of acquisition, unpaid accrued interest on the surplus notes along with the accretion of the discount on the original purchase of the surplus notes totaled $2,921,319 (together “Untaxed Interest”). As of the date of acquisition, the deferred tax liability on the Untaxed Interest was $1,169,000. A temporary difference with an indefinite life exists when the parent has a lower carrying value of its subsidiary for income tax purposes. The deferred tax liability was reduced to $759,543 upon the reduction of federal income tax rates as of December 31, 2017. The Company is required to maintain its deferred tax liability of $759,543 related to this temporary difference until the stock of KICO is sold, or the assets of KICO are sold or KICO and the parent are merged.</w:t>
      </w:r>
    </w:p>
    <w:p>
      <w:pPr>
        <w:spacing w:after="0" w:line="11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assessing the valuation of deferred tax assets, the Company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No valuation allowance against deferred tax assets has been established, except for NOL limitations, as the Company believes it is more likely than not the deferred tax assets will be realized based on the historical taxable income of KICO, or by offset to deferred tax liabilities.</w:t>
      </w:r>
    </w:p>
    <w:p>
      <w:pPr>
        <w:spacing w:after="0" w:line="170"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The Company had no material unrecognized tax benefit and no adjustments to liabilities or operations were required. There were no interest or penalties related to income taxes that have been accrued or recognized as of and for the nine months ended September 30, 2019 and 2018. If any had been recognized these would have been reported in income tax expense.</w:t>
      </w:r>
    </w:p>
    <w:p>
      <w:pPr>
        <w:spacing w:after="0" w:line="167"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Generally, taxing authorities may examine the Company’s tax returns for the three years from the date of filing. The Company’s tax returns for the years ended December 31, 2015 through December 31, 2018 remain subject to examination. The Company’s federal income tax return for the year ended December 31, 2016 has been examined by the Internal Revenue Service and was accepted as filed.</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color w:val="auto"/>
        </w:rPr>
        <w:t>Note 10 –Earnings/(Loss) Per Common Share</w:t>
      </w:r>
    </w:p>
    <w:p>
      <w:pPr>
        <w:spacing w:after="0" w:line="16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Basic net earnings/(loss) per common share is computed by dividing income/(loss) available to common shareholders by the weighted-average number of common shares outstanding. Diluted earnings/(loss) per common share reflect, in periods in which they have a dilutive effect, the impact of common shares issuable upon exercise of stock options as well as non-vested restricted stock awards. The computation of diluted earnings/(loss) per common share excludes those options with an exercise price in excess of the average market price of the Company’s common shares during the periods presented.</w:t>
      </w:r>
    </w:p>
    <w:p>
      <w:pPr>
        <w:spacing w:after="0" w:line="10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computation of diluted earnings/(loss) per common share excludes outstanding options in periods where the exercise of such options would be anti-dilutive. For the three months and nine months ended September 30, 2019, no options were included in the computation of diluted earnings/(loss) per common share as they would have been anti-dilutive for the relevant periods and, as a result, the weighted average number of common shares used in the calculation of diluted earnings per common share has not been adjusted for the effect of such options.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The reconciliation of the weighted average number of common shares used in the calculation of basic and diluted earnings/(loss) per common share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100" w:type="dxa"/>
            <w:vAlign w:val="bottom"/>
          </w:tcPr>
          <w:p>
            <w:pPr>
              <w:spacing w:after="0"/>
              <w:rPr>
                <w:sz w:val="15"/>
                <w:szCs w:val="15"/>
                <w:color w:val="auto"/>
              </w:rPr>
            </w:pPr>
          </w:p>
        </w:tc>
        <w:tc>
          <w:tcPr>
            <w:tcW w:w="27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8"/>
              </w:rPr>
              <w:t>Three months ended</w:t>
            </w:r>
          </w:p>
        </w:tc>
        <w:tc>
          <w:tcPr>
            <w:tcW w:w="26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7"/>
              </w:rPr>
              <w:t>Nine months ended</w:t>
            </w:r>
          </w:p>
        </w:tc>
      </w:tr>
      <w:tr>
        <w:trPr>
          <w:trHeight w:val="217"/>
        </w:trPr>
        <w:tc>
          <w:tcPr>
            <w:tcW w:w="6100" w:type="dxa"/>
            <w:vAlign w:val="bottom"/>
          </w:tcPr>
          <w:p>
            <w:pPr>
              <w:spacing w:after="0"/>
              <w:rPr>
                <w:sz w:val="18"/>
                <w:szCs w:val="18"/>
                <w:color w:val="auto"/>
              </w:rPr>
            </w:pPr>
          </w:p>
        </w:tc>
        <w:tc>
          <w:tcPr>
            <w:tcW w:w="1680" w:type="dxa"/>
            <w:vAlign w:val="bottom"/>
            <w:tcBorders>
              <w:bottom w:val="single" w:sz="8" w:color="auto"/>
            </w:tcBorders>
            <w:gridSpan w:val="3"/>
          </w:tcPr>
          <w:p>
            <w:pPr>
              <w:jc w:val="center"/>
              <w:ind w:left="723"/>
              <w:spacing w:after="0"/>
              <w:rPr>
                <w:sz w:val="20"/>
                <w:szCs w:val="20"/>
                <w:color w:val="auto"/>
              </w:rPr>
            </w:pPr>
            <w:r>
              <w:rPr>
                <w:rFonts w:ascii="Arial" w:cs="Arial" w:eastAsia="Arial" w:hAnsi="Arial"/>
                <w:sz w:val="14"/>
                <w:szCs w:val="14"/>
                <w:b w:val="1"/>
                <w:bCs w:val="1"/>
                <w:color w:val="auto"/>
                <w:w w:val="87"/>
              </w:rPr>
              <w:t>September 30,</w:t>
            </w:r>
          </w:p>
        </w:tc>
        <w:tc>
          <w:tcPr>
            <w:tcW w:w="7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tcBorders>
              <w:bottom w:val="single" w:sz="8" w:color="auto"/>
            </w:tcBorders>
            <w:gridSpan w:val="3"/>
          </w:tcPr>
          <w:p>
            <w:pPr>
              <w:jc w:val="center"/>
              <w:ind w:left="743"/>
              <w:spacing w:after="0"/>
              <w:rPr>
                <w:sz w:val="20"/>
                <w:szCs w:val="20"/>
                <w:color w:val="auto"/>
              </w:rPr>
            </w:pPr>
            <w:r>
              <w:rPr>
                <w:rFonts w:ascii="Arial" w:cs="Arial" w:eastAsia="Arial" w:hAnsi="Arial"/>
                <w:sz w:val="14"/>
                <w:szCs w:val="14"/>
                <w:b w:val="1"/>
                <w:bCs w:val="1"/>
                <w:color w:val="auto"/>
                <w:w w:val="87"/>
              </w:rPr>
              <w:t>September 30,</w:t>
            </w:r>
          </w:p>
        </w:tc>
        <w:tc>
          <w:tcPr>
            <w:tcW w:w="7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33"/>
        </w:trPr>
        <w:tc>
          <w:tcPr>
            <w:tcW w:w="6100" w:type="dxa"/>
            <w:vAlign w:val="bottom"/>
          </w:tcPr>
          <w:p>
            <w:pPr>
              <w:spacing w:after="0"/>
              <w:rPr>
                <w:sz w:val="20"/>
                <w:szCs w:val="20"/>
                <w:color w:val="auto"/>
              </w:rPr>
            </w:pPr>
          </w:p>
        </w:tc>
        <w:tc>
          <w:tcPr>
            <w:tcW w:w="108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20"/>
                <w:szCs w:val="20"/>
                <w:color w:val="auto"/>
              </w:rPr>
            </w:pPr>
          </w:p>
        </w:tc>
        <w:tc>
          <w:tcPr>
            <w:tcW w:w="110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20"/>
                <w:szCs w:val="20"/>
                <w:color w:val="auto"/>
              </w:rPr>
            </w:pPr>
          </w:p>
        </w:tc>
      </w:tr>
      <w:tr>
        <w:trPr>
          <w:trHeight w:val="228"/>
        </w:trPr>
        <w:tc>
          <w:tcPr>
            <w:tcW w:w="6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03"/>
        </w:trPr>
        <w:tc>
          <w:tcPr>
            <w:tcW w:w="6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number of shares outstanding</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10,779,641</w:t>
            </w: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4"/>
              </w:rPr>
              <w:t>10,681,329</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10,769,817</w:t>
            </w:r>
          </w:p>
        </w:tc>
        <w:tc>
          <w:tcPr>
            <w:tcW w:w="3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2"/>
              </w:rPr>
              <w:t>10,672,084</w:t>
            </w:r>
          </w:p>
        </w:tc>
      </w:tr>
      <w:tr>
        <w:trPr>
          <w:trHeight w:val="203"/>
        </w:trPr>
        <w:tc>
          <w:tcPr>
            <w:tcW w:w="6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28"/>
        </w:trPr>
        <w:tc>
          <w:tcPr>
            <w:tcW w:w="6100" w:type="dxa"/>
            <w:vAlign w:val="bottom"/>
            <w:shd w:val="clear" w:color="auto" w:fill="CCEEFF"/>
          </w:tcPr>
          <w:p>
            <w:pPr>
              <w:ind w:left="60"/>
              <w:spacing w:after="0"/>
              <w:rPr>
                <w:sz w:val="20"/>
                <w:szCs w:val="20"/>
                <w:color w:val="auto"/>
              </w:rPr>
            </w:pPr>
            <w:r>
              <w:rPr>
                <w:rFonts w:ascii="Arial" w:cs="Arial" w:eastAsia="Arial" w:hAnsi="Arial"/>
                <w:sz w:val="16"/>
                <w:szCs w:val="16"/>
                <w:color w:val="auto"/>
              </w:rPr>
              <w:t>Effect of dilutive securities, common share equivalents</w:t>
            </w: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03"/>
        </w:trPr>
        <w:tc>
          <w:tcPr>
            <w:tcW w:w="6100" w:type="dxa"/>
            <w:vAlign w:val="bottom"/>
          </w:tcPr>
          <w:p>
            <w:pPr>
              <w:ind w:left="200"/>
              <w:spacing w:after="0"/>
              <w:rPr>
                <w:sz w:val="20"/>
                <w:szCs w:val="20"/>
                <w:color w:val="auto"/>
              </w:rPr>
            </w:pPr>
            <w:r>
              <w:rPr>
                <w:rFonts w:ascii="Arial" w:cs="Arial" w:eastAsia="Arial" w:hAnsi="Arial"/>
                <w:sz w:val="16"/>
                <w:szCs w:val="16"/>
                <w:color w:val="auto"/>
              </w:rPr>
              <w:t>Stock options</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98,749</w:t>
            </w:r>
          </w:p>
        </w:tc>
        <w:tc>
          <w:tcPr>
            <w:tcW w:w="13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100,628</w:t>
            </w:r>
          </w:p>
        </w:tc>
      </w:tr>
      <w:tr>
        <w:trPr>
          <w:trHeight w:val="208"/>
        </w:trPr>
        <w:tc>
          <w:tcPr>
            <w:tcW w:w="61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Restricted stock awards</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11,045</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7,878</w:t>
            </w:r>
          </w:p>
        </w:tc>
      </w:tr>
      <w:tr>
        <w:trPr>
          <w:trHeight w:val="203"/>
        </w:trPr>
        <w:tc>
          <w:tcPr>
            <w:tcW w:w="6100" w:type="dxa"/>
            <w:vAlign w:val="bottom"/>
            <w:tcBorders>
              <w:top w:val="single" w:sz="8" w:color="CCEEFF"/>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r>
      <w:tr>
        <w:trPr>
          <w:trHeight w:val="228"/>
        </w:trPr>
        <w:tc>
          <w:tcPr>
            <w:tcW w:w="6100" w:type="dxa"/>
            <w:vAlign w:val="bottom"/>
            <w:shd w:val="clear" w:color="auto" w:fill="CCEEFF"/>
          </w:tcPr>
          <w:p>
            <w:pPr>
              <w:ind w:left="60"/>
              <w:spacing w:after="0"/>
              <w:rPr>
                <w:sz w:val="20"/>
                <w:szCs w:val="20"/>
                <w:color w:val="auto"/>
              </w:rPr>
            </w:pPr>
            <w:r>
              <w:rPr>
                <w:rFonts w:ascii="Arial" w:cs="Arial" w:eastAsia="Arial" w:hAnsi="Arial"/>
                <w:sz w:val="16"/>
                <w:szCs w:val="16"/>
                <w:color w:val="auto"/>
              </w:rPr>
              <w:t>Weighted average number of shares outstanding,</w:t>
            </w: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03"/>
        </w:trPr>
        <w:tc>
          <w:tcPr>
            <w:tcW w:w="6100" w:type="dxa"/>
            <w:vAlign w:val="bottom"/>
          </w:tcPr>
          <w:p>
            <w:pPr>
              <w:ind w:left="200"/>
              <w:spacing w:after="0"/>
              <w:rPr>
                <w:sz w:val="20"/>
                <w:szCs w:val="20"/>
                <w:color w:val="auto"/>
              </w:rPr>
            </w:pPr>
            <w:r>
              <w:rPr>
                <w:rFonts w:ascii="Arial" w:cs="Arial" w:eastAsia="Arial" w:hAnsi="Arial"/>
                <w:sz w:val="16"/>
                <w:szCs w:val="16"/>
                <w:color w:val="auto"/>
              </w:rPr>
              <w:t>used for computing diluted earnings per share</w:t>
            </w:r>
          </w:p>
        </w:tc>
        <w:tc>
          <w:tcPr>
            <w:tcW w:w="1080" w:type="dxa"/>
            <w:vAlign w:val="bottom"/>
          </w:tcPr>
          <w:p>
            <w:pPr>
              <w:jc w:val="right"/>
              <w:spacing w:after="0"/>
              <w:rPr>
                <w:sz w:val="20"/>
                <w:szCs w:val="20"/>
                <w:color w:val="auto"/>
              </w:rPr>
            </w:pPr>
            <w:r>
              <w:rPr>
                <w:rFonts w:ascii="Arial" w:cs="Arial" w:eastAsia="Arial" w:hAnsi="Arial"/>
                <w:sz w:val="16"/>
                <w:szCs w:val="16"/>
                <w:color w:val="auto"/>
              </w:rPr>
              <w:t>10,779,641</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w w:val="94"/>
              </w:rPr>
              <w:t>10,791,123</w:t>
            </w:r>
          </w:p>
        </w:tc>
        <w:tc>
          <w:tcPr>
            <w:tcW w:w="1380" w:type="dxa"/>
            <w:vAlign w:val="bottom"/>
            <w:gridSpan w:val="2"/>
          </w:tcPr>
          <w:p>
            <w:pPr>
              <w:jc w:val="right"/>
              <w:ind w:right="280"/>
              <w:spacing w:after="0"/>
              <w:rPr>
                <w:sz w:val="20"/>
                <w:szCs w:val="20"/>
                <w:color w:val="auto"/>
              </w:rPr>
            </w:pPr>
            <w:r>
              <w:rPr>
                <w:rFonts w:ascii="Arial" w:cs="Arial" w:eastAsia="Arial" w:hAnsi="Arial"/>
                <w:sz w:val="16"/>
                <w:szCs w:val="16"/>
                <w:color w:val="auto"/>
              </w:rPr>
              <w:t>10,769,817</w:t>
            </w:r>
          </w:p>
        </w:tc>
        <w:tc>
          <w:tcPr>
            <w:tcW w:w="3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w w:val="92"/>
              </w:rPr>
              <w:t>10,780,590</w:t>
            </w:r>
          </w:p>
        </w:tc>
      </w:tr>
      <w:tr>
        <w:trPr>
          <w:trHeight w:val="20"/>
        </w:trPr>
        <w:tc>
          <w:tcPr>
            <w:tcW w:w="6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 Commitments and Contingencies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Litigation</w:t>
      </w:r>
    </w:p>
    <w:p>
      <w:pPr>
        <w:spacing w:after="0" w:line="22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From time to time, the Company is involved in various legal proceedings in the ordinary course of business. For example, to the extent a claim is asserted by a third party in a lawsuit against one of the Company’s insureds covered by a particular policy, the Company may have a duty to defend the insured party against the claim. These claims may relate to bodily injury, property damage or other compensable injuries as set forth in the policy. Such proceedings are considered in estimating the liability for loss and LAE expenses.</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5"/>
          <w:szCs w:val="15"/>
          <w:color w:val="auto"/>
        </w:rPr>
        <w:t xml:space="preserve">On June 12, 2019, Phillip Woolgar filed a suit naming the Company and certain present or former officers and directors as defendants in a putative class action captioned </w:t>
      </w:r>
      <w:r>
        <w:rPr>
          <w:rFonts w:ascii="Arial" w:cs="Arial" w:eastAsia="Arial" w:hAnsi="Arial"/>
          <w:sz w:val="15"/>
          <w:szCs w:val="15"/>
          <w:i w:val="1"/>
          <w:iCs w:val="1"/>
          <w:color w:val="auto"/>
        </w:rPr>
        <w:t>Woolgar v. Kingstone Companies et al.</w:t>
      </w:r>
      <w:r>
        <w:rPr>
          <w:rFonts w:ascii="Arial" w:cs="Arial" w:eastAsia="Arial" w:hAnsi="Arial"/>
          <w:sz w:val="15"/>
          <w:szCs w:val="15"/>
          <w:color w:val="auto"/>
        </w:rPr>
        <w:t>, 19 cv 05500 (S.D.N.Y.), asserting claims under Section 10(b) of the Exchange Act and SEC Rule 10b-5 promulgated thereunder and</w:t>
      </w:r>
      <w:r>
        <w:rPr>
          <w:rFonts w:ascii="Arial" w:cs="Arial" w:eastAsia="Arial" w:hAnsi="Arial"/>
          <w:sz w:val="15"/>
          <w:szCs w:val="15"/>
          <w:i w:val="1"/>
          <w:iCs w:val="1"/>
          <w:color w:val="auto"/>
        </w:rPr>
        <w:t xml:space="preserve"> </w:t>
      </w:r>
      <w:r>
        <w:rPr>
          <w:rFonts w:ascii="Arial" w:cs="Arial" w:eastAsia="Arial" w:hAnsi="Arial"/>
          <w:sz w:val="15"/>
          <w:szCs w:val="15"/>
          <w:color w:val="auto"/>
        </w:rPr>
        <w:t>Section 20(a) of the Exchange Act. Plaintiff seeks to represent a class of persons or entities that purchased Kingstone securities between March 14, 2018, and April 29, 2019, and alleges violations of the federal securities law in connection with the Company’s April 29, 2019 announcement regarding losses related to winter catastrophe events. The lawsuit alleges that the Company failed to disclose that it did not adequately follow industry best practices related to claims handling and thus did not record sufficient claim reserves, and that as a result, Defendants’ positive statements about the Company’s business, operations and prospects misled investors. Plaintiff seeks, among other things, an undetermined amount of money damages. The Company believe the lawsuit to be without merit. The Company has not established an accrual for this matter as a loss is not considered to be probable and reasonably estimable. It is the opinion of management that facts known at the present time do not indicate that such litigation will have a material adverse impact on the Company’s results of operations, financial position, or cash flows.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481" w:right="239" w:bottom="1440" w:gutter="0" w:footer="0" w:header="0"/>
        </w:sectPr>
      </w:pPr>
    </w:p>
    <w:bookmarkStart w:id="35" w:name="page36"/>
    <w:bookmarkEnd w:id="35"/>
    <w:p>
      <w:pPr>
        <w:spacing w:after="0"/>
        <w:rPr>
          <w:sz w:val="20"/>
          <w:szCs w:val="20"/>
          <w:color w:val="auto"/>
        </w:rPr>
      </w:pPr>
      <w:r>
        <w:rPr>
          <w:rFonts w:ascii="Arial" w:cs="Arial" w:eastAsia="Arial" w:hAnsi="Arial"/>
          <w:sz w:val="16"/>
          <w:szCs w:val="16"/>
          <w:u w:val="single" w:color="auto"/>
          <w:color w:val="auto"/>
        </w:rPr>
        <w:t>Office Lease</w:t>
      </w:r>
    </w:p>
    <w:p>
      <w:pPr>
        <w:spacing w:after="0" w:line="221"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The Company enters into lease agreements for real estate that is primarily used for office space in the ordinary course of business. These leases are accounted for as operating leases, whereby lease expense is recognized on a straight-line basis over the term of the lease. See Note 2 - Accounting Policies for additional information regarding the accounting for leases.</w:t>
      </w:r>
    </w:p>
    <w:p>
      <w:pPr>
        <w:spacing w:after="0" w:line="16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is a party to a non-cancellable operating lease, dated March 27, 2015, for its office facility for KICO located in Valley Stream, New York expiring March 31, 2024.</w:t>
      </w:r>
    </w:p>
    <w:p>
      <w:pPr>
        <w:spacing w:after="0" w:line="15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July 8, 2019, the Company entered into a lease agreement for an additional office facility for Cosi located in Valley Stream, New York under a non-cancelable operating lease. In addition to the base rental costs, occupancy lease agreements generally provide for rent escalations resulting from increased assessments from real estate taxes and other charges. The lease commencement date will be determined upon the completion of landlord provided construction, which the Company expects to be on or about November 15, 2019. The lease has a term of seven years and two months expiring December 31, 2026.</w:t>
      </w:r>
    </w:p>
    <w:p>
      <w:pPr>
        <w:spacing w:after="0" w:line="107" w:lineRule="exact"/>
        <w:rPr>
          <w:sz w:val="20"/>
          <w:szCs w:val="20"/>
          <w:color w:val="auto"/>
        </w:rPr>
      </w:pPr>
    </w:p>
    <w:p>
      <w:pPr>
        <w:jc w:val="both"/>
        <w:spacing w:after="0" w:line="332" w:lineRule="auto"/>
        <w:rPr>
          <w:sz w:val="20"/>
          <w:szCs w:val="20"/>
          <w:color w:val="auto"/>
        </w:rPr>
      </w:pPr>
      <w:r>
        <w:rPr>
          <w:rFonts w:ascii="Arial" w:cs="Arial" w:eastAsia="Arial" w:hAnsi="Arial"/>
          <w:sz w:val="15"/>
          <w:szCs w:val="15"/>
          <w:color w:val="auto"/>
        </w:rPr>
        <w:t>In addition to the base rental costs, occupancy lease agreements generally provide for rent escalations resulting from increased assessments from real estate taxes and other charges. This lease is accounted for as an operating lease, whereby lease expense is recognized on a straight-line basis over the term of the lease.</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color w:val="auto"/>
        </w:rPr>
        <w:t>Additional information regarding the Company’s office operating lease (exclusive of the Cosi lease facility discussed above, which has not yet commenced)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Three months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Nine months</w:t>
            </w:r>
          </w:p>
        </w:tc>
        <w:tc>
          <w:tcPr>
            <w:tcW w:w="0" w:type="dxa"/>
            <w:vAlign w:val="bottom"/>
          </w:tcPr>
          <w:p>
            <w:pPr>
              <w:spacing w:after="0"/>
              <w:rPr>
                <w:sz w:val="1"/>
                <w:szCs w:val="1"/>
                <w:color w:val="auto"/>
              </w:rPr>
            </w:pPr>
          </w:p>
        </w:tc>
      </w:tr>
      <w:tr>
        <w:trPr>
          <w:trHeight w:val="152"/>
        </w:trPr>
        <w:tc>
          <w:tcPr>
            <w:tcW w:w="65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280"/>
              <w:spacing w:after="0" w:line="152" w:lineRule="exact"/>
              <w:rPr>
                <w:sz w:val="20"/>
                <w:szCs w:val="20"/>
                <w:color w:val="auto"/>
              </w:rPr>
            </w:pPr>
            <w:r>
              <w:rPr>
                <w:rFonts w:ascii="Arial" w:cs="Arial" w:eastAsia="Arial" w:hAnsi="Arial"/>
                <w:sz w:val="14"/>
                <w:szCs w:val="14"/>
                <w:b w:val="1"/>
                <w:bCs w:val="1"/>
                <w:color w:val="auto"/>
                <w:w w:val="87"/>
              </w:rPr>
              <w:t>ended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240"/>
              <w:spacing w:after="0" w:line="152"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52"/>
        </w:trPr>
        <w:tc>
          <w:tcPr>
            <w:tcW w:w="6560" w:type="dxa"/>
            <w:vAlign w:val="bottom"/>
            <w:vMerge w:val="restart"/>
          </w:tcPr>
          <w:p>
            <w:pPr>
              <w:spacing w:after="0"/>
              <w:rPr>
                <w:sz w:val="20"/>
                <w:szCs w:val="20"/>
                <w:color w:val="auto"/>
              </w:rPr>
            </w:pPr>
            <w:r>
              <w:rPr>
                <w:rFonts w:ascii="Arial" w:cs="Arial" w:eastAsia="Arial" w:hAnsi="Arial"/>
                <w:sz w:val="16"/>
                <w:szCs w:val="16"/>
                <w:b w:val="1"/>
                <w:bCs w:val="1"/>
                <w:color w:val="auto"/>
              </w:rPr>
              <w:t>Lease cost</w:t>
            </w:r>
          </w:p>
        </w:tc>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300"/>
              <w:spacing w:after="0" w:line="152" w:lineRule="exact"/>
              <w:rPr>
                <w:sz w:val="20"/>
                <w:szCs w:val="20"/>
                <w:color w:val="auto"/>
              </w:rPr>
            </w:pPr>
            <w:r>
              <w:rPr>
                <w:rFonts w:ascii="Arial" w:cs="Arial" w:eastAsia="Arial" w:hAnsi="Arial"/>
                <w:sz w:val="14"/>
                <w:szCs w:val="14"/>
                <w:b w:val="1"/>
                <w:bCs w:val="1"/>
                <w:color w:val="auto"/>
                <w:w w:val="89"/>
              </w:rPr>
              <w:t>September 30,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240"/>
              <w:spacing w:after="0" w:line="152" w:lineRule="exact"/>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71"/>
        </w:trPr>
        <w:tc>
          <w:tcPr>
            <w:tcW w:w="6560" w:type="dxa"/>
            <w:vAlign w:val="bottom"/>
            <w:vMerge w:val="continue"/>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
              <w:spacing w:after="0"/>
              <w:rPr>
                <w:sz w:val="20"/>
                <w:szCs w:val="20"/>
                <w:color w:val="auto"/>
              </w:rPr>
            </w:pPr>
            <w:r>
              <w:rPr>
                <w:rFonts w:ascii="Arial" w:cs="Arial" w:eastAsia="Arial" w:hAnsi="Arial"/>
                <w:sz w:val="14"/>
                <w:szCs w:val="14"/>
                <w:b w:val="1"/>
                <w:bCs w:val="1"/>
                <w:color w:val="auto"/>
                <w:w w:val="89"/>
              </w:rPr>
              <w:t>2019</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w w:val="89"/>
              </w:rPr>
              <w:t>2019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41,342</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124,026</w:t>
            </w:r>
          </w:p>
        </w:tc>
        <w:tc>
          <w:tcPr>
            <w:tcW w:w="0" w:type="dxa"/>
            <w:vAlign w:val="bottom"/>
          </w:tcPr>
          <w:p>
            <w:pPr>
              <w:spacing w:after="0"/>
              <w:rPr>
                <w:sz w:val="1"/>
                <w:szCs w:val="1"/>
                <w:color w:val="auto"/>
              </w:rPr>
            </w:pPr>
          </w:p>
        </w:tc>
      </w:tr>
      <w:tr>
        <w:trPr>
          <w:trHeight w:val="203"/>
        </w:trPr>
        <w:tc>
          <w:tcPr>
            <w:tcW w:w="6560" w:type="dxa"/>
            <w:vAlign w:val="bottom"/>
          </w:tcPr>
          <w:p>
            <w:pPr>
              <w:spacing w:after="0"/>
              <w:rPr>
                <w:sz w:val="20"/>
                <w:szCs w:val="20"/>
                <w:color w:val="auto"/>
              </w:rPr>
            </w:pPr>
            <w:r>
              <w:rPr>
                <w:rFonts w:ascii="Arial" w:cs="Arial" w:eastAsia="Arial" w:hAnsi="Arial"/>
                <w:sz w:val="16"/>
                <w:szCs w:val="16"/>
                <w:color w:val="auto"/>
              </w:rPr>
              <w:t>Short-term leases</w:t>
            </w:r>
          </w:p>
        </w:tc>
        <w:tc>
          <w:tcPr>
            <w:tcW w:w="2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
        </w:trPr>
        <w:tc>
          <w:tcPr>
            <w:tcW w:w="65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5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lease cost (1)</w:t>
            </w:r>
          </w:p>
        </w:tc>
        <w:tc>
          <w:tcPr>
            <w:tcW w:w="226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41,342</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124,026</w:t>
            </w:r>
          </w:p>
        </w:tc>
        <w:tc>
          <w:tcPr>
            <w:tcW w:w="0" w:type="dxa"/>
            <w:vAlign w:val="bottom"/>
          </w:tcPr>
          <w:p>
            <w:pPr>
              <w:spacing w:after="0"/>
              <w:rPr>
                <w:sz w:val="1"/>
                <w:szCs w:val="1"/>
                <w:color w:val="auto"/>
              </w:rPr>
            </w:pPr>
          </w:p>
        </w:tc>
      </w:tr>
      <w:tr>
        <w:trPr>
          <w:trHeight w:val="193"/>
        </w:trPr>
        <w:tc>
          <w:tcPr>
            <w:tcW w:w="6560" w:type="dxa"/>
            <w:vAlign w:val="bottom"/>
            <w:tcBorders>
              <w:top w:val="single" w:sz="8" w:color="CCEEFF"/>
            </w:tcBorders>
          </w:tcPr>
          <w:p>
            <w:pPr>
              <w:spacing w:after="0"/>
              <w:rPr>
                <w:sz w:val="16"/>
                <w:szCs w:val="16"/>
                <w:color w:val="auto"/>
              </w:rPr>
            </w:pPr>
          </w:p>
        </w:tc>
        <w:tc>
          <w:tcPr>
            <w:tcW w:w="22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Other information on operating lease</w:t>
            </w:r>
          </w:p>
        </w:tc>
        <w:tc>
          <w:tcPr>
            <w:tcW w:w="2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6560" w:type="dxa"/>
            <w:vAlign w:val="bottom"/>
          </w:tcPr>
          <w:p>
            <w:pPr>
              <w:spacing w:after="0" w:line="228" w:lineRule="exact"/>
              <w:rPr>
                <w:sz w:val="20"/>
                <w:szCs w:val="20"/>
                <w:color w:val="auto"/>
              </w:rPr>
            </w:pPr>
            <w:r>
              <w:rPr>
                <w:rFonts w:ascii="Arial" w:cs="Arial" w:eastAsia="Arial" w:hAnsi="Arial"/>
                <w:sz w:val="20"/>
                <w:szCs w:val="20"/>
                <w:color w:val="auto"/>
              </w:rPr>
              <w:t>Cash payments included in the measurement of lease</w:t>
            </w:r>
          </w:p>
        </w:tc>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liability reported in operating cash flows</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42,827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127,034</w:t>
            </w:r>
          </w:p>
        </w:tc>
        <w:tc>
          <w:tcPr>
            <w:tcW w:w="0" w:type="dxa"/>
            <w:vAlign w:val="bottom"/>
          </w:tcPr>
          <w:p>
            <w:pPr>
              <w:spacing w:after="0"/>
              <w:rPr>
                <w:sz w:val="1"/>
                <w:szCs w:val="1"/>
                <w:color w:val="auto"/>
              </w:rPr>
            </w:pPr>
          </w:p>
        </w:tc>
      </w:tr>
      <w:tr>
        <w:trPr>
          <w:trHeight w:val="203"/>
        </w:trPr>
        <w:tc>
          <w:tcPr>
            <w:tcW w:w="6560" w:type="dxa"/>
            <w:vAlign w:val="bottom"/>
          </w:tcPr>
          <w:p>
            <w:pPr>
              <w:spacing w:after="0"/>
              <w:rPr>
                <w:sz w:val="20"/>
                <w:szCs w:val="20"/>
                <w:color w:val="auto"/>
              </w:rPr>
            </w:pPr>
            <w:r>
              <w:rPr>
                <w:rFonts w:ascii="Arial" w:cs="Arial" w:eastAsia="Arial" w:hAnsi="Arial"/>
                <w:sz w:val="16"/>
                <w:szCs w:val="16"/>
                <w:color w:val="auto"/>
              </w:rPr>
              <w:t>Discount rate</w:t>
            </w:r>
          </w:p>
        </w:tc>
        <w:tc>
          <w:tcPr>
            <w:tcW w:w="2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5.50%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5.50%</w:t>
            </w: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Remaining lease term in years</w:t>
            </w:r>
          </w:p>
        </w:tc>
        <w:tc>
          <w:tcPr>
            <w:tcW w:w="2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 years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 years</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5640" w:right="1920" w:hanging="5335"/>
        <w:spacing w:after="0" w:line="759" w:lineRule="auto"/>
        <w:tabs>
          <w:tab w:leader="none" w:pos="618"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Included in the condensed consolidated statements of operations and comprehensive income (loss) within other underwriting expenses.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-250190</wp:posOffset>
            </wp:positionV>
            <wp:extent cx="72548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36" w:name="page37"/>
    <w:bookmarkEnd w:id="36"/>
    <w:p>
      <w:pPr>
        <w:spacing w:after="0"/>
        <w:rPr>
          <w:sz w:val="20"/>
          <w:szCs w:val="20"/>
          <w:color w:val="auto"/>
        </w:rPr>
      </w:pPr>
      <w:r>
        <w:rPr>
          <w:rFonts w:ascii="Arial" w:cs="Arial" w:eastAsia="Arial" w:hAnsi="Arial"/>
          <w:sz w:val="14"/>
          <w:szCs w:val="14"/>
          <w:color w:val="auto"/>
        </w:rPr>
        <w:t>The following table presents the contractual maturities of the Company’s lease liabilities as of September 30, 2019:</w:t>
      </w:r>
    </w:p>
    <w:p>
      <w:pPr>
        <w:spacing w:after="0" w:line="266" w:lineRule="exact"/>
        <w:rPr>
          <w:sz w:val="20"/>
          <w:szCs w:val="20"/>
          <w:color w:val="auto"/>
        </w:rPr>
      </w:pPr>
    </w:p>
    <w:p>
      <w:pPr>
        <w:jc w:val="center"/>
        <w:ind w:left="585"/>
        <w:spacing w:after="0"/>
        <w:rPr>
          <w:sz w:val="20"/>
          <w:szCs w:val="20"/>
          <w:color w:val="auto"/>
        </w:rPr>
      </w:pPr>
      <w:r>
        <w:rPr>
          <w:rFonts w:ascii="Arial" w:cs="Arial" w:eastAsia="Arial" w:hAnsi="Arial"/>
          <w:sz w:val="16"/>
          <w:szCs w:val="16"/>
          <w:b w:val="1"/>
          <w:bCs w:val="1"/>
          <w:color w:val="auto"/>
        </w:rPr>
        <w:t>For the Year</w:t>
      </w:r>
    </w:p>
    <w:p>
      <w:pPr>
        <w:spacing w:after="0" w:line="44" w:lineRule="exact"/>
        <w:rPr>
          <w:sz w:val="20"/>
          <w:szCs w:val="20"/>
          <w:color w:val="auto"/>
        </w:rPr>
      </w:pPr>
    </w:p>
    <w:p>
      <w:pPr>
        <w:jc w:val="center"/>
        <w:ind w:left="625"/>
        <w:spacing w:after="0"/>
        <w:rPr>
          <w:sz w:val="20"/>
          <w:szCs w:val="20"/>
          <w:color w:val="auto"/>
        </w:rPr>
      </w:pPr>
      <w:r>
        <w:rPr>
          <w:rFonts w:ascii="Arial" w:cs="Arial" w:eastAsia="Arial" w:hAnsi="Arial"/>
          <w:sz w:val="16"/>
          <w:szCs w:val="16"/>
          <w:b w:val="1"/>
          <w:bCs w:val="1"/>
          <w:color w:val="auto"/>
        </w:rPr>
        <w:t>Ending</w:t>
      </w:r>
    </w:p>
    <w:p>
      <w:pPr>
        <w:spacing w:after="0" w:line="44" w:lineRule="exact"/>
        <w:rPr>
          <w:sz w:val="20"/>
          <w:szCs w:val="20"/>
          <w:color w:val="auto"/>
        </w:rPr>
      </w:pPr>
    </w:p>
    <w:p>
      <w:pPr>
        <w:jc w:val="center"/>
        <w:ind w:left="625"/>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19685</wp:posOffset>
            </wp:positionV>
            <wp:extent cx="6386195" cy="15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386195" cy="1587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Remainder of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-110490</wp:posOffset>
            </wp:positionV>
            <wp:extent cx="725487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4875" cy="12890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2020</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-114300</wp:posOffset>
            </wp:positionV>
            <wp:extent cx="7254875"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4875" cy="12890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2022</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-114300</wp:posOffset>
            </wp:positionV>
            <wp:extent cx="725487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4875" cy="128905"/>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color w:val="auto"/>
        </w:rPr>
        <w:t>Thereafter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05"/>
        <w:spacing w:after="0"/>
        <w:rPr>
          <w:sz w:val="20"/>
          <w:szCs w:val="20"/>
          <w:color w:val="auto"/>
        </w:rPr>
      </w:pPr>
      <w:r>
        <w:rPr>
          <w:rFonts w:ascii="Arial" w:cs="Arial" w:eastAsia="Arial" w:hAnsi="Arial"/>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wp:posOffset>
            </wp:positionV>
            <wp:extent cx="691515" cy="15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1515" cy="15875"/>
                    </a:xfrm>
                    <a:prstGeom prst="rect">
                      <a:avLst/>
                    </a:prstGeom>
                    <a:noFill/>
                  </pic:spPr>
                </pic:pic>
              </a:graphicData>
            </a:graphic>
          </wp:anchor>
        </w:drawing>
      </w:r>
    </w:p>
    <w:p>
      <w:pPr>
        <w:spacing w:after="0" w:line="1" w:lineRule="exact"/>
        <w:rPr>
          <w:sz w:val="20"/>
          <w:szCs w:val="20"/>
          <w:color w:val="auto"/>
        </w:rPr>
      </w:pPr>
    </w:p>
    <w:p>
      <w:pPr>
        <w:ind w:left="645" w:hanging="645"/>
        <w:spacing w:after="0"/>
        <w:tabs>
          <w:tab w:leader="none" w:pos="645" w:val="left"/>
        </w:tabs>
        <w:numPr>
          <w:ilvl w:val="0"/>
          <w:numId w:val="11"/>
        </w:numPr>
        <w:rPr>
          <w:rFonts w:ascii="Arial" w:cs="Arial" w:eastAsia="Arial" w:hAnsi="Arial"/>
          <w:sz w:val="14"/>
          <w:szCs w:val="14"/>
          <w:color w:val="auto"/>
        </w:rPr>
      </w:pPr>
      <w:r>
        <w:rPr>
          <w:rFonts w:ascii="Arial" w:cs="Arial" w:eastAsia="Arial" w:hAnsi="Arial"/>
          <w:sz w:val="14"/>
          <w:szCs w:val="14"/>
          <w:color w:val="auto"/>
        </w:rPr>
        <w:t>42,827</w:t>
      </w:r>
    </w:p>
    <w:p>
      <w:pPr>
        <w:spacing w:after="0" w:line="47" w:lineRule="exact"/>
        <w:rPr>
          <w:rFonts w:ascii="Arial" w:cs="Arial" w:eastAsia="Arial" w:hAnsi="Arial"/>
          <w:sz w:val="14"/>
          <w:szCs w:val="14"/>
          <w:color w:val="auto"/>
        </w:rPr>
      </w:pPr>
    </w:p>
    <w:p>
      <w:pPr>
        <w:ind w:left="565"/>
        <w:spacing w:after="0"/>
        <w:rPr>
          <w:rFonts w:ascii="Arial" w:cs="Arial" w:eastAsia="Arial" w:hAnsi="Arial"/>
          <w:sz w:val="14"/>
          <w:szCs w:val="14"/>
          <w:color w:val="auto"/>
        </w:rPr>
      </w:pPr>
      <w:r>
        <w:rPr>
          <w:rFonts w:ascii="Arial" w:cs="Arial" w:eastAsia="Arial" w:hAnsi="Arial"/>
          <w:sz w:val="14"/>
          <w:szCs w:val="14"/>
          <w:color w:val="auto"/>
        </w:rPr>
        <w:t>255,624</w:t>
      </w:r>
    </w:p>
    <w:p>
      <w:pPr>
        <w:spacing w:after="0" w:line="41" w:lineRule="exact"/>
        <w:rPr>
          <w:rFonts w:ascii="Arial" w:cs="Arial" w:eastAsia="Arial" w:hAnsi="Arial"/>
          <w:sz w:val="14"/>
          <w:szCs w:val="14"/>
          <w:color w:val="auto"/>
        </w:rPr>
      </w:pPr>
    </w:p>
    <w:p>
      <w:pPr>
        <w:ind w:left="565"/>
        <w:spacing w:after="0"/>
        <w:rPr>
          <w:rFonts w:ascii="Arial" w:cs="Arial" w:eastAsia="Arial" w:hAnsi="Arial"/>
          <w:sz w:val="14"/>
          <w:szCs w:val="14"/>
          <w:color w:val="auto"/>
        </w:rPr>
      </w:pPr>
      <w:r>
        <w:rPr>
          <w:rFonts w:ascii="Arial" w:cs="Arial" w:eastAsia="Arial" w:hAnsi="Arial"/>
          <w:sz w:val="14"/>
          <w:szCs w:val="14"/>
          <w:color w:val="auto"/>
        </w:rPr>
        <w:t>264,571</w:t>
      </w:r>
    </w:p>
    <w:p>
      <w:pPr>
        <w:spacing w:after="0" w:line="41" w:lineRule="exact"/>
        <w:rPr>
          <w:rFonts w:ascii="Arial" w:cs="Arial" w:eastAsia="Arial" w:hAnsi="Arial"/>
          <w:sz w:val="14"/>
          <w:szCs w:val="14"/>
          <w:color w:val="auto"/>
        </w:rPr>
      </w:pPr>
    </w:p>
    <w:p>
      <w:pPr>
        <w:ind w:left="565"/>
        <w:spacing w:after="0"/>
        <w:rPr>
          <w:rFonts w:ascii="Arial" w:cs="Arial" w:eastAsia="Arial" w:hAnsi="Arial"/>
          <w:sz w:val="14"/>
          <w:szCs w:val="14"/>
          <w:color w:val="auto"/>
        </w:rPr>
      </w:pPr>
      <w:r>
        <w:rPr>
          <w:rFonts w:ascii="Arial" w:cs="Arial" w:eastAsia="Arial" w:hAnsi="Arial"/>
          <w:sz w:val="14"/>
          <w:szCs w:val="14"/>
          <w:color w:val="auto"/>
        </w:rPr>
        <w:t>273,831</w:t>
      </w:r>
    </w:p>
    <w:p>
      <w:pPr>
        <w:spacing w:after="0" w:line="41" w:lineRule="exact"/>
        <w:rPr>
          <w:rFonts w:ascii="Arial" w:cs="Arial" w:eastAsia="Arial" w:hAnsi="Arial"/>
          <w:sz w:val="14"/>
          <w:szCs w:val="14"/>
          <w:color w:val="auto"/>
        </w:rPr>
      </w:pPr>
    </w:p>
    <w:p>
      <w:pPr>
        <w:ind w:left="565"/>
        <w:spacing w:after="0"/>
        <w:rPr>
          <w:rFonts w:ascii="Arial" w:cs="Arial" w:eastAsia="Arial" w:hAnsi="Arial"/>
          <w:sz w:val="14"/>
          <w:szCs w:val="14"/>
          <w:color w:val="auto"/>
        </w:rPr>
      </w:pPr>
      <w:r>
        <w:rPr>
          <w:rFonts w:ascii="Arial" w:cs="Arial" w:eastAsia="Arial" w:hAnsi="Arial"/>
          <w:sz w:val="14"/>
          <w:szCs w:val="14"/>
          <w:color w:val="auto"/>
        </w:rPr>
        <w:t>283,415</w:t>
      </w:r>
    </w:p>
    <w:p>
      <w:pPr>
        <w:spacing w:after="0" w:line="41" w:lineRule="exact"/>
        <w:rPr>
          <w:rFonts w:ascii="Arial" w:cs="Arial" w:eastAsia="Arial" w:hAnsi="Arial"/>
          <w:sz w:val="14"/>
          <w:szCs w:val="14"/>
          <w:color w:val="auto"/>
        </w:rPr>
      </w:pPr>
    </w:p>
    <w:p>
      <w:pPr>
        <w:ind w:left="565"/>
        <w:spacing w:after="0"/>
        <w:rPr>
          <w:rFonts w:ascii="Arial" w:cs="Arial" w:eastAsia="Arial" w:hAnsi="Arial"/>
          <w:sz w:val="14"/>
          <w:szCs w:val="14"/>
          <w:color w:val="auto"/>
        </w:rPr>
      </w:pPr>
      <w:r>
        <w:rPr>
          <w:rFonts w:ascii="Arial" w:cs="Arial" w:eastAsia="Arial" w:hAnsi="Arial"/>
          <w:sz w:val="14"/>
          <w:szCs w:val="14"/>
          <w:color w:val="auto"/>
        </w:rPr>
        <w:t>333,654</w:t>
      </w:r>
    </w:p>
    <w:p>
      <w:pPr>
        <w:spacing w:after="0" w:line="61" w:lineRule="exact"/>
        <w:rPr>
          <w:sz w:val="20"/>
          <w:szCs w:val="20"/>
          <w:color w:val="auto"/>
        </w:rPr>
      </w:pPr>
    </w:p>
    <w:p>
      <w:pPr>
        <w:sectPr>
          <w:pgSz w:w="11900" w:h="16838" w:orient="portrait"/>
          <w:cols w:equalWidth="0" w:num="2">
            <w:col w:w="9475" w:space="720"/>
            <w:col w:w="1225"/>
          </w:cols>
          <w:pgMar w:left="240" w:top="485" w:right="239" w:bottom="1440" w:gutter="0" w:footer="0" w:header="0"/>
        </w:sectPr>
      </w:pPr>
    </w:p>
    <w:tbl>
      <w:tblPr>
        <w:tblLayout w:type="fixed"/>
        <w:tblInd w:w="0" w:type="dxa"/>
        <w:tblCellMar>
          <w:top w:w="0" w:type="dxa"/>
          <w:left w:w="0" w:type="dxa"/>
          <w:bottom w:w="0" w:type="dxa"/>
          <w:right w:w="0" w:type="dxa"/>
        </w:tblCellMar>
      </w:tblPr>
      <w:tr>
        <w:trPr>
          <w:trHeight w:val="20"/>
        </w:trPr>
        <w:tc>
          <w:tcPr>
            <w:tcW w:w="63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1"/>
        </w:trPr>
        <w:tc>
          <w:tcPr>
            <w:tcW w:w="6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undiscounted lease payments</w:t>
            </w:r>
          </w:p>
        </w:tc>
        <w:tc>
          <w:tcPr>
            <w:tcW w:w="38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1,453,922</w:t>
            </w:r>
          </w:p>
        </w:tc>
      </w:tr>
      <w:tr>
        <w:trPr>
          <w:trHeight w:val="203"/>
        </w:trPr>
        <w:tc>
          <w:tcPr>
            <w:tcW w:w="6340" w:type="dxa"/>
            <w:vAlign w:val="bottom"/>
          </w:tcPr>
          <w:p>
            <w:pPr>
              <w:ind w:left="40"/>
              <w:spacing w:after="0"/>
              <w:rPr>
                <w:sz w:val="20"/>
                <w:szCs w:val="20"/>
                <w:color w:val="auto"/>
              </w:rPr>
            </w:pPr>
            <w:r>
              <w:rPr>
                <w:rFonts w:ascii="Arial" w:cs="Arial" w:eastAsia="Arial" w:hAnsi="Arial"/>
                <w:sz w:val="16"/>
                <w:szCs w:val="16"/>
                <w:color w:val="auto"/>
              </w:rPr>
              <w:t>Less: present value adjustment</w:t>
            </w:r>
          </w:p>
        </w:tc>
        <w:tc>
          <w:tcPr>
            <w:tcW w:w="3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230,834</w:t>
            </w:r>
          </w:p>
        </w:tc>
      </w:tr>
      <w:tr>
        <w:trPr>
          <w:trHeight w:val="25"/>
        </w:trPr>
        <w:tc>
          <w:tcPr>
            <w:tcW w:w="63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6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Operating lease liability</w:t>
            </w:r>
          </w:p>
        </w:tc>
        <w:tc>
          <w:tcPr>
            <w:tcW w:w="4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1,223,088</w:t>
            </w:r>
          </w:p>
        </w:tc>
      </w:tr>
      <w:tr>
        <w:trPr>
          <w:trHeight w:val="20"/>
        </w:trPr>
        <w:tc>
          <w:tcPr>
            <w:tcW w:w="6340" w:type="dxa"/>
            <w:vAlign w:val="bottom"/>
            <w:tcBorders>
              <w:top w:val="single" w:sz="8" w:color="CCEEFF"/>
            </w:tcBorders>
            <w:shd w:val="clear" w:color="auto" w:fill="CCEEFF"/>
          </w:tcPr>
          <w:p>
            <w:pPr>
              <w:spacing w:after="0" w:line="20" w:lineRule="exact"/>
              <w:rPr>
                <w:sz w:val="1"/>
                <w:szCs w:val="1"/>
                <w:color w:val="auto"/>
              </w:rPr>
            </w:pPr>
          </w:p>
        </w:tc>
        <w:tc>
          <w:tcPr>
            <w:tcW w:w="38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333"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Rent expense for the three months ended September 30, 2019 and 2018 amounted to $41,342 for each period. Rent expense for the nine months ended September 30, 2019 and 2018 amounted to $124,026 for each period. Rent expense is included in the accompanying condensed consolidated statements of operations and comprehensive income (loss) within other underwriting expenses.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Employment Agreements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Dale A. Thatcher</w:t>
      </w:r>
    </w:p>
    <w:p>
      <w:pPr>
        <w:spacing w:after="0" w:line="221"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Effective July 19, 2019 (the “Separation Date”), Dale A. Thatcher retired and resigned his positions as Chief Executive Officer and President of the Company and KICO. At such time, he also resigned his positions on the Board of Directors of each of the Company and KICO. Effective upon Mr. Thatcher’s separation from employment, the Board appointed Barry B. Goldstein, former Chief Executive Officer and Executive Chairman of the Board of Directors, to the position of Chief Executive Officer and President of each of the Company and KICO. Mr. Goldstein previously served as Chief Executive Officer and President of the Company from March 2001 through December 31, 2018, and as Chief Executive Officer and President of KICO from January 2012 through December 31, 2018.</w:t>
      </w:r>
    </w:p>
    <w:p>
      <w:pPr>
        <w:spacing w:after="0" w:line="173" w:lineRule="exact"/>
        <w:rPr>
          <w:sz w:val="20"/>
          <w:szCs w:val="20"/>
          <w:color w:val="auto"/>
        </w:rPr>
      </w:pPr>
    </w:p>
    <w:p>
      <w:pPr>
        <w:jc w:val="both"/>
        <w:spacing w:after="0" w:line="288" w:lineRule="auto"/>
        <w:rPr>
          <w:sz w:val="20"/>
          <w:szCs w:val="20"/>
          <w:color w:val="auto"/>
        </w:rPr>
      </w:pPr>
      <w:r>
        <w:rPr>
          <w:rFonts w:ascii="Arial" w:cs="Arial" w:eastAsia="Arial" w:hAnsi="Arial"/>
          <w:sz w:val="15"/>
          <w:szCs w:val="15"/>
          <w:color w:val="auto"/>
        </w:rPr>
        <w:t>In connection with his separation from employment, each of the Company and KICO entered into an Agreement and General Release (the “Separation Agreement”) with Mr. Thatcher. Pursuant to the Separation Agreement, the Company and KICO shall collectively provide the following payments and benefits to Mr. Thatcher in full satisfaction of all payments and benefits and other amounts due to him under the terms of the existing employment agreements upon his separation from employment: (i) an amount equal to $381,111 (representing the amount of base salary he would have received had he remained employed through March 31, 2020), (ii) an amount equal to $5,000 in full satisfaction for any bonus payments payable under the existing employment agreements, (iii) continuing group health coverage commencing on the Separation Date and ending on March 31, 2020, and (iv) continued vesting of all previously granted but unvested stock awards as of the Separation Date (Mr. Thatcher shall not be entitled to any further grants of stock awards after the Separation Date). In addition, the Company and KICO agreed to provide Mr. Thatcher with a severance payment of $20,000 in consideration for a release. As required by the employment agreements, Mr. Thatcher covenanted that, for a period of three years following the Separation Date, he shall not accept any operating executive role with another property and casualty insurance company.</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Barry Goldstein, President, Chief Executive Officer and Executive Chairman of the Board</w:t>
      </w:r>
    </w:p>
    <w:p>
      <w:pPr>
        <w:spacing w:after="0" w:line="22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October 14, 2019, the Company and Barry B. Goldstein, the Company’s President, Chief Executive Officer and Executive Chairman of the Board, entered into a Second Amended and Restated Employment Agreement (the “Amended Employment Agreement”). The Amended Employment Agreement is effective as of January 1, 2020 and expires on December 31, 2022. The Amended Employment Agreement extends the expiration date of the employment agreement in effect for Mr. Goldstein from December 31, 2021 to December 31, 2022.</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type w:val="continuous"/>
        </w:sectPr>
      </w:pPr>
    </w:p>
    <w:bookmarkStart w:id="37" w:name="page38"/>
    <w:bookmarkEnd w:id="37"/>
    <w:p>
      <w:pPr>
        <w:jc w:val="both"/>
        <w:spacing w:after="0" w:line="267" w:lineRule="auto"/>
        <w:rPr>
          <w:sz w:val="20"/>
          <w:szCs w:val="20"/>
          <w:color w:val="auto"/>
        </w:rPr>
      </w:pPr>
      <w:r>
        <w:rPr>
          <w:rFonts w:ascii="Arial" w:cs="Arial" w:eastAsia="Arial" w:hAnsi="Arial"/>
          <w:sz w:val="16"/>
          <w:szCs w:val="16"/>
          <w:color w:val="auto"/>
        </w:rPr>
        <w:t>Pursuant to the Amended Employment Agreement, Mr. Goldstein is entitled to receive an annual base salary of $500,000 and an annual bonus equal to 6% of the Company’s consolidated income from operations before taxes, exclusive of the Company’s consolidated net investment income (loss), net unrealized gains (losses) on equity securities and net realized gains (losses) on investments, up to a maximum of 2.5 times his base salary. In addition, pursuant to the Amended Employment Agreement, Mr. Goldstein is entitled to receive a long-term compensation award (“LTC”) of between $945,000 and $2,835,000 based on a specified minimum increase in the Company’s adjusted book value per share (as defined in the Amended Employment Agreement) as of December 31, 2022 as compared to December 31, 2019 (with the maximum LTC payment being due if the average per annum increase is at least 14%). Further, pursuant to the Amended Employment Agreement, in the event that Mr. Goldstein’s employment is terminated by the Company without cause or he resigns for good reason (each as defined in the Amended Employment Agreement), Mr. Goldstein would be entitled to receive his base salary, the 6% bonus and the LTC payment for the remainder of the term. Mr. Goldstein would be entitled, under certain circumstances, to a payment equal to 3.82 times his then annual salary, the target LTC payment of $1,890,000 and his accrued 6% bonus in the event of the termination of his employment following a change of control of the Company.</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Pursuant to the Amended Employment Agreement, Mr. Goldstein will be entitled to receive a grant, under the terms of the Company’s 2014 Plan, during January 2020, of a number of shares of restricted stock determined by dividing $1,250,000 by the fair market value of the Company’s common stock on the date of grant. The January 2020 grant will become vested with respect to one-third of the award on each of the first and second anniversaries of the grant date and on December 31, 2022 based on continued provision of services on each vesting date. Also pursuant to the Amended Employment Agreement, Mr. Goldstein will be entitled to receive a grant, under the terms of the 2014 Plan, during January 2021, of a number of shares of restricted stock determined by dividing $1,500,000 by the fair market value of the Company’s common stock on the date of grant. The January 2021 grant will become vested with respect to one-half of the award on each of the first anniversary of the grant date and on December 31, 2022 based on continued provision of services on each vesting date. Further, pursuant to the Amended Employment Agreement, Mr. Goldstein will be entitled to receive a grant, under the terms of the 2014 Plan, during each of 2020, 2021 and 2022, of a number of shares of restricted stock determined by dividing $136,500 by the fair market value of the Company’s common stock on the date of grant. The 2020 grant will become vested with respect to one-third of the award on each of the first and second anniversaries of the grant date and on December 31, 2022. The 2021 grant will become vested with respect to one-half of the award on each of the first anniversary of the grant date and on December 31, 2022. The 2022 grant will become vested on December 31, 2022.</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Meryl Golden, Chief Operating Officer</w:t>
      </w:r>
    </w:p>
    <w:p>
      <w:pPr>
        <w:spacing w:after="0" w:line="221"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On September 16, 2019, the Company and Meryl Golden entered into an employment agreement (the “Golden Employment Agreement”) pursuant to which Ms. Golden serves as the Company’s Chief Operating Officer. Ms. Golden also serves KICO’s Chief Operating Officer. The Golden Employment Agreement became effective as of September 25, 2019 and expires on December 31, 2021.</w:t>
      </w:r>
    </w:p>
    <w:p>
      <w:pPr>
        <w:spacing w:after="0" w:line="16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Pursuant to the Golden Employment Agreement, Ms. Golden is entitled to receive an annual salary of $500,000. The Golden Employment also provides for the grant on the effective date of a five year option for the purchase of 50,000 shares of the Company’s common stock pursuant to the 2014 Plan. The options granted will vest in three equal installments, with the first installment vesting on the grant date, and the remaining installments vesting on the first and second anniversaries following the grant date, subject to the terms of the option grant agreement between the Company and Ms. Golden.</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 Deferred Compensation Plan</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On June 18, 2018, the Company adopted the Kingstone Companies, Inc. Deferred Compensation Plan (the "Deferred Compensation Plan"). The Deferred Compensation Plan is offered to a select group (“Participants”), consisting of management and highly compensated employees as a method of recognizing and retaining such Participants. The Deferred Compensation Plan provides for eligible Participants to elect to defer up to 75% of their base compensation and up to 100% of bonuses and other compensation and to have such deferred amounts deemed to be invested in specified investment options. In addition to the Participant deferrals, the Company may choose to make matching contributions to some or all of the Participants in the Deferred Compensation Plan to the extent the Participant did not receive the maximum matching or non-elective contributions permissible under the Company’s 401(k) Plan due to limitations under the Internal Revenue Code or the 401(k) Plan. Participants may elect to receive payment of their account balances in a single cash payment or in annual installments for a period of up to ten years. The first payroll subject to the Deferred Compensation Plan was in July 2018. The deferred compensation liability as of September 30, 2019 and December 31, 2018 amounted to $530,744 and $298,638, respectively, and is recorded in accounts payable, accrued expenses and other liabilities in the accompanying condensed consolidated balance sheets. The Company did not make any voluntary contributions for the nine months ended September 30, 2019.</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 Subsequent Events</w:t>
      </w:r>
    </w:p>
    <w:p>
      <w:pPr>
        <w:spacing w:after="0" w:line="16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has evaluated events that occurred subsequent to September 30, 2019 through the date these condensed consolidated financial statements were issued for matters that required disclosure or adjustment in these condensed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Employment Agreements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See Note 11 - Commitments and Contingencies.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Dividends Declared</w:t>
      </w:r>
    </w:p>
    <w:p>
      <w:pPr>
        <w:spacing w:after="0" w:line="22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November 11, 2019, the Company’s Board of Directors approved a quarterly dividend of $0.0625 per share payable in cash on December 13, 2019 to stockholders of record as of the close of business on November 29, 2019 (see Note 8).</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Capital Contribution to KICO</w:t>
      </w:r>
    </w:p>
    <w:p>
      <w:pPr>
        <w:spacing w:after="0" w:line="22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November 11, 2019, the Company’s Board of Directors approved a $3,000,000 capital contribution to KICO, which is subject to approval from the New York State Department of Financial Services.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38" w:name="page39"/>
    <w:bookmarkEnd w:id="38"/>
    <w:p>
      <w:pPr>
        <w:ind w:right="2220"/>
        <w:spacing w:after="0" w:line="448" w:lineRule="auto"/>
        <w:rPr>
          <w:sz w:val="20"/>
          <w:szCs w:val="20"/>
          <w:color w:val="auto"/>
        </w:rPr>
      </w:pPr>
      <w:r>
        <w:rPr>
          <w:rFonts w:ascii="Arial" w:cs="Arial" w:eastAsia="Arial" w:hAnsi="Arial"/>
          <w:sz w:val="16"/>
          <w:szCs w:val="16"/>
          <w:b w:val="1"/>
          <w:bCs w:val="1"/>
          <w:u w:val="single" w:color="auto"/>
          <w:color w:val="auto"/>
        </w:rPr>
        <w:t>ITEM 2</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MANAGEMENT’S DISCUSSION AND ANALYSIS OF FINANCIAL CONDITION AND RESULTS OF OPERATIONS</w:t>
      </w:r>
      <w:r>
        <w:rPr>
          <w:rFonts w:ascii="Arial" w:cs="Arial" w:eastAsia="Arial" w:hAnsi="Arial"/>
          <w:sz w:val="16"/>
          <w:szCs w:val="16"/>
          <w:color w:val="auto"/>
        </w:rPr>
        <w:t>.</w:t>
      </w:r>
      <w:r>
        <w:rPr>
          <w:rFonts w:ascii="Arial" w:cs="Arial" w:eastAsia="Arial" w:hAnsi="Arial"/>
          <w:sz w:val="16"/>
          <w:szCs w:val="16"/>
          <w:b w:val="1"/>
          <w:bCs w:val="1"/>
          <w:color w:val="auto"/>
        </w:rPr>
        <w:t xml:space="preserve"> Overview</w:t>
      </w:r>
    </w:p>
    <w:p>
      <w:pPr>
        <w:spacing w:after="0" w:line="1" w:lineRule="exact"/>
        <w:rPr>
          <w:sz w:val="20"/>
          <w:szCs w:val="20"/>
          <w:color w:val="auto"/>
        </w:rPr>
      </w:pPr>
    </w:p>
    <w:p>
      <w:pPr>
        <w:jc w:val="both"/>
        <w:ind w:firstLine="608"/>
        <w:spacing w:after="0" w:line="272" w:lineRule="auto"/>
        <w:rPr>
          <w:sz w:val="20"/>
          <w:szCs w:val="20"/>
          <w:color w:val="auto"/>
        </w:rPr>
      </w:pPr>
      <w:r>
        <w:rPr>
          <w:rFonts w:ascii="Arial" w:cs="Arial" w:eastAsia="Arial" w:hAnsi="Arial"/>
          <w:sz w:val="16"/>
          <w:szCs w:val="16"/>
          <w:color w:val="auto"/>
        </w:rPr>
        <w:t>We offer property and casualty insurance products to individuals and small businesses through our wholly owned subsidiary, Kingstone Insurance Company (“KICO”). KICO’s insureds are located primarily in downstate New York, consisting of New York City and Long Island, although we are actively writing business in New Jersey, Rhode Island, Massachusetts, and Connecticut. We are licensed in the States of New York, New Jersey, Rhode Island, Massachusetts, Pennsylvania, Connecticut, Maine, and New Hampshire. For the three months and nine months ended September 30, 2019, respectively, 84.0% and 86.8% of KICO’s direct written premiums came from the New York policies.</w:t>
      </w:r>
    </w:p>
    <w:p>
      <w:pPr>
        <w:spacing w:after="0" w:line="110" w:lineRule="exact"/>
        <w:rPr>
          <w:sz w:val="20"/>
          <w:szCs w:val="20"/>
          <w:color w:val="auto"/>
        </w:rPr>
      </w:pPr>
    </w:p>
    <w:p>
      <w:pPr>
        <w:jc w:val="both"/>
        <w:ind w:firstLine="608"/>
        <w:spacing w:after="0" w:line="270" w:lineRule="auto"/>
        <w:rPr>
          <w:sz w:val="20"/>
          <w:szCs w:val="20"/>
          <w:color w:val="auto"/>
        </w:rPr>
      </w:pPr>
      <w:r>
        <w:rPr>
          <w:rFonts w:ascii="Arial" w:cs="Arial" w:eastAsia="Arial" w:hAnsi="Arial"/>
          <w:sz w:val="16"/>
          <w:szCs w:val="16"/>
          <w:color w:val="auto"/>
        </w:rPr>
        <w:t>In addition, through our subsidiary, Cosi Agency, Inc. (“Cosi”), a multi-state licensed general agency, we access alternative distribution channels. Through Cosi, we have the opportunity to partner with name-brand carriers and access nationwide insurance agencies. See “Distribution Channels” below for a discussion of our distribution channels. Cosi receives commission revenue from KICO for the policies it places with others and pays commissions to these agencies. Cosi retains the profit between the commission revenue received and the commission expense paid. Cosi revenue is included in other income and Cosi related expenses are included in other operating expenses. Cosi operations are not included in our stand-alone insurance underwriting business and, accordingly, its revenue and expenses are not included in the calculation of our combined ratio as described below.</w:t>
      </w:r>
    </w:p>
    <w:p>
      <w:pPr>
        <w:spacing w:after="0" w:line="253" w:lineRule="exact"/>
        <w:rPr>
          <w:sz w:val="20"/>
          <w:szCs w:val="20"/>
          <w:color w:val="auto"/>
        </w:rPr>
      </w:pPr>
    </w:p>
    <w:p>
      <w:pPr>
        <w:jc w:val="both"/>
        <w:ind w:firstLine="608"/>
        <w:spacing w:after="0" w:line="292" w:lineRule="auto"/>
        <w:rPr>
          <w:sz w:val="20"/>
          <w:szCs w:val="20"/>
          <w:color w:val="auto"/>
        </w:rPr>
      </w:pPr>
      <w:r>
        <w:rPr>
          <w:rFonts w:ascii="Arial" w:cs="Arial" w:eastAsia="Arial" w:hAnsi="Arial"/>
          <w:sz w:val="15"/>
          <w:szCs w:val="15"/>
          <w:color w:val="auto"/>
        </w:rPr>
        <w:t>We derive substantially all of our revenue from KICO, which includes revenues from earned premiums, ceding commissions from quota share reinsurance, net investment income generated from its portfolio, and net realized gains and losses on investment securities. All of KICO’s insurance policies are written for a one-year term. Earned premiums represent premiums received from insureds, which are recognized as revenue over the period of time that insurance coverage is provided (i.e., ratably over the one-year life of the policy). A significant period of time can elapse from the receipt of insurance premiums to the payment of insurance claims. During this time, KICO invests the premiums, earns investment income and generates net realized and unrealized investment gains and losses on investments. Our holding company earns investment income from its cash holdings and may also generate net realized and unrealized investment gains and losses on future investments.</w:t>
      </w:r>
    </w:p>
    <w:p>
      <w:pPr>
        <w:spacing w:after="0" w:line="96" w:lineRule="exact"/>
        <w:rPr>
          <w:sz w:val="20"/>
          <w:szCs w:val="20"/>
          <w:color w:val="auto"/>
        </w:rPr>
      </w:pPr>
    </w:p>
    <w:p>
      <w:pPr>
        <w:jc w:val="both"/>
        <w:ind w:firstLine="608"/>
        <w:spacing w:after="0" w:line="275" w:lineRule="auto"/>
        <w:rPr>
          <w:sz w:val="20"/>
          <w:szCs w:val="20"/>
          <w:color w:val="auto"/>
        </w:rPr>
      </w:pPr>
      <w:r>
        <w:rPr>
          <w:rFonts w:ascii="Arial" w:cs="Arial" w:eastAsia="Arial" w:hAnsi="Arial"/>
          <w:sz w:val="16"/>
          <w:szCs w:val="16"/>
          <w:color w:val="auto"/>
        </w:rPr>
        <w:t>Our expenses include the insurance underwriting expenses of KICO and other operating expenses. Insurance companies incur a significant amount of their total expenses from losses incurred by policyholders, which are referred to as claims. In settling these claims, various loss adjustment expenses (“LAE”) are incurred such as insurance adjusters’ fees and legal expenses. In addition, insurance companies incur policy acquisition costs. Policy acquisition costs include commissions paid to producers, premium taxes, and other expenses related to the underwriting process, including employees’ compensation and benefits.</w:t>
      </w:r>
    </w:p>
    <w:p>
      <w:pPr>
        <w:spacing w:after="0" w:line="107" w:lineRule="exact"/>
        <w:rPr>
          <w:sz w:val="20"/>
          <w:szCs w:val="20"/>
          <w:color w:val="auto"/>
        </w:rPr>
      </w:pPr>
    </w:p>
    <w:p>
      <w:pPr>
        <w:jc w:val="both"/>
        <w:ind w:firstLine="608"/>
        <w:spacing w:after="0" w:line="280" w:lineRule="auto"/>
        <w:rPr>
          <w:sz w:val="20"/>
          <w:szCs w:val="20"/>
          <w:color w:val="auto"/>
        </w:rPr>
      </w:pPr>
      <w:r>
        <w:rPr>
          <w:rFonts w:ascii="Arial" w:cs="Arial" w:eastAsia="Arial" w:hAnsi="Arial"/>
          <w:sz w:val="16"/>
          <w:szCs w:val="16"/>
          <w:color w:val="auto"/>
        </w:rPr>
        <w:t>Other operating expenses include our corporate expenses as a holding company and operating expenses of Cosi. These corporate expenses include legal and auditing fees, executive employment costs, and other costs directly associated with being a public company. Cosi operating expenses primarily include commissions paid to brokers, employment costs, and consulting costs.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 Lines</w:t>
      </w:r>
    </w:p>
    <w:p>
      <w:pPr>
        <w:spacing w:after="0" w:line="162"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Our product lines include the following:</w:t>
      </w:r>
    </w:p>
    <w:p>
      <w:pPr>
        <w:spacing w:after="0" w:line="158" w:lineRule="exact"/>
        <w:rPr>
          <w:sz w:val="20"/>
          <w:szCs w:val="20"/>
          <w:color w:val="auto"/>
        </w:rPr>
      </w:pPr>
    </w:p>
    <w:p>
      <w:pPr>
        <w:ind w:left="600"/>
        <w:spacing w:after="0"/>
        <w:rPr>
          <w:sz w:val="20"/>
          <w:szCs w:val="20"/>
          <w:color w:val="auto"/>
        </w:rPr>
      </w:pPr>
      <w:r>
        <w:rPr>
          <w:rFonts w:ascii="Arial" w:cs="Arial" w:eastAsia="Arial" w:hAnsi="Arial"/>
          <w:sz w:val="15"/>
          <w:szCs w:val="15"/>
          <w:b w:val="1"/>
          <w:bCs w:val="1"/>
          <w:i w:val="1"/>
          <w:iCs w:val="1"/>
          <w:color w:val="auto"/>
        </w:rPr>
        <w:t xml:space="preserve">Personal lines: </w:t>
      </w:r>
      <w:r>
        <w:rPr>
          <w:rFonts w:ascii="Arial" w:cs="Arial" w:eastAsia="Arial" w:hAnsi="Arial"/>
          <w:sz w:val="15"/>
          <w:szCs w:val="15"/>
          <w:color w:val="auto"/>
        </w:rPr>
        <w:t>Our largest line of business is personal lines, consisting of homeowners, dwelling fire, cooperative/condominium, renters, and personal umbrella</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policies.</w:t>
      </w:r>
    </w:p>
    <w:p>
      <w:pPr>
        <w:spacing w:after="0" w:line="152" w:lineRule="exact"/>
        <w:rPr>
          <w:sz w:val="20"/>
          <w:szCs w:val="20"/>
          <w:color w:val="auto"/>
        </w:rPr>
      </w:pPr>
    </w:p>
    <w:p>
      <w:pPr>
        <w:jc w:val="both"/>
        <w:ind w:firstLine="649"/>
        <w:spacing w:after="0" w:line="275" w:lineRule="auto"/>
        <w:rPr>
          <w:sz w:val="20"/>
          <w:szCs w:val="20"/>
          <w:color w:val="auto"/>
        </w:rPr>
      </w:pPr>
      <w:r>
        <w:rPr>
          <w:rFonts w:ascii="Arial" w:cs="Arial" w:eastAsia="Arial" w:hAnsi="Arial"/>
          <w:sz w:val="16"/>
          <w:szCs w:val="16"/>
          <w:b w:val="1"/>
          <w:bCs w:val="1"/>
          <w:i w:val="1"/>
          <w:iCs w:val="1"/>
          <w:color w:val="auto"/>
        </w:rPr>
        <w:t xml:space="preserve">Commercial lines: </w:t>
      </w:r>
      <w:r>
        <w:rPr>
          <w:rFonts w:ascii="Arial" w:cs="Arial" w:eastAsia="Arial" w:hAnsi="Arial"/>
          <w:sz w:val="16"/>
          <w:szCs w:val="16"/>
          <w:color w:val="auto"/>
        </w:rPr>
        <w:t>Through July 2019, we offered businessowners policies, which consist primarily of small business retail, service, and office risks, with limited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exposures. We also wrote artisan’s liability policies for small independent contractors with smaller sized workforces. In addition, we wrote special multi-peril policies for larger and more specialized businessowners risks, including those with limited residential exposures. Further, we offered commercial umbrella policies written above our supporting commercial lines policies.</w:t>
      </w:r>
    </w:p>
    <w:p>
      <w:pPr>
        <w:spacing w:after="0" w:line="107" w:lineRule="exact"/>
        <w:rPr>
          <w:sz w:val="20"/>
          <w:szCs w:val="20"/>
          <w:color w:val="auto"/>
        </w:rPr>
      </w:pPr>
    </w:p>
    <w:p>
      <w:pPr>
        <w:jc w:val="both"/>
        <w:ind w:firstLine="608"/>
        <w:spacing w:after="0" w:line="272" w:lineRule="auto"/>
        <w:rPr>
          <w:sz w:val="20"/>
          <w:szCs w:val="20"/>
          <w:color w:val="auto"/>
        </w:rPr>
      </w:pPr>
      <w:r>
        <w:rPr>
          <w:rFonts w:ascii="Arial" w:cs="Arial" w:eastAsia="Arial" w:hAnsi="Arial"/>
          <w:sz w:val="16"/>
          <w:szCs w:val="16"/>
          <w:color w:val="auto"/>
        </w:rPr>
        <w:t>In May 2019, due to the poor performance of this line we placed a moratorium on new commercial lines and new commercial umbrella submissions while we further reviewed this business. In July 2019, due to the continuing poor performance of these lines, we made the decision to no longer underwrite commercial lines or commercial umbrella risks. In force policies for these lines will be non-renewed at the end of their current annual terms. For the nine months ended September 30, 2019, these policies represent approximately 12% of net premiums earned and 47% of loss and LAE reserves net of reinsurance recoverables. See discussion below under “Additional Financial Information”.</w:t>
      </w:r>
    </w:p>
    <w:p>
      <w:pPr>
        <w:spacing w:after="0" w:line="249" w:lineRule="exact"/>
        <w:rPr>
          <w:sz w:val="20"/>
          <w:szCs w:val="20"/>
          <w:color w:val="auto"/>
        </w:rPr>
      </w:pPr>
    </w:p>
    <w:p>
      <w:pPr>
        <w:jc w:val="both"/>
        <w:ind w:firstLine="608"/>
        <w:spacing w:after="0" w:line="296" w:lineRule="auto"/>
        <w:rPr>
          <w:sz w:val="20"/>
          <w:szCs w:val="20"/>
          <w:color w:val="auto"/>
        </w:rPr>
      </w:pPr>
      <w:r>
        <w:rPr>
          <w:rFonts w:ascii="Arial" w:cs="Arial" w:eastAsia="Arial" w:hAnsi="Arial"/>
          <w:sz w:val="16"/>
          <w:szCs w:val="16"/>
          <w:b w:val="1"/>
          <w:bCs w:val="1"/>
          <w:i w:val="1"/>
          <w:iCs w:val="1"/>
          <w:color w:val="auto"/>
        </w:rPr>
        <w:t xml:space="preserve">Livery physical damage: </w:t>
      </w:r>
      <w:r>
        <w:rPr>
          <w:rFonts w:ascii="Arial" w:cs="Arial" w:eastAsia="Arial" w:hAnsi="Arial"/>
          <w:sz w:val="16"/>
          <w:szCs w:val="16"/>
          <w:color w:val="auto"/>
        </w:rPr>
        <w:t>We write for-hire vehicle physical damage only policies for livery and car service vehicles and taxicabs. These policies insure only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physical damage portion of insurance for such vehicles, with no liability coverage included.</w:t>
      </w:r>
    </w:p>
    <w:p>
      <w:pPr>
        <w:spacing w:after="0" w:line="91" w:lineRule="exact"/>
        <w:rPr>
          <w:sz w:val="20"/>
          <w:szCs w:val="20"/>
          <w:color w:val="auto"/>
        </w:rPr>
      </w:pPr>
    </w:p>
    <w:p>
      <w:pPr>
        <w:ind w:left="600"/>
        <w:spacing w:after="0"/>
        <w:rPr>
          <w:sz w:val="20"/>
          <w:szCs w:val="20"/>
          <w:color w:val="auto"/>
        </w:rPr>
      </w:pPr>
      <w:r>
        <w:rPr>
          <w:rFonts w:ascii="Arial" w:cs="Arial" w:eastAsia="Arial" w:hAnsi="Arial"/>
          <w:sz w:val="16"/>
          <w:szCs w:val="16"/>
          <w:b w:val="1"/>
          <w:bCs w:val="1"/>
          <w:i w:val="1"/>
          <w:iCs w:val="1"/>
          <w:color w:val="auto"/>
        </w:rPr>
        <w:t xml:space="preserve">Other: </w:t>
      </w:r>
      <w:r>
        <w:rPr>
          <w:rFonts w:ascii="Arial" w:cs="Arial" w:eastAsia="Arial" w:hAnsi="Arial"/>
          <w:sz w:val="16"/>
          <w:szCs w:val="16"/>
          <w:color w:val="auto"/>
        </w:rPr>
        <w:t>We write canine legal liability policies and have a small participation in mandatory state joint underwriting associations.</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481" w:right="239" w:bottom="1440" w:gutter="0" w:footer="0" w:header="0"/>
        </w:sectPr>
      </w:pPr>
    </w:p>
    <w:bookmarkStart w:id="39" w:name="page40"/>
    <w:bookmarkEnd w:id="39"/>
    <w:p>
      <w:pPr>
        <w:spacing w:after="0"/>
        <w:rPr>
          <w:sz w:val="20"/>
          <w:szCs w:val="20"/>
          <w:color w:val="auto"/>
        </w:rPr>
      </w:pPr>
      <w:r>
        <w:rPr>
          <w:rFonts w:ascii="Arial" w:cs="Arial" w:eastAsia="Arial" w:hAnsi="Arial"/>
          <w:sz w:val="16"/>
          <w:szCs w:val="16"/>
          <w:b w:val="1"/>
          <w:bCs w:val="1"/>
          <w:color w:val="auto"/>
        </w:rPr>
        <w:t>Key Measures</w:t>
      </w:r>
    </w:p>
    <w:p>
      <w:pPr>
        <w:spacing w:after="0" w:line="162"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We utilize the following key measures in analyzing the results of our insurance underwriting business:</w:t>
      </w:r>
    </w:p>
    <w:p>
      <w:pPr>
        <w:spacing w:after="0" w:line="158" w:lineRule="exact"/>
        <w:rPr>
          <w:sz w:val="20"/>
          <w:szCs w:val="20"/>
          <w:color w:val="auto"/>
        </w:rPr>
      </w:pPr>
    </w:p>
    <w:p>
      <w:pPr>
        <w:jc w:val="both"/>
        <w:ind w:firstLine="608"/>
        <w:spacing w:after="0" w:line="296" w:lineRule="auto"/>
        <w:rPr>
          <w:sz w:val="20"/>
          <w:szCs w:val="20"/>
          <w:color w:val="auto"/>
        </w:rPr>
      </w:pPr>
      <w:r>
        <w:rPr>
          <w:rFonts w:ascii="Arial" w:cs="Arial" w:eastAsia="Arial" w:hAnsi="Arial"/>
          <w:sz w:val="16"/>
          <w:szCs w:val="16"/>
          <w:b w:val="1"/>
          <w:bCs w:val="1"/>
          <w:i w:val="1"/>
          <w:iCs w:val="1"/>
          <w:color w:val="auto"/>
        </w:rPr>
        <w:t xml:space="preserve">Net loss ratio: </w:t>
      </w:r>
      <w:r>
        <w:rPr>
          <w:rFonts w:ascii="Arial" w:cs="Arial" w:eastAsia="Arial" w:hAnsi="Arial"/>
          <w:sz w:val="16"/>
          <w:szCs w:val="16"/>
          <w:color w:val="auto"/>
        </w:rPr>
        <w:t>The net loss ratio is a measure of the underwriting profitability of an insurance company’s business. Expressed as a percentage, this is the ratio of net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losses LAE incurred to net premiums earned.</w:t>
      </w:r>
    </w:p>
    <w:p>
      <w:pPr>
        <w:spacing w:after="0" w:line="91" w:lineRule="exact"/>
        <w:rPr>
          <w:sz w:val="20"/>
          <w:szCs w:val="20"/>
          <w:color w:val="auto"/>
        </w:rPr>
      </w:pPr>
    </w:p>
    <w:p>
      <w:pPr>
        <w:jc w:val="both"/>
        <w:ind w:firstLine="608"/>
        <w:spacing w:after="0" w:line="280" w:lineRule="auto"/>
        <w:rPr>
          <w:sz w:val="20"/>
          <w:szCs w:val="20"/>
          <w:color w:val="auto"/>
        </w:rPr>
      </w:pPr>
      <w:r>
        <w:rPr>
          <w:rFonts w:ascii="Arial" w:cs="Arial" w:eastAsia="Arial" w:hAnsi="Arial"/>
          <w:sz w:val="16"/>
          <w:szCs w:val="16"/>
          <w:b w:val="1"/>
          <w:bCs w:val="1"/>
          <w:i w:val="1"/>
          <w:iCs w:val="1"/>
          <w:color w:val="auto"/>
        </w:rPr>
        <w:t xml:space="preserve">Net underwriting expense ratio: </w:t>
      </w:r>
      <w:r>
        <w:rPr>
          <w:rFonts w:ascii="Arial" w:cs="Arial" w:eastAsia="Arial" w:hAnsi="Arial"/>
          <w:sz w:val="16"/>
          <w:szCs w:val="16"/>
          <w:color w:val="auto"/>
        </w:rPr>
        <w:t>The net underwriting expense ratio is a measure of an insurance company’s operational efficiency in administering its business.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Expressed as a percentage, this is the ratio of the sum of acquisition costs (the most significant being commissions paid to our producers) and other underwriting expenses less ceding commission revenue less other income to net premiums earned.</w:t>
      </w:r>
    </w:p>
    <w:p>
      <w:pPr>
        <w:spacing w:after="0" w:line="103" w:lineRule="exact"/>
        <w:rPr>
          <w:sz w:val="20"/>
          <w:szCs w:val="20"/>
          <w:color w:val="auto"/>
        </w:rPr>
      </w:pPr>
    </w:p>
    <w:p>
      <w:pPr>
        <w:jc w:val="both"/>
        <w:ind w:firstLine="608"/>
        <w:spacing w:after="0" w:line="280" w:lineRule="auto"/>
        <w:rPr>
          <w:sz w:val="20"/>
          <w:szCs w:val="20"/>
          <w:color w:val="auto"/>
        </w:rPr>
      </w:pPr>
      <w:r>
        <w:rPr>
          <w:rFonts w:ascii="Arial" w:cs="Arial" w:eastAsia="Arial" w:hAnsi="Arial"/>
          <w:sz w:val="16"/>
          <w:szCs w:val="16"/>
          <w:b w:val="1"/>
          <w:bCs w:val="1"/>
          <w:i w:val="1"/>
          <w:iCs w:val="1"/>
          <w:color w:val="auto"/>
        </w:rPr>
        <w:t xml:space="preserve">Net combined ratio: </w:t>
      </w:r>
      <w:r>
        <w:rPr>
          <w:rFonts w:ascii="Arial" w:cs="Arial" w:eastAsia="Arial" w:hAnsi="Arial"/>
          <w:sz w:val="16"/>
          <w:szCs w:val="16"/>
          <w:color w:val="auto"/>
        </w:rPr>
        <w:t>The net combined ratio is a measure of an insurance company’s overall underwriting profit. This is the sum of the net loss and net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underwriting expense ratios. If the net combined ratio is at or above 100 percent, an insurance company cannot be profitable without investment income, and may not be profitable if investment income is insufficient.</w:t>
      </w:r>
    </w:p>
    <w:p>
      <w:pPr>
        <w:spacing w:after="0" w:line="103" w:lineRule="exact"/>
        <w:rPr>
          <w:sz w:val="20"/>
          <w:szCs w:val="20"/>
          <w:color w:val="auto"/>
        </w:rPr>
      </w:pPr>
    </w:p>
    <w:p>
      <w:pPr>
        <w:jc w:val="both"/>
        <w:ind w:firstLine="608"/>
        <w:spacing w:after="0" w:line="275" w:lineRule="auto"/>
        <w:rPr>
          <w:sz w:val="20"/>
          <w:szCs w:val="20"/>
          <w:color w:val="auto"/>
        </w:rPr>
      </w:pPr>
      <w:r>
        <w:rPr>
          <w:rFonts w:ascii="Arial" w:cs="Arial" w:eastAsia="Arial" w:hAnsi="Arial"/>
          <w:sz w:val="16"/>
          <w:szCs w:val="16"/>
          <w:b w:val="1"/>
          <w:bCs w:val="1"/>
          <w:i w:val="1"/>
          <w:iCs w:val="1"/>
          <w:color w:val="auto"/>
        </w:rPr>
        <w:t xml:space="preserve">Underwriting income: </w:t>
      </w:r>
      <w:r>
        <w:rPr>
          <w:rFonts w:ascii="Arial" w:cs="Arial" w:eastAsia="Arial" w:hAnsi="Arial"/>
          <w:sz w:val="16"/>
          <w:szCs w:val="16"/>
          <w:color w:val="auto"/>
        </w:rPr>
        <w:t>Underwriting income is net pre-tax income attributable to our insurance underwriting business before investment activity. It excludes net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 income, net realized gains from investments, and depreciation and amortization (net premiums earned less expenses included in combined ratio). Underwriting income is a measure of an insurance company’s overall operating profitability before items such as investment income, depreciation and amortization, interest expense and income taxes.</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Distribution Channels</w:t>
      </w:r>
    </w:p>
    <w:p>
      <w:pPr>
        <w:spacing w:after="0" w:line="162" w:lineRule="exact"/>
        <w:rPr>
          <w:sz w:val="20"/>
          <w:szCs w:val="20"/>
          <w:color w:val="auto"/>
        </w:rPr>
      </w:pPr>
    </w:p>
    <w:p>
      <w:pPr>
        <w:jc w:val="both"/>
        <w:ind w:firstLine="608"/>
        <w:spacing w:after="0" w:line="298" w:lineRule="auto"/>
        <w:rPr>
          <w:sz w:val="20"/>
          <w:szCs w:val="20"/>
          <w:color w:val="auto"/>
        </w:rPr>
      </w:pPr>
      <w:r>
        <w:rPr>
          <w:rFonts w:ascii="Arial" w:cs="Arial" w:eastAsia="Arial" w:hAnsi="Arial"/>
          <w:sz w:val="15"/>
          <w:szCs w:val="15"/>
          <w:color w:val="auto"/>
        </w:rPr>
        <w:t>During 2019, we initiated an alternative distribution program through Cosi (“Alternative Distribution”). The goal of this program is to enhance our personal lines distribution channel to include nationally recognized name-brand carriers along with nationwide call center and digital insurance agencies. While still in early stages of development, the impact of this initiative can be measured by the amount of new premiums written compared to total premiums written, which includes renewals from our independent agency network. The table below shows premiums written by distribution channel for our homeowners and dwelling fire components of personal lines.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100" w:type="dxa"/>
            <w:vAlign w:val="bottom"/>
            <w:vMerge w:val="restart"/>
          </w:tcPr>
          <w:p>
            <w:pPr>
              <w:ind w:left="40"/>
              <w:spacing w:after="0"/>
              <w:rPr>
                <w:sz w:val="20"/>
                <w:szCs w:val="20"/>
                <w:color w:val="auto"/>
              </w:rPr>
            </w:pPr>
            <w:r>
              <w:rPr>
                <w:rFonts w:ascii="Arial" w:cs="Arial" w:eastAsia="Arial" w:hAnsi="Arial"/>
                <w:sz w:val="16"/>
                <w:szCs w:val="16"/>
                <w:color w:val="auto"/>
              </w:rPr>
              <w:t>($ in thousands)</w:t>
            </w:r>
          </w:p>
        </w:tc>
        <w:tc>
          <w:tcPr>
            <w:tcW w:w="200" w:type="dxa"/>
            <w:vAlign w:val="bottom"/>
          </w:tcPr>
          <w:p>
            <w:pPr>
              <w:spacing w:after="0"/>
              <w:rPr>
                <w:sz w:val="15"/>
                <w:szCs w:val="15"/>
                <w:color w:val="auto"/>
              </w:rPr>
            </w:pPr>
          </w:p>
        </w:tc>
        <w:tc>
          <w:tcPr>
            <w:tcW w:w="252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5"/>
                <w:szCs w:val="15"/>
                <w:color w:val="auto"/>
              </w:rPr>
            </w:pPr>
          </w:p>
        </w:tc>
        <w:tc>
          <w:tcPr>
            <w:tcW w:w="2420" w:type="dxa"/>
            <w:vAlign w:val="bottom"/>
            <w:gridSpan w:val="5"/>
          </w:tcPr>
          <w:p>
            <w:pPr>
              <w:ind w:left="4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17"/>
        </w:trPr>
        <w:tc>
          <w:tcPr>
            <w:tcW w:w="6100" w:type="dxa"/>
            <w:vAlign w:val="bottom"/>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3"/>
          </w:tcPr>
          <w:p>
            <w:pPr>
              <w:jc w:val="right"/>
              <w:ind w:right="640"/>
              <w:spacing w:after="0"/>
              <w:rPr>
                <w:sz w:val="20"/>
                <w:szCs w:val="20"/>
                <w:color w:val="auto"/>
              </w:rPr>
            </w:pPr>
            <w:r>
              <w:rPr>
                <w:rFonts w:ascii="Arial" w:cs="Arial" w:eastAsia="Arial" w:hAnsi="Arial"/>
                <w:sz w:val="14"/>
                <w:szCs w:val="14"/>
                <w:b w:val="1"/>
                <w:bCs w:val="1"/>
                <w:color w:val="auto"/>
              </w:rPr>
              <w:t>September 30, 2019</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September 30, 2019</w:t>
            </w:r>
          </w:p>
        </w:tc>
        <w:tc>
          <w:tcPr>
            <w:tcW w:w="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100" w:type="dxa"/>
            <w:vAlign w:val="bottom"/>
          </w:tcPr>
          <w:p>
            <w:pPr>
              <w:ind w:left="40"/>
              <w:spacing w:after="0"/>
              <w:rPr>
                <w:sz w:val="20"/>
                <w:szCs w:val="20"/>
                <w:color w:val="auto"/>
              </w:rPr>
            </w:pPr>
            <w:r>
              <w:rPr>
                <w:rFonts w:ascii="Arial" w:cs="Arial" w:eastAsia="Arial" w:hAnsi="Arial"/>
                <w:sz w:val="16"/>
                <w:szCs w:val="16"/>
                <w:color w:val="auto"/>
              </w:rPr>
              <w:t>Direct Written Pemiums</w:t>
            </w:r>
          </w:p>
        </w:tc>
        <w:tc>
          <w:tcPr>
            <w:tcW w:w="20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13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Percent</w:t>
            </w:r>
          </w:p>
        </w:tc>
        <w:tc>
          <w:tcPr>
            <w:tcW w:w="200" w:type="dxa"/>
            <w:vAlign w:val="bottom"/>
          </w:tcPr>
          <w:p>
            <w:pPr>
              <w:spacing w:after="0"/>
              <w:rPr>
                <w:sz w:val="20"/>
                <w:szCs w:val="20"/>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Amount</w:t>
            </w:r>
          </w:p>
        </w:tc>
        <w:tc>
          <w:tcPr>
            <w:tcW w:w="1240" w:type="dxa"/>
            <w:vAlign w:val="bottom"/>
            <w:gridSpan w:val="3"/>
          </w:tcPr>
          <w:p>
            <w:pPr>
              <w:ind w:left="34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28"/>
        </w:trPr>
        <w:tc>
          <w:tcPr>
            <w:tcW w:w="6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1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Core Independent</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32,430</w:t>
            </w:r>
          </w:p>
        </w:tc>
        <w:tc>
          <w:tcPr>
            <w:tcW w:w="280" w:type="dxa"/>
            <w:vAlign w:val="bottom"/>
            <w:shd w:val="clear" w:color="auto" w:fill="CCEEFF"/>
          </w:tcPr>
          <w:p>
            <w:pPr>
              <w:spacing w:after="0"/>
              <w:rPr>
                <w:sz w:val="17"/>
                <w:szCs w:val="17"/>
                <w:color w:val="auto"/>
              </w:rPr>
            </w:pPr>
          </w:p>
        </w:tc>
        <w:tc>
          <w:tcPr>
            <w:tcW w:w="13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79.2%</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89,712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tcPr>
          <w:p>
            <w:pPr>
              <w:ind w:left="200"/>
              <w:spacing w:after="0"/>
              <w:rPr>
                <w:sz w:val="20"/>
                <w:szCs w:val="20"/>
                <w:color w:val="auto"/>
              </w:rPr>
            </w:pPr>
            <w:r>
              <w:rPr>
                <w:rFonts w:ascii="Arial" w:cs="Arial" w:eastAsia="Arial" w:hAnsi="Arial"/>
                <w:sz w:val="16"/>
                <w:szCs w:val="16"/>
                <w:color w:val="auto"/>
              </w:rPr>
              <w:t>Expansion Independent (1)</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7,188</w:t>
            </w:r>
          </w:p>
        </w:tc>
        <w:tc>
          <w:tcPr>
            <w:tcW w:w="280" w:type="dxa"/>
            <w:vAlign w:val="bottom"/>
          </w:tcPr>
          <w:p>
            <w:pPr>
              <w:spacing w:after="0"/>
              <w:rPr>
                <w:sz w:val="17"/>
                <w:szCs w:val="17"/>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17.6%</w:t>
            </w:r>
          </w:p>
        </w:tc>
        <w:tc>
          <w:tcPr>
            <w:tcW w:w="200" w:type="dxa"/>
            <w:vAlign w:val="bottom"/>
          </w:tcPr>
          <w:p>
            <w:pPr>
              <w:spacing w:after="0"/>
              <w:rPr>
                <w:sz w:val="17"/>
                <w:szCs w:val="17"/>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16,681</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Alternative Distribution through Cosi</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1,317</w:t>
            </w:r>
          </w:p>
        </w:tc>
        <w:tc>
          <w:tcPr>
            <w:tcW w:w="280" w:type="dxa"/>
            <w:vAlign w:val="bottom"/>
            <w:shd w:val="clear" w:color="auto" w:fill="CCEEFF"/>
          </w:tcPr>
          <w:p>
            <w:pPr>
              <w:spacing w:after="0"/>
              <w:rPr>
                <w:sz w:val="17"/>
                <w:szCs w:val="17"/>
                <w:color w:val="auto"/>
              </w:rPr>
            </w:pPr>
          </w:p>
        </w:tc>
        <w:tc>
          <w:tcPr>
            <w:tcW w:w="13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3.2%</w:t>
            </w: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2,560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6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100" w:type="dxa"/>
            <w:vAlign w:val="bottom"/>
          </w:tcPr>
          <w:p>
            <w:pPr>
              <w:ind w:left="40"/>
              <w:spacing w:after="0"/>
              <w:rPr>
                <w:sz w:val="20"/>
                <w:szCs w:val="20"/>
                <w:color w:val="auto"/>
              </w:rPr>
            </w:pPr>
            <w:r>
              <w:rPr>
                <w:rFonts w:ascii="Arial" w:cs="Arial" w:eastAsia="Arial" w:hAnsi="Arial"/>
                <w:sz w:val="16"/>
                <w:szCs w:val="16"/>
                <w:color w:val="auto"/>
              </w:rPr>
              <w:t>Total</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40,935</w:t>
            </w:r>
          </w:p>
        </w:tc>
        <w:tc>
          <w:tcPr>
            <w:tcW w:w="280" w:type="dxa"/>
            <w:vAlign w:val="bottom"/>
          </w:tcPr>
          <w:p>
            <w:pPr>
              <w:spacing w:after="0"/>
              <w:rPr>
                <w:sz w:val="17"/>
                <w:szCs w:val="17"/>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100.0%</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108,953</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100.0%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0"/>
        <w:spacing w:after="0"/>
        <w:rPr>
          <w:sz w:val="20"/>
          <w:szCs w:val="20"/>
          <w:color w:val="auto"/>
        </w:rPr>
      </w:pPr>
      <w:r>
        <w:rPr>
          <w:rFonts w:ascii="Arial" w:cs="Arial" w:eastAsia="Arial" w:hAnsi="Arial"/>
          <w:sz w:val="16"/>
          <w:szCs w:val="16"/>
          <w:color w:val="auto"/>
        </w:rPr>
        <w:t>(1)  Outside of New York</w:t>
      </w:r>
    </w:p>
    <w:p>
      <w:pPr>
        <w:spacing w:after="0" w:line="25" w:lineRule="exact"/>
        <w:rPr>
          <w:sz w:val="20"/>
          <w:szCs w:val="20"/>
          <w:color w:val="auto"/>
        </w:rPr>
      </w:pPr>
    </w:p>
    <w:p>
      <w:pPr>
        <w:jc w:val="center"/>
        <w:ind w:left="600"/>
        <w:spacing w:after="0"/>
        <w:rPr>
          <w:sz w:val="20"/>
          <w:szCs w:val="20"/>
          <w:color w:val="auto"/>
        </w:rPr>
      </w:pPr>
      <w:r>
        <w:rPr>
          <w:rFonts w:ascii="Arial" w:cs="Arial" w:eastAsia="Arial" w:hAnsi="Arial"/>
          <w:sz w:val="16"/>
          <w:szCs w:val="16"/>
          <w:i w:val="1"/>
          <w:iCs w:val="1"/>
          <w:color w:val="auto"/>
        </w:rPr>
        <w:t>(Percent components may not sum to totals due to rounding)</w:t>
      </w:r>
    </w:p>
    <w:p>
      <w:pPr>
        <w:spacing w:after="0" w:line="215" w:lineRule="exact"/>
        <w:rPr>
          <w:sz w:val="20"/>
          <w:szCs w:val="20"/>
          <w:color w:val="auto"/>
        </w:rPr>
      </w:pPr>
    </w:p>
    <w:p>
      <w:pPr>
        <w:jc w:val="both"/>
        <w:ind w:firstLine="608"/>
        <w:spacing w:after="0" w:line="296" w:lineRule="auto"/>
        <w:rPr>
          <w:sz w:val="20"/>
          <w:szCs w:val="20"/>
          <w:color w:val="auto"/>
        </w:rPr>
      </w:pPr>
      <w:r>
        <w:rPr>
          <w:rFonts w:ascii="Arial" w:cs="Arial" w:eastAsia="Arial" w:hAnsi="Arial"/>
          <w:sz w:val="16"/>
          <w:szCs w:val="16"/>
          <w:color w:val="auto"/>
        </w:rPr>
        <w:t>For the three months and nine months ended September 30, 2019, Alternative Distribution made up 3.2% and 2.3%, respectively, of direct written premiums for our homeowners and dwelling fire components of personal lines.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162" w:lineRule="exact"/>
        <w:rPr>
          <w:sz w:val="20"/>
          <w:szCs w:val="20"/>
          <w:color w:val="auto"/>
        </w:rPr>
      </w:pPr>
    </w:p>
    <w:p>
      <w:pPr>
        <w:jc w:val="both"/>
        <w:ind w:firstLine="304"/>
        <w:spacing w:after="0" w:line="289" w:lineRule="auto"/>
        <w:rPr>
          <w:sz w:val="20"/>
          <w:szCs w:val="20"/>
          <w:color w:val="auto"/>
        </w:rPr>
      </w:pPr>
      <w:r>
        <w:rPr>
          <w:rFonts w:ascii="Arial" w:cs="Arial" w:eastAsia="Arial" w:hAnsi="Arial"/>
          <w:sz w:val="15"/>
          <w:szCs w:val="15"/>
          <w:color w:val="auto"/>
        </w:rPr>
        <w:t>Our condensed consolidated financial statements include the accounts of Kingstone Companies, Inc. and all majority-owned and controlled subsidiaries. The preparation of financial statements in conformity with GAAP requires our management to make estimates and assumptions in certain circumstances that affect amounts reported in our condensed consolidated financial statements and related notes. In preparing these condensed consolidated financial statements, our management has utilized information, including our past history, industry standards, the current economic environment, and other factors, in forming its estimates and judgments for certain amounts included in the condensed consolidated financial statements, giving due consideration to materiality. It is possible that the ultimate outcome as anticipated by our management in formulating its estimates in these financial statements may not materialize. Application of the critical accounting policies involves the exercise of judgment and use of assumptions as to future uncertainties and, as a result, actual results could differ from these estimates. In addition, other companies may utilize different estimates, which may impact the comparability of our results of operations to those of similar companies.</w:t>
      </w:r>
    </w:p>
    <w:p>
      <w:pPr>
        <w:spacing w:after="0" w:line="99" w:lineRule="exact"/>
        <w:rPr>
          <w:sz w:val="20"/>
          <w:szCs w:val="20"/>
          <w:color w:val="auto"/>
        </w:rPr>
      </w:pPr>
    </w:p>
    <w:p>
      <w:pPr>
        <w:jc w:val="both"/>
        <w:ind w:firstLine="304"/>
        <w:spacing w:after="0" w:line="275" w:lineRule="auto"/>
        <w:rPr>
          <w:sz w:val="20"/>
          <w:szCs w:val="20"/>
          <w:color w:val="auto"/>
        </w:rPr>
      </w:pPr>
      <w:r>
        <w:rPr>
          <w:rFonts w:ascii="Arial" w:cs="Arial" w:eastAsia="Arial" w:hAnsi="Arial"/>
          <w:sz w:val="16"/>
          <w:szCs w:val="16"/>
          <w:color w:val="auto"/>
        </w:rPr>
        <w:t>We believe that the most critical accounting policies relate to the reporting of reserves for loss and LAE, including losses that have occurred but have not yet been reported prior to the reporting date, amounts recoverable from reinsurers, deferred ceding commission revenue, deferred policy acquisition costs, deferred income taxes, the impairment of investment securities, intangible assets and the valuation of stock-based compensation. See Note 2 to the condensed consolidated financial statements - “Accounting Policies” for information related to updated accounting policies.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481" w:right="239" w:bottom="1440" w:gutter="0" w:footer="0" w:header="0"/>
        </w:sectPr>
      </w:pPr>
    </w:p>
    <w:bookmarkStart w:id="40" w:name="page41"/>
    <w:bookmarkEnd w:id="40"/>
    <w:p>
      <w:pPr>
        <w:spacing w:after="0"/>
        <w:rPr>
          <w:sz w:val="20"/>
          <w:szCs w:val="20"/>
          <w:color w:val="auto"/>
        </w:rPr>
      </w:pPr>
      <w:r>
        <w:rPr>
          <w:rFonts w:ascii="Arial" w:cs="Arial" w:eastAsia="Arial" w:hAnsi="Arial"/>
          <w:sz w:val="16"/>
          <w:szCs w:val="16"/>
          <w:b w:val="1"/>
          <w:bCs w:val="1"/>
          <w:color w:val="auto"/>
        </w:rPr>
        <w:t>Consolidated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Nine Months Ended September 30, 2019 Compared to Nine Months Ended September 30, 2018</w:t>
      </w:r>
    </w:p>
    <w:p>
      <w:pPr>
        <w:spacing w:after="0" w:line="15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following table summarizes the changes in the results of our operations (in thousands) for the periods indicated: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00" w:type="dxa"/>
            <w:vAlign w:val="bottom"/>
            <w:vMerge w:val="restart"/>
          </w:tcPr>
          <w:p>
            <w:pPr>
              <w:spacing w:after="0"/>
              <w:rPr>
                <w:sz w:val="20"/>
                <w:szCs w:val="20"/>
                <w:color w:val="auto"/>
              </w:rPr>
            </w:pPr>
            <w:r>
              <w:rPr>
                <w:rFonts w:ascii="Arial" w:cs="Arial" w:eastAsia="Arial" w:hAnsi="Arial"/>
                <w:sz w:val="16"/>
                <w:szCs w:val="16"/>
                <w:b w:val="1"/>
                <w:bCs w:val="1"/>
                <w:color w:val="auto"/>
              </w:rPr>
              <w:t>($ in thousands)</w:t>
            </w: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6"/>
          </w:tcPr>
          <w:p>
            <w:pPr>
              <w:jc w:val="right"/>
              <w:ind w:right="500"/>
              <w:spacing w:after="0"/>
              <w:rPr>
                <w:sz w:val="20"/>
                <w:szCs w:val="20"/>
                <w:color w:val="auto"/>
              </w:rPr>
            </w:pPr>
            <w:r>
              <w:rPr>
                <w:rFonts w:ascii="Arial" w:cs="Arial" w:eastAsia="Arial" w:hAnsi="Arial"/>
                <w:sz w:val="14"/>
                <w:szCs w:val="14"/>
                <w:b w:val="1"/>
                <w:bCs w:val="1"/>
                <w:color w:val="auto"/>
                <w:w w:val="90"/>
              </w:rPr>
              <w:t>Nine months ended September 30,</w:t>
            </w:r>
          </w:p>
        </w:tc>
        <w:tc>
          <w:tcPr>
            <w:tcW w:w="10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61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318"/>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338"/>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Change</w:t>
            </w:r>
          </w:p>
        </w:tc>
        <w:tc>
          <w:tcPr>
            <w:tcW w:w="1280" w:type="dxa"/>
            <w:vAlign w:val="bottom"/>
            <w:gridSpan w:val="4"/>
          </w:tcPr>
          <w:p>
            <w:pPr>
              <w:ind w:left="32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00"/>
        </w:trPr>
        <w:tc>
          <w:tcPr>
            <w:tcW w:w="6100" w:type="dxa"/>
            <w:vAlign w:val="bottom"/>
          </w:tcPr>
          <w:p>
            <w:pPr>
              <w:ind w:left="40"/>
              <w:spacing w:after="0"/>
              <w:rPr>
                <w:sz w:val="20"/>
                <w:szCs w:val="20"/>
                <w:color w:val="auto"/>
              </w:rPr>
            </w:pPr>
            <w:r>
              <w:rPr>
                <w:rFonts w:ascii="Arial" w:cs="Arial" w:eastAsia="Arial" w:hAnsi="Arial"/>
                <w:sz w:val="16"/>
                <w:szCs w:val="16"/>
                <w:b w:val="1"/>
                <w:bCs w:val="1"/>
                <w:color w:val="auto"/>
              </w:rPr>
              <w:t>Revenue</w:t>
            </w:r>
            <w:r>
              <w:rPr>
                <w:rFonts w:ascii="Arial" w:cs="Arial" w:eastAsia="Arial" w:hAnsi="Arial"/>
                <w:sz w:val="16"/>
                <w:szCs w:val="16"/>
                <w:color w:val="auto"/>
              </w:rPr>
              <w:t>s</w:t>
            </w: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1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Direct written premiums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128,333</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107,175</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21,158</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tcPr>
          <w:p>
            <w:pPr>
              <w:ind w:left="180"/>
              <w:spacing w:after="0"/>
              <w:rPr>
                <w:sz w:val="20"/>
                <w:szCs w:val="20"/>
                <w:color w:val="auto"/>
              </w:rPr>
            </w:pPr>
            <w:r>
              <w:rPr>
                <w:rFonts w:ascii="Arial" w:cs="Arial" w:eastAsia="Arial" w:hAnsi="Arial"/>
                <w:sz w:val="16"/>
                <w:szCs w:val="16"/>
                <w:color w:val="auto"/>
              </w:rPr>
              <w:t>Assumed written premiums</w:t>
            </w:r>
          </w:p>
        </w:tc>
        <w:tc>
          <w:tcPr>
            <w:tcW w:w="24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gridSpan w:val="3"/>
          </w:tcPr>
          <w:p>
            <w:pPr>
              <w:jc w:val="right"/>
              <w:spacing w:after="0"/>
              <w:rPr>
                <w:sz w:val="20"/>
                <w:szCs w:val="20"/>
                <w:color w:val="auto"/>
              </w:rPr>
            </w:pPr>
            <w:r>
              <w:rPr>
                <w:rFonts w:ascii="Arial" w:cs="Arial" w:eastAsia="Arial" w:hAnsi="Arial"/>
                <w:sz w:val="16"/>
                <w:szCs w:val="16"/>
                <w:color w:val="auto"/>
              </w:rPr>
              <w:t>na%</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6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61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128,334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107,176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21,158</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100" w:type="dxa"/>
            <w:vAlign w:val="bottom"/>
            <w:tcBorders>
              <w:top w:val="single" w:sz="8" w:color="CCEEFF"/>
            </w:tcBorders>
          </w:tcPr>
          <w:p>
            <w:pPr>
              <w:ind w:left="200"/>
              <w:spacing w:after="0"/>
              <w:rPr>
                <w:sz w:val="20"/>
                <w:szCs w:val="20"/>
                <w:color w:val="auto"/>
              </w:rPr>
            </w:pPr>
            <w:r>
              <w:rPr>
                <w:rFonts w:ascii="Arial" w:cs="Arial" w:eastAsia="Arial" w:hAnsi="Arial"/>
                <w:sz w:val="16"/>
                <w:szCs w:val="16"/>
                <w:color w:val="auto"/>
              </w:rPr>
              <w:t>Ceded written premiums</w:t>
            </w: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Ceded to quota share treaties (1)</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6,110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8,137</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(2,027)</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tcPr>
          <w:p>
            <w:pPr>
              <w:ind w:left="340"/>
              <w:spacing w:after="0"/>
              <w:rPr>
                <w:sz w:val="20"/>
                <w:szCs w:val="20"/>
                <w:color w:val="auto"/>
              </w:rPr>
            </w:pPr>
            <w:r>
              <w:rPr>
                <w:rFonts w:ascii="Arial" w:cs="Arial" w:eastAsia="Arial" w:hAnsi="Arial"/>
                <w:sz w:val="16"/>
                <w:szCs w:val="16"/>
                <w:color w:val="auto"/>
              </w:rPr>
              <w:t>Ceded to excess of loss treaties</w:t>
            </w:r>
          </w:p>
        </w:tc>
        <w:tc>
          <w:tcPr>
            <w:tcW w:w="24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1,219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988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231</w:t>
            </w:r>
          </w:p>
        </w:tc>
        <w:tc>
          <w:tcPr>
            <w:tcW w:w="1220" w:type="dxa"/>
            <w:vAlign w:val="bottom"/>
            <w:gridSpan w:val="3"/>
          </w:tcPr>
          <w:p>
            <w:pPr>
              <w:jc w:val="right"/>
              <w:spacing w:after="0"/>
              <w:rPr>
                <w:sz w:val="20"/>
                <w:szCs w:val="20"/>
                <w:color w:val="auto"/>
              </w:rPr>
            </w:pPr>
            <w:r>
              <w:rPr>
                <w:rFonts w:ascii="Arial" w:cs="Arial" w:eastAsia="Arial" w:hAnsi="Arial"/>
                <w:sz w:val="16"/>
                <w:szCs w:val="16"/>
                <w:color w:val="auto"/>
              </w:rPr>
              <w:t>23.4%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Ceded to catastrophe treaties</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13,585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10,284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3,301</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610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6100" w:type="dxa"/>
            <w:vAlign w:val="bottom"/>
          </w:tcPr>
          <w:p>
            <w:pPr>
              <w:ind w:left="200"/>
              <w:spacing w:after="0"/>
              <w:rPr>
                <w:sz w:val="20"/>
                <w:szCs w:val="20"/>
                <w:color w:val="auto"/>
              </w:rPr>
            </w:pPr>
            <w:r>
              <w:rPr>
                <w:rFonts w:ascii="Arial" w:cs="Arial" w:eastAsia="Arial" w:hAnsi="Arial"/>
                <w:sz w:val="16"/>
                <w:szCs w:val="16"/>
                <w:color w:val="auto"/>
              </w:rPr>
              <w:t>Total ceded written premiums</w:t>
            </w:r>
          </w:p>
        </w:tc>
        <w:tc>
          <w:tcPr>
            <w:tcW w:w="2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20,914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19,409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1,505</w:t>
            </w:r>
          </w:p>
        </w:tc>
        <w:tc>
          <w:tcPr>
            <w:tcW w:w="1220" w:type="dxa"/>
            <w:vAlign w:val="bottom"/>
            <w:gridSpan w:val="3"/>
          </w:tcPr>
          <w:p>
            <w:pPr>
              <w:jc w:val="right"/>
              <w:spacing w:after="0"/>
              <w:rPr>
                <w:sz w:val="20"/>
                <w:szCs w:val="20"/>
                <w:color w:val="auto"/>
              </w:rPr>
            </w:pPr>
            <w:r>
              <w:rPr>
                <w:rFonts w:ascii="Arial" w:cs="Arial" w:eastAsia="Arial" w:hAnsi="Arial"/>
                <w:sz w:val="16"/>
                <w:szCs w:val="16"/>
                <w:color w:val="auto"/>
              </w:rPr>
              <w:t>7.8%</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100" w:type="dxa"/>
            <w:vAlign w:val="bottom"/>
            <w:tcBorders>
              <w:right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100" w:type="dxa"/>
            <w:vAlign w:val="bottom"/>
          </w:tcPr>
          <w:p>
            <w:pPr>
              <w:ind w:left="200"/>
              <w:spacing w:after="0"/>
              <w:rPr>
                <w:sz w:val="20"/>
                <w:szCs w:val="20"/>
                <w:color w:val="auto"/>
              </w:rPr>
            </w:pPr>
            <w:r>
              <w:rPr>
                <w:rFonts w:ascii="Arial" w:cs="Arial" w:eastAsia="Arial" w:hAnsi="Arial"/>
                <w:sz w:val="16"/>
                <w:szCs w:val="16"/>
                <w:color w:val="auto"/>
              </w:rPr>
              <w:t>Net written premiums</w:t>
            </w:r>
          </w:p>
        </w:tc>
        <w:tc>
          <w:tcPr>
            <w:tcW w:w="2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107,420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87,767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19,653</w:t>
            </w:r>
          </w:p>
        </w:tc>
        <w:tc>
          <w:tcPr>
            <w:tcW w:w="1220" w:type="dxa"/>
            <w:vAlign w:val="bottom"/>
            <w:gridSpan w:val="3"/>
          </w:tcPr>
          <w:p>
            <w:pPr>
              <w:jc w:val="right"/>
              <w:spacing w:after="0"/>
              <w:rPr>
                <w:sz w:val="20"/>
                <w:szCs w:val="20"/>
                <w:color w:val="auto"/>
              </w:rPr>
            </w:pPr>
            <w:r>
              <w:rPr>
                <w:rFonts w:ascii="Arial" w:cs="Arial" w:eastAsia="Arial" w:hAnsi="Arial"/>
                <w:sz w:val="16"/>
                <w:szCs w:val="16"/>
                <w:color w:val="auto"/>
              </w:rPr>
              <w:t>22.4%</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100" w:type="dxa"/>
            <w:vAlign w:val="bottom"/>
            <w:tcBorders>
              <w:right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tcPr>
          <w:p>
            <w:pPr>
              <w:ind w:left="200"/>
              <w:spacing w:after="0"/>
              <w:rPr>
                <w:sz w:val="20"/>
                <w:szCs w:val="20"/>
                <w:color w:val="auto"/>
              </w:rPr>
            </w:pPr>
            <w:r>
              <w:rPr>
                <w:rFonts w:ascii="Arial" w:cs="Arial" w:eastAsia="Arial" w:hAnsi="Arial"/>
                <w:sz w:val="16"/>
                <w:szCs w:val="16"/>
                <w:color w:val="auto"/>
              </w:rPr>
              <w:t>Change in unearned premiums</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Direct and assumed</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(11,037)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(9,927)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(1,110)</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tcPr>
          <w:p>
            <w:pPr>
              <w:ind w:left="340"/>
              <w:spacing w:after="0"/>
              <w:rPr>
                <w:sz w:val="20"/>
                <w:szCs w:val="20"/>
                <w:color w:val="auto"/>
              </w:rPr>
            </w:pPr>
            <w:r>
              <w:rPr>
                <w:rFonts w:ascii="Arial" w:cs="Arial" w:eastAsia="Arial" w:hAnsi="Arial"/>
                <w:sz w:val="16"/>
                <w:szCs w:val="16"/>
                <w:color w:val="auto"/>
              </w:rPr>
              <w:t>Ceded to quota share treaties</w:t>
            </w:r>
          </w:p>
        </w:tc>
        <w:tc>
          <w:tcPr>
            <w:tcW w:w="24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(1,366)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(3,364)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1,998</w:t>
            </w:r>
          </w:p>
        </w:tc>
        <w:tc>
          <w:tcPr>
            <w:tcW w:w="1220" w:type="dxa"/>
            <w:vAlign w:val="bottom"/>
            <w:gridSpan w:val="3"/>
          </w:tcPr>
          <w:p>
            <w:pPr>
              <w:jc w:val="right"/>
              <w:spacing w:after="0"/>
              <w:rPr>
                <w:sz w:val="20"/>
                <w:szCs w:val="20"/>
                <w:color w:val="auto"/>
              </w:rPr>
            </w:pPr>
            <w:r>
              <w:rPr>
                <w:rFonts w:ascii="Arial" w:cs="Arial" w:eastAsia="Arial" w:hAnsi="Arial"/>
                <w:sz w:val="16"/>
                <w:szCs w:val="16"/>
                <w:color w:val="auto"/>
              </w:rPr>
              <w:t>(59.4)%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6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61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Change in net unearned premiums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(12,403)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(13,291)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888</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Premiums earned</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tcPr>
          <w:p>
            <w:pPr>
              <w:ind w:left="340"/>
              <w:spacing w:after="0"/>
              <w:rPr>
                <w:sz w:val="20"/>
                <w:szCs w:val="20"/>
                <w:color w:val="auto"/>
              </w:rPr>
            </w:pPr>
            <w:r>
              <w:rPr>
                <w:rFonts w:ascii="Arial" w:cs="Arial" w:eastAsia="Arial" w:hAnsi="Arial"/>
                <w:sz w:val="16"/>
                <w:szCs w:val="16"/>
                <w:color w:val="auto"/>
              </w:rPr>
              <w:t>Direct and assumed</w:t>
            </w:r>
          </w:p>
        </w:tc>
        <w:tc>
          <w:tcPr>
            <w:tcW w:w="24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117,297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97,249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20,048</w:t>
            </w:r>
          </w:p>
        </w:tc>
        <w:tc>
          <w:tcPr>
            <w:tcW w:w="1220" w:type="dxa"/>
            <w:vAlign w:val="bottom"/>
            <w:gridSpan w:val="3"/>
          </w:tcPr>
          <w:p>
            <w:pPr>
              <w:jc w:val="right"/>
              <w:spacing w:after="0"/>
              <w:rPr>
                <w:sz w:val="20"/>
                <w:szCs w:val="20"/>
                <w:color w:val="auto"/>
              </w:rPr>
            </w:pPr>
            <w:r>
              <w:rPr>
                <w:rFonts w:ascii="Arial" w:cs="Arial" w:eastAsia="Arial" w:hAnsi="Arial"/>
                <w:sz w:val="16"/>
                <w:szCs w:val="16"/>
                <w:color w:val="auto"/>
              </w:rPr>
              <w:t>20.6%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Ceded to reinsurance treaties</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(22,280)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(22,773)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493</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610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100" w:type="dxa"/>
            <w:vAlign w:val="bottom"/>
          </w:tcPr>
          <w:p>
            <w:pPr>
              <w:ind w:left="200"/>
              <w:spacing w:after="0"/>
              <w:rPr>
                <w:sz w:val="20"/>
                <w:szCs w:val="20"/>
                <w:color w:val="auto"/>
              </w:rPr>
            </w:pPr>
            <w:r>
              <w:rPr>
                <w:rFonts w:ascii="Arial" w:cs="Arial" w:eastAsia="Arial" w:hAnsi="Arial"/>
                <w:sz w:val="16"/>
                <w:szCs w:val="16"/>
                <w:color w:val="auto"/>
              </w:rPr>
              <w:t>Net premiums earned</w:t>
            </w:r>
          </w:p>
        </w:tc>
        <w:tc>
          <w:tcPr>
            <w:tcW w:w="24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95,017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74,476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20,541</w:t>
            </w:r>
          </w:p>
        </w:tc>
        <w:tc>
          <w:tcPr>
            <w:tcW w:w="1220" w:type="dxa"/>
            <w:vAlign w:val="bottom"/>
            <w:gridSpan w:val="3"/>
          </w:tcPr>
          <w:p>
            <w:pPr>
              <w:jc w:val="right"/>
              <w:spacing w:after="0"/>
              <w:rPr>
                <w:sz w:val="20"/>
                <w:szCs w:val="20"/>
                <w:color w:val="auto"/>
              </w:rPr>
            </w:pPr>
            <w:r>
              <w:rPr>
                <w:rFonts w:ascii="Arial" w:cs="Arial" w:eastAsia="Arial" w:hAnsi="Arial"/>
                <w:sz w:val="16"/>
                <w:szCs w:val="16"/>
                <w:color w:val="auto"/>
              </w:rPr>
              <w:t>27.6%</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Ceding commission revenue</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tcPr>
          <w:p>
            <w:pPr>
              <w:ind w:left="340"/>
              <w:spacing w:after="0"/>
              <w:rPr>
                <w:sz w:val="20"/>
                <w:szCs w:val="20"/>
                <w:color w:val="auto"/>
              </w:rPr>
            </w:pPr>
            <w:r>
              <w:rPr>
                <w:rFonts w:ascii="Arial" w:cs="Arial" w:eastAsia="Arial" w:hAnsi="Arial"/>
                <w:sz w:val="16"/>
                <w:szCs w:val="16"/>
                <w:color w:val="auto"/>
              </w:rPr>
              <w:t>Excluding the effect of catastrophes</w:t>
            </w:r>
          </w:p>
        </w:tc>
        <w:tc>
          <w:tcPr>
            <w:tcW w:w="24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2,983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4,890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(1,907)</w:t>
            </w:r>
          </w:p>
        </w:tc>
        <w:tc>
          <w:tcPr>
            <w:tcW w:w="1220" w:type="dxa"/>
            <w:vAlign w:val="bottom"/>
            <w:gridSpan w:val="3"/>
          </w:tcPr>
          <w:p>
            <w:pPr>
              <w:jc w:val="right"/>
              <w:spacing w:after="0"/>
              <w:rPr>
                <w:sz w:val="20"/>
                <w:szCs w:val="20"/>
                <w:color w:val="auto"/>
              </w:rPr>
            </w:pPr>
            <w:r>
              <w:rPr>
                <w:rFonts w:ascii="Arial" w:cs="Arial" w:eastAsia="Arial" w:hAnsi="Arial"/>
                <w:sz w:val="16"/>
                <w:szCs w:val="16"/>
                <w:color w:val="auto"/>
              </w:rPr>
              <w:t>(39.0)%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Effect of catastrophes</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(459)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459</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610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100" w:type="dxa"/>
            <w:vAlign w:val="bottom"/>
          </w:tcPr>
          <w:p>
            <w:pPr>
              <w:ind w:left="200"/>
              <w:spacing w:after="0"/>
              <w:rPr>
                <w:sz w:val="20"/>
                <w:szCs w:val="20"/>
                <w:color w:val="auto"/>
              </w:rPr>
            </w:pPr>
            <w:r>
              <w:rPr>
                <w:rFonts w:ascii="Arial" w:cs="Arial" w:eastAsia="Arial" w:hAnsi="Arial"/>
                <w:sz w:val="16"/>
                <w:szCs w:val="16"/>
                <w:color w:val="auto"/>
              </w:rPr>
              <w:t>Total ceding commission revenue</w:t>
            </w:r>
          </w:p>
        </w:tc>
        <w:tc>
          <w:tcPr>
            <w:tcW w:w="24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2,983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4,431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(1,448)</w:t>
            </w:r>
          </w:p>
        </w:tc>
        <w:tc>
          <w:tcPr>
            <w:tcW w:w="1220" w:type="dxa"/>
            <w:vAlign w:val="bottom"/>
            <w:gridSpan w:val="3"/>
          </w:tcPr>
          <w:p>
            <w:pPr>
              <w:jc w:val="right"/>
              <w:spacing w:after="0"/>
              <w:rPr>
                <w:sz w:val="20"/>
                <w:szCs w:val="20"/>
                <w:color w:val="auto"/>
              </w:rPr>
            </w:pPr>
            <w:r>
              <w:rPr>
                <w:rFonts w:ascii="Arial" w:cs="Arial" w:eastAsia="Arial" w:hAnsi="Arial"/>
                <w:sz w:val="16"/>
                <w:szCs w:val="16"/>
                <w:color w:val="auto"/>
              </w:rPr>
              <w:t>(32.7)%</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investment income</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5,200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4,543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657</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tcPr>
          <w:p>
            <w:pPr>
              <w:ind w:left="200"/>
              <w:spacing w:after="0"/>
              <w:rPr>
                <w:sz w:val="20"/>
                <w:szCs w:val="20"/>
                <w:color w:val="auto"/>
              </w:rPr>
            </w:pPr>
            <w:r>
              <w:rPr>
                <w:rFonts w:ascii="Arial" w:cs="Arial" w:eastAsia="Arial" w:hAnsi="Arial"/>
                <w:sz w:val="16"/>
                <w:szCs w:val="16"/>
                <w:color w:val="auto"/>
              </w:rPr>
              <w:t>Net gains (losses) on investments</w:t>
            </w:r>
          </w:p>
        </w:tc>
        <w:tc>
          <w:tcPr>
            <w:tcW w:w="24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3,712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(278)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3,990</w:t>
            </w:r>
          </w:p>
        </w:tc>
        <w:tc>
          <w:tcPr>
            <w:tcW w:w="1220" w:type="dxa"/>
            <w:vAlign w:val="bottom"/>
            <w:gridSpan w:val="3"/>
          </w:tcPr>
          <w:p>
            <w:pPr>
              <w:jc w:val="right"/>
              <w:spacing w:after="0"/>
              <w:rPr>
                <w:sz w:val="20"/>
                <w:szCs w:val="20"/>
                <w:color w:val="auto"/>
              </w:rPr>
            </w:pPr>
            <w:r>
              <w:rPr>
                <w:rFonts w:ascii="Arial" w:cs="Arial" w:eastAsia="Arial" w:hAnsi="Arial"/>
                <w:sz w:val="16"/>
                <w:szCs w:val="16"/>
                <w:color w:val="auto"/>
              </w:rPr>
              <w:t>(1,435.3)%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Other income</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1,192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962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230</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610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6100" w:type="dxa"/>
            <w:vAlign w:val="bottom"/>
          </w:tcPr>
          <w:p>
            <w:pPr>
              <w:ind w:left="340"/>
              <w:spacing w:after="0"/>
              <w:rPr>
                <w:sz w:val="20"/>
                <w:szCs w:val="20"/>
                <w:color w:val="auto"/>
              </w:rPr>
            </w:pPr>
            <w:r>
              <w:rPr>
                <w:rFonts w:ascii="Arial" w:cs="Arial" w:eastAsia="Arial" w:hAnsi="Arial"/>
                <w:sz w:val="16"/>
                <w:szCs w:val="16"/>
                <w:color w:val="auto"/>
              </w:rPr>
              <w:t>Total revenues</w:t>
            </w:r>
          </w:p>
        </w:tc>
        <w:tc>
          <w:tcPr>
            <w:tcW w:w="2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108,104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84,134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23,970</w:t>
            </w:r>
          </w:p>
        </w:tc>
        <w:tc>
          <w:tcPr>
            <w:tcW w:w="1220" w:type="dxa"/>
            <w:vAlign w:val="bottom"/>
            <w:gridSpan w:val="3"/>
          </w:tcPr>
          <w:p>
            <w:pPr>
              <w:jc w:val="right"/>
              <w:spacing w:after="0"/>
              <w:rPr>
                <w:sz w:val="20"/>
                <w:szCs w:val="20"/>
                <w:color w:val="auto"/>
              </w:rPr>
            </w:pPr>
            <w:r>
              <w:rPr>
                <w:rFonts w:ascii="Arial" w:cs="Arial" w:eastAsia="Arial" w:hAnsi="Arial"/>
                <w:sz w:val="16"/>
                <w:szCs w:val="16"/>
                <w:color w:val="auto"/>
              </w:rPr>
              <w:t>28.5%</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10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Expense</w:t>
            </w:r>
            <w:r>
              <w:rPr>
                <w:rFonts w:ascii="Arial" w:cs="Arial" w:eastAsia="Arial" w:hAnsi="Arial"/>
                <w:sz w:val="16"/>
                <w:szCs w:val="16"/>
                <w:color w:val="auto"/>
              </w:rPr>
              <w:t>s</w:t>
            </w: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tcPr>
          <w:p>
            <w:pPr>
              <w:ind w:left="200"/>
              <w:spacing w:after="0"/>
              <w:rPr>
                <w:sz w:val="20"/>
                <w:szCs w:val="20"/>
                <w:color w:val="auto"/>
              </w:rPr>
            </w:pPr>
            <w:r>
              <w:rPr>
                <w:rFonts w:ascii="Arial" w:cs="Arial" w:eastAsia="Arial" w:hAnsi="Arial"/>
                <w:sz w:val="16"/>
                <w:szCs w:val="16"/>
                <w:color w:val="auto"/>
              </w:rPr>
              <w:t>Loss and loss adjustment expenses</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Direct and assumed:</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tcPr>
          <w:p>
            <w:pPr>
              <w:ind w:left="340"/>
              <w:spacing w:after="0"/>
              <w:rPr>
                <w:sz w:val="20"/>
                <w:szCs w:val="20"/>
                <w:color w:val="auto"/>
              </w:rPr>
            </w:pPr>
            <w:r>
              <w:rPr>
                <w:rFonts w:ascii="Arial" w:cs="Arial" w:eastAsia="Arial" w:hAnsi="Arial"/>
                <w:sz w:val="16"/>
                <w:szCs w:val="16"/>
                <w:color w:val="auto"/>
              </w:rPr>
              <w:t>Loss and loss adjustment expenses excluding the effect of catastrophes</w:t>
            </w:r>
          </w:p>
        </w:tc>
        <w:tc>
          <w:tcPr>
            <w:tcW w:w="24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72,682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42,603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30,079</w:t>
            </w:r>
          </w:p>
        </w:tc>
        <w:tc>
          <w:tcPr>
            <w:tcW w:w="1220" w:type="dxa"/>
            <w:vAlign w:val="bottom"/>
            <w:gridSpan w:val="3"/>
          </w:tcPr>
          <w:p>
            <w:pPr>
              <w:jc w:val="right"/>
              <w:spacing w:after="0"/>
              <w:rPr>
                <w:sz w:val="20"/>
                <w:szCs w:val="20"/>
                <w:color w:val="auto"/>
              </w:rPr>
            </w:pPr>
            <w:r>
              <w:rPr>
                <w:rFonts w:ascii="Arial" w:cs="Arial" w:eastAsia="Arial" w:hAnsi="Arial"/>
                <w:sz w:val="16"/>
                <w:szCs w:val="16"/>
                <w:color w:val="auto"/>
              </w:rPr>
              <w:t>70.6%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Losses from catastrophes (2)</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7,755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10,805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(3,050)</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610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6100" w:type="dxa"/>
            <w:vAlign w:val="bottom"/>
          </w:tcPr>
          <w:p>
            <w:pPr>
              <w:ind w:left="340"/>
              <w:spacing w:after="0"/>
              <w:rPr>
                <w:sz w:val="20"/>
                <w:szCs w:val="20"/>
                <w:color w:val="auto"/>
              </w:rPr>
            </w:pPr>
            <w:r>
              <w:rPr>
                <w:rFonts w:ascii="Arial" w:cs="Arial" w:eastAsia="Arial" w:hAnsi="Arial"/>
                <w:sz w:val="16"/>
                <w:szCs w:val="16"/>
                <w:color w:val="auto"/>
              </w:rPr>
              <w:t>Total direct and assumed loss and loss adjustment expenses</w:t>
            </w:r>
          </w:p>
        </w:tc>
        <w:tc>
          <w:tcPr>
            <w:tcW w:w="2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80,437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53,408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27,029</w:t>
            </w:r>
          </w:p>
        </w:tc>
        <w:tc>
          <w:tcPr>
            <w:tcW w:w="1220" w:type="dxa"/>
            <w:vAlign w:val="bottom"/>
            <w:gridSpan w:val="3"/>
          </w:tcPr>
          <w:p>
            <w:pPr>
              <w:jc w:val="right"/>
              <w:spacing w:after="0"/>
              <w:rPr>
                <w:sz w:val="20"/>
                <w:szCs w:val="20"/>
                <w:color w:val="auto"/>
              </w:rPr>
            </w:pPr>
            <w:r>
              <w:rPr>
                <w:rFonts w:ascii="Arial" w:cs="Arial" w:eastAsia="Arial" w:hAnsi="Arial"/>
                <w:sz w:val="16"/>
                <w:szCs w:val="16"/>
                <w:color w:val="auto"/>
              </w:rPr>
              <w:t>50.6%</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100" w:type="dxa"/>
            <w:vAlign w:val="bottom"/>
            <w:tcBorders>
              <w:right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tcPr>
          <w:p>
            <w:pPr>
              <w:ind w:left="340"/>
              <w:spacing w:after="0"/>
              <w:rPr>
                <w:sz w:val="20"/>
                <w:szCs w:val="20"/>
                <w:color w:val="auto"/>
              </w:rPr>
            </w:pPr>
            <w:r>
              <w:rPr>
                <w:rFonts w:ascii="Arial" w:cs="Arial" w:eastAsia="Arial" w:hAnsi="Arial"/>
                <w:sz w:val="16"/>
                <w:szCs w:val="16"/>
                <w:color w:val="auto"/>
              </w:rPr>
              <w:t>Ceded loss and loss adjustment expenses:</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Loss and loss adjustment expenses excluding the effect of catastrophes</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8,041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6,984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1,057</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tcPr>
          <w:p>
            <w:pPr>
              <w:ind w:left="340"/>
              <w:spacing w:after="0"/>
              <w:rPr>
                <w:sz w:val="20"/>
                <w:szCs w:val="20"/>
                <w:color w:val="auto"/>
              </w:rPr>
            </w:pPr>
            <w:r>
              <w:rPr>
                <w:rFonts w:ascii="Arial" w:cs="Arial" w:eastAsia="Arial" w:hAnsi="Arial"/>
                <w:sz w:val="16"/>
                <w:szCs w:val="16"/>
                <w:color w:val="auto"/>
              </w:rPr>
              <w:t>Losses from catastrophes (2)</w:t>
            </w:r>
          </w:p>
        </w:tc>
        <w:tc>
          <w:tcPr>
            <w:tcW w:w="24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808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4,685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(3,877)</w:t>
            </w:r>
          </w:p>
        </w:tc>
        <w:tc>
          <w:tcPr>
            <w:tcW w:w="1220" w:type="dxa"/>
            <w:vAlign w:val="bottom"/>
            <w:gridSpan w:val="3"/>
          </w:tcPr>
          <w:p>
            <w:pPr>
              <w:jc w:val="right"/>
              <w:spacing w:after="0"/>
              <w:rPr>
                <w:sz w:val="20"/>
                <w:szCs w:val="20"/>
                <w:color w:val="auto"/>
              </w:rPr>
            </w:pPr>
            <w:r>
              <w:rPr>
                <w:rFonts w:ascii="Arial" w:cs="Arial" w:eastAsia="Arial" w:hAnsi="Arial"/>
                <w:sz w:val="16"/>
                <w:szCs w:val="16"/>
                <w:color w:val="auto"/>
              </w:rPr>
              <w:t>(82.8)%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6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61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ceded loss and loss adjustment expenses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8,849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11,669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(2,820)</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loss and loss adjustment expenses: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tcPr>
          <w:p>
            <w:pPr>
              <w:ind w:left="340"/>
              <w:spacing w:after="0"/>
              <w:rPr>
                <w:sz w:val="20"/>
                <w:szCs w:val="20"/>
                <w:color w:val="auto"/>
              </w:rPr>
            </w:pPr>
            <w:r>
              <w:rPr>
                <w:rFonts w:ascii="Arial" w:cs="Arial" w:eastAsia="Arial" w:hAnsi="Arial"/>
                <w:sz w:val="16"/>
                <w:szCs w:val="16"/>
                <w:color w:val="auto"/>
              </w:rPr>
              <w:t>Loss and loss adjustment expenses excluding the effect of catastrophes</w:t>
            </w:r>
          </w:p>
        </w:tc>
        <w:tc>
          <w:tcPr>
            <w:tcW w:w="24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64,641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35,619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29,022</w:t>
            </w:r>
          </w:p>
        </w:tc>
        <w:tc>
          <w:tcPr>
            <w:tcW w:w="1220" w:type="dxa"/>
            <w:vAlign w:val="bottom"/>
            <w:gridSpan w:val="3"/>
          </w:tcPr>
          <w:p>
            <w:pPr>
              <w:jc w:val="right"/>
              <w:spacing w:after="0"/>
              <w:rPr>
                <w:sz w:val="20"/>
                <w:szCs w:val="20"/>
                <w:color w:val="auto"/>
              </w:rPr>
            </w:pPr>
            <w:r>
              <w:rPr>
                <w:rFonts w:ascii="Arial" w:cs="Arial" w:eastAsia="Arial" w:hAnsi="Arial"/>
                <w:sz w:val="16"/>
                <w:szCs w:val="16"/>
                <w:color w:val="auto"/>
              </w:rPr>
              <w:t>81.5%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Losses from catastrophes (2)</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6,947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6,120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827</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610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6100" w:type="dxa"/>
            <w:vAlign w:val="bottom"/>
          </w:tcPr>
          <w:p>
            <w:pPr>
              <w:ind w:left="340"/>
              <w:spacing w:after="0"/>
              <w:rPr>
                <w:sz w:val="20"/>
                <w:szCs w:val="20"/>
                <w:color w:val="auto"/>
              </w:rPr>
            </w:pPr>
            <w:r>
              <w:rPr>
                <w:rFonts w:ascii="Arial" w:cs="Arial" w:eastAsia="Arial" w:hAnsi="Arial"/>
                <w:sz w:val="16"/>
                <w:szCs w:val="16"/>
                <w:color w:val="auto"/>
              </w:rPr>
              <w:t>Net loss and loss adjustment expenses</w:t>
            </w:r>
          </w:p>
        </w:tc>
        <w:tc>
          <w:tcPr>
            <w:tcW w:w="2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71,588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41,739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29,849</w:t>
            </w:r>
          </w:p>
        </w:tc>
        <w:tc>
          <w:tcPr>
            <w:tcW w:w="1220" w:type="dxa"/>
            <w:vAlign w:val="bottom"/>
            <w:gridSpan w:val="3"/>
          </w:tcPr>
          <w:p>
            <w:pPr>
              <w:jc w:val="right"/>
              <w:spacing w:after="0"/>
              <w:rPr>
                <w:sz w:val="20"/>
                <w:szCs w:val="20"/>
                <w:color w:val="auto"/>
              </w:rPr>
            </w:pPr>
            <w:r>
              <w:rPr>
                <w:rFonts w:ascii="Arial" w:cs="Arial" w:eastAsia="Arial" w:hAnsi="Arial"/>
                <w:sz w:val="16"/>
                <w:szCs w:val="16"/>
                <w:color w:val="auto"/>
              </w:rPr>
              <w:t>71.5%</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100" w:type="dxa"/>
            <w:vAlign w:val="bottom"/>
            <w:tcBorders>
              <w:right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tcPr>
          <w:p>
            <w:pPr>
              <w:ind w:left="200"/>
              <w:spacing w:after="0"/>
              <w:rPr>
                <w:sz w:val="20"/>
                <w:szCs w:val="20"/>
                <w:color w:val="auto"/>
              </w:rPr>
            </w:pPr>
            <w:r>
              <w:rPr>
                <w:rFonts w:ascii="Arial" w:cs="Arial" w:eastAsia="Arial" w:hAnsi="Arial"/>
                <w:sz w:val="16"/>
                <w:szCs w:val="16"/>
                <w:color w:val="auto"/>
              </w:rPr>
              <w:t>Commission expense</w:t>
            </w:r>
          </w:p>
        </w:tc>
        <w:tc>
          <w:tcPr>
            <w:tcW w:w="24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21,932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18,411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3,521</w:t>
            </w:r>
          </w:p>
        </w:tc>
        <w:tc>
          <w:tcPr>
            <w:tcW w:w="1220" w:type="dxa"/>
            <w:vAlign w:val="bottom"/>
            <w:gridSpan w:val="3"/>
          </w:tcPr>
          <w:p>
            <w:pPr>
              <w:jc w:val="right"/>
              <w:spacing w:after="0"/>
              <w:rPr>
                <w:sz w:val="20"/>
                <w:szCs w:val="20"/>
                <w:color w:val="auto"/>
              </w:rPr>
            </w:pPr>
            <w:r>
              <w:rPr>
                <w:rFonts w:ascii="Arial" w:cs="Arial" w:eastAsia="Arial" w:hAnsi="Arial"/>
                <w:sz w:val="16"/>
                <w:szCs w:val="16"/>
                <w:color w:val="auto"/>
              </w:rPr>
              <w:t>19.1%</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Other underwriting expenses</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17,983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15,301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2,682</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tcPr>
          <w:p>
            <w:pPr>
              <w:ind w:left="200"/>
              <w:spacing w:after="0"/>
              <w:rPr>
                <w:sz w:val="20"/>
                <w:szCs w:val="20"/>
                <w:color w:val="auto"/>
              </w:rPr>
            </w:pPr>
            <w:r>
              <w:rPr>
                <w:rFonts w:ascii="Arial" w:cs="Arial" w:eastAsia="Arial" w:hAnsi="Arial"/>
                <w:sz w:val="16"/>
                <w:szCs w:val="16"/>
                <w:color w:val="auto"/>
              </w:rPr>
              <w:t>Other operating expenses</w:t>
            </w:r>
          </w:p>
        </w:tc>
        <w:tc>
          <w:tcPr>
            <w:tcW w:w="24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2,774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1,774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1,000</w:t>
            </w:r>
          </w:p>
        </w:tc>
        <w:tc>
          <w:tcPr>
            <w:tcW w:w="1220" w:type="dxa"/>
            <w:vAlign w:val="bottom"/>
            <w:gridSpan w:val="3"/>
          </w:tcPr>
          <w:p>
            <w:pPr>
              <w:jc w:val="right"/>
              <w:spacing w:after="0"/>
              <w:rPr>
                <w:sz w:val="20"/>
                <w:szCs w:val="20"/>
                <w:color w:val="auto"/>
              </w:rPr>
            </w:pPr>
            <w:r>
              <w:rPr>
                <w:rFonts w:ascii="Arial" w:cs="Arial" w:eastAsia="Arial" w:hAnsi="Arial"/>
                <w:sz w:val="16"/>
                <w:szCs w:val="16"/>
                <w:color w:val="auto"/>
              </w:rPr>
              <w:t>56.4%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Depreciation and amortization</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1,876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1,274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602</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47.3%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tcPr>
          <w:p>
            <w:pPr>
              <w:ind w:left="200"/>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1,370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1,365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5</w:t>
            </w:r>
          </w:p>
        </w:tc>
        <w:tc>
          <w:tcPr>
            <w:tcW w:w="1220" w:type="dxa"/>
            <w:vAlign w:val="bottom"/>
            <w:gridSpan w:val="3"/>
          </w:tcPr>
          <w:p>
            <w:pPr>
              <w:jc w:val="right"/>
              <w:spacing w:after="0"/>
              <w:rPr>
                <w:sz w:val="20"/>
                <w:szCs w:val="20"/>
                <w:color w:val="auto"/>
              </w:rPr>
            </w:pPr>
            <w:r>
              <w:rPr>
                <w:rFonts w:ascii="Arial" w:cs="Arial" w:eastAsia="Arial" w:hAnsi="Arial"/>
                <w:sz w:val="16"/>
                <w:szCs w:val="16"/>
                <w:color w:val="auto"/>
              </w:rPr>
              <w:t>0.4%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6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61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expenses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117,523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79,864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37,659</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47.2%</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(Loss) income before taxes</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(9,419)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4,269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(13,688)</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(320.6)%</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tcPr>
          <w:p>
            <w:pPr>
              <w:ind w:left="200"/>
              <w:spacing w:after="0"/>
              <w:rPr>
                <w:sz w:val="20"/>
                <w:szCs w:val="20"/>
                <w:color w:val="auto"/>
              </w:rPr>
            </w:pPr>
            <w:r>
              <w:rPr>
                <w:rFonts w:ascii="Arial" w:cs="Arial" w:eastAsia="Arial" w:hAnsi="Arial"/>
                <w:sz w:val="16"/>
                <w:szCs w:val="16"/>
                <w:color w:val="auto"/>
              </w:rPr>
              <w:t>Income tax (benefit) expense</w:t>
            </w:r>
          </w:p>
        </w:tc>
        <w:tc>
          <w:tcPr>
            <w:tcW w:w="24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(1,998)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296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(2,294)</w:t>
            </w:r>
          </w:p>
        </w:tc>
        <w:tc>
          <w:tcPr>
            <w:tcW w:w="1220" w:type="dxa"/>
            <w:vAlign w:val="bottom"/>
            <w:gridSpan w:val="3"/>
          </w:tcPr>
          <w:p>
            <w:pPr>
              <w:jc w:val="right"/>
              <w:spacing w:after="0"/>
              <w:rPr>
                <w:sz w:val="20"/>
                <w:szCs w:val="20"/>
                <w:color w:val="auto"/>
              </w:rPr>
            </w:pPr>
            <w:r>
              <w:rPr>
                <w:rFonts w:ascii="Arial" w:cs="Arial" w:eastAsia="Arial" w:hAnsi="Arial"/>
                <w:sz w:val="16"/>
                <w:szCs w:val="16"/>
                <w:color w:val="auto"/>
              </w:rPr>
              <w:t>(775.0)%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6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10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(loss) income</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(7,421)</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3,973</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(11,394)</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(286.8)%</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left="300" w:right="60" w:firstLine="5"/>
        <w:spacing w:after="0" w:line="268" w:lineRule="auto"/>
        <w:tabs>
          <w:tab w:leader="none" w:pos="535" w:val="left"/>
        </w:tabs>
        <w:numPr>
          <w:ilvl w:val="0"/>
          <w:numId w:val="12"/>
        </w:numPr>
        <w:rPr>
          <w:rFonts w:ascii="Arial" w:cs="Arial" w:eastAsia="Arial" w:hAnsi="Arial"/>
          <w:sz w:val="16"/>
          <w:szCs w:val="16"/>
          <w:color w:val="auto"/>
        </w:rPr>
      </w:pPr>
      <w:r>
        <w:rPr>
          <w:rFonts w:ascii="Arial" w:cs="Arial" w:eastAsia="Arial" w:hAnsi="Arial"/>
          <w:sz w:val="16"/>
          <w:szCs w:val="16"/>
          <w:color w:val="auto"/>
        </w:rPr>
        <w:t>Effective July 1, 2018, we decreased the quota share ceding rate in our personal lines quota share treaty from 20% to 10%. Effective July 1, 2019, our personal lines 10% quota share treaty expired on a run-off basis.</w:t>
      </w:r>
    </w:p>
    <w:p>
      <w:pPr>
        <w:jc w:val="both"/>
        <w:ind w:left="300" w:right="60" w:firstLine="5"/>
        <w:spacing w:after="0" w:line="276" w:lineRule="auto"/>
        <w:tabs>
          <w:tab w:leader="none" w:pos="544"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nine months ended September 30, 2019 and 2018 includes catastrophe losses, which are defined as losses from an event for which a catastrophe bulletin and related serial number has been issued by the Property Claims Services (PCS) unit of the Insurance Services Office (ISO). PCS catastrophe bulletins are issued for events that cause more than $25 million in total insured losses and affect a significant number of policyholders and insurers.</w:t>
      </w:r>
    </w:p>
    <w:p>
      <w:pPr>
        <w:spacing w:after="0" w:line="322"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80"/>
          </w:cols>
          <w:pgMar w:left="240" w:top="481" w:right="179" w:bottom="505"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71"/>
        </w:trPr>
        <w:tc>
          <w:tcPr>
            <w:tcW w:w="61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4"/>
                <w:szCs w:val="14"/>
                <w:b w:val="1"/>
                <w:bCs w:val="1"/>
                <w:color w:val="auto"/>
                <w:w w:val="96"/>
              </w:rPr>
              <w:t>Nine months ended September 30,</w:t>
            </w:r>
          </w:p>
        </w:tc>
        <w:tc>
          <w:tcPr>
            <w:tcW w:w="10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6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tcPr>
          <w:p>
            <w:pPr>
              <w:jc w:val="right"/>
              <w:ind w:right="320"/>
              <w:spacing w:after="0" w:line="139" w:lineRule="exact"/>
              <w:rPr>
                <w:sz w:val="20"/>
                <w:szCs w:val="20"/>
                <w:color w:val="auto"/>
              </w:rPr>
            </w:pPr>
            <w:r>
              <w:rPr>
                <w:rFonts w:ascii="Arial" w:cs="Arial" w:eastAsia="Arial" w:hAnsi="Arial"/>
                <w:sz w:val="14"/>
                <w:szCs w:val="14"/>
                <w:b w:val="1"/>
                <w:bCs w:val="1"/>
                <w:color w:val="auto"/>
                <w:w w:val="90"/>
              </w:rPr>
              <w:t>Percentage Point</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10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4"/>
                <w:szCs w:val="14"/>
                <w:color w:val="auto"/>
              </w:rPr>
            </w:pPr>
          </w:p>
        </w:tc>
        <w:tc>
          <w:tcPr>
            <w:tcW w:w="110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4"/>
                <w:szCs w:val="14"/>
                <w:color w:val="auto"/>
              </w:rPr>
            </w:pPr>
          </w:p>
        </w:tc>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0"/>
              </w:rPr>
              <w:t>Percent Change</w:t>
            </w:r>
          </w:p>
        </w:tc>
        <w:tc>
          <w:tcPr>
            <w:tcW w:w="1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453"/>
        </w:trPr>
        <w:tc>
          <w:tcPr>
            <w:tcW w:w="6800" w:type="dxa"/>
            <w:vAlign w:val="bottom"/>
            <w:gridSpan w:val="2"/>
          </w:tcPr>
          <w:p>
            <w:pPr>
              <w:ind w:left="40"/>
              <w:spacing w:after="0"/>
              <w:rPr>
                <w:sz w:val="20"/>
                <w:szCs w:val="20"/>
                <w:color w:val="auto"/>
              </w:rPr>
            </w:pPr>
            <w:r>
              <w:rPr>
                <w:rFonts w:ascii="Arial" w:cs="Arial" w:eastAsia="Arial" w:hAnsi="Arial"/>
                <w:sz w:val="16"/>
                <w:szCs w:val="16"/>
                <w:b w:val="1"/>
                <w:bCs w:val="1"/>
                <w:color w:val="auto"/>
              </w:rPr>
              <w:t>Key ratios:</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68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Net loss ratio</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75.3%</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56.0%</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19.3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tcPr>
          <w:p>
            <w:pPr>
              <w:ind w:left="200"/>
              <w:spacing w:after="0"/>
              <w:rPr>
                <w:sz w:val="20"/>
                <w:szCs w:val="20"/>
                <w:color w:val="auto"/>
              </w:rPr>
            </w:pPr>
            <w:r>
              <w:rPr>
                <w:rFonts w:ascii="Arial" w:cs="Arial" w:eastAsia="Arial" w:hAnsi="Arial"/>
                <w:sz w:val="16"/>
                <w:szCs w:val="16"/>
                <w:color w:val="auto"/>
              </w:rPr>
              <w:t>Net underwriting expense ratio</w:t>
            </w:r>
          </w:p>
        </w:tc>
        <w:tc>
          <w:tcPr>
            <w:tcW w:w="70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37.8%</w:t>
            </w: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38.1%</w:t>
            </w: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(0.3)</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6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1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combined ratio</w:t>
            </w:r>
          </w:p>
        </w:tc>
        <w:tc>
          <w:tcPr>
            <w:tcW w:w="7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2"/>
              </w:rPr>
              <w:t>113.1%</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94.1%</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19.0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Direct Written Premiums</w:t>
      </w:r>
    </w:p>
    <w:p>
      <w:pPr>
        <w:spacing w:after="0" w:line="158" w:lineRule="exact"/>
        <w:rPr>
          <w:sz w:val="20"/>
          <w:szCs w:val="20"/>
          <w:color w:val="auto"/>
        </w:rPr>
      </w:pPr>
    </w:p>
    <w:p>
      <w:pPr>
        <w:jc w:val="both"/>
        <w:ind w:firstLine="608"/>
        <w:spacing w:after="0" w:line="275" w:lineRule="auto"/>
        <w:rPr>
          <w:sz w:val="20"/>
          <w:szCs w:val="20"/>
          <w:color w:val="auto"/>
        </w:rPr>
      </w:pPr>
      <w:r>
        <w:rPr>
          <w:rFonts w:ascii="Arial" w:cs="Arial" w:eastAsia="Arial" w:hAnsi="Arial"/>
          <w:sz w:val="16"/>
          <w:szCs w:val="16"/>
          <w:color w:val="auto"/>
        </w:rPr>
        <w:t>Direct written premiums during the nine months ended September 30, 2019 (“Nine Months 2019”) were $128,333,000 compared to $107,175,000 during the nine months ended September 30, 2018 (“Nine Months 2018”). The increase of $21,158,000, or 19.7%, was primarily due to an increase in policies in-force during Nine Months 2019 as compared to Nine Months 2018. We wrote more new policies as a result of continued demand for our products in the markets that we serve. Policies in-force increased by 17.7% as of September 30, 2019 compared to September 30, 2018.</w:t>
      </w:r>
    </w:p>
    <w:p>
      <w:pPr>
        <w:spacing w:after="0" w:line="107" w:lineRule="exact"/>
        <w:rPr>
          <w:sz w:val="20"/>
          <w:szCs w:val="20"/>
          <w:color w:val="auto"/>
        </w:rPr>
      </w:pPr>
    </w:p>
    <w:p>
      <w:pPr>
        <w:jc w:val="both"/>
        <w:ind w:firstLine="608"/>
        <w:spacing w:after="0" w:line="280" w:lineRule="auto"/>
        <w:rPr>
          <w:sz w:val="20"/>
          <w:szCs w:val="20"/>
          <w:color w:val="auto"/>
        </w:rPr>
      </w:pPr>
      <w:r>
        <w:rPr>
          <w:rFonts w:ascii="Arial" w:cs="Arial" w:eastAsia="Arial" w:hAnsi="Arial"/>
          <w:sz w:val="16"/>
          <w:szCs w:val="16"/>
          <w:color w:val="auto"/>
        </w:rPr>
        <w:t>In 2017, we started writing homeowners’ policies in New Jersey and Rhode Island. We began writing homeowners policies in Massachusetts in 2018 and Connecticut in March of 2019. We refer to our New York business as our “Core” business and the business outside of New York as our “Expansion” business. Direct written premiums from our Expansion business were $16,900,000 in Nine Months 2019 compared to $5,919,000 in Nine Months 2018.</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Net Written Premiums and Net Premiums Earned</w:t>
      </w:r>
    </w:p>
    <w:p>
      <w:pPr>
        <w:spacing w:after="0" w:line="158" w:lineRule="exact"/>
        <w:rPr>
          <w:sz w:val="20"/>
          <w:szCs w:val="20"/>
          <w:color w:val="auto"/>
        </w:rPr>
      </w:pPr>
    </w:p>
    <w:p>
      <w:pPr>
        <w:jc w:val="both"/>
        <w:ind w:firstLine="608"/>
        <w:spacing w:after="0" w:line="275" w:lineRule="auto"/>
        <w:rPr>
          <w:sz w:val="20"/>
          <w:szCs w:val="20"/>
          <w:color w:val="auto"/>
        </w:rPr>
      </w:pPr>
      <w:r>
        <w:rPr>
          <w:rFonts w:ascii="Arial" w:cs="Arial" w:eastAsia="Arial" w:hAnsi="Arial"/>
          <w:sz w:val="16"/>
          <w:szCs w:val="16"/>
          <w:color w:val="auto"/>
        </w:rPr>
        <w:t>Our personal lines quota share reinsurance treaties in effect for Nine Months 2019 and Nine Months 2018 were covered under a treaty covering a two-year period from July 1, 2017 through June 30, 2019 (“2017/2019 Treaty”). The following table describes the quota share reinsurance ceding rates in effect for each treaty year during Nine Months 2019 and Nine Months 2018 under the 2017/2019 Treaty, respectively. This table should be referred to in conjunction with the discussions for net written premiums, net premiums earned, ceding commission revenue and net loss and loss adjustment expenses that follow.</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40" w:type="dxa"/>
            <w:vAlign w:val="bottom"/>
          </w:tcPr>
          <w:p>
            <w:pPr>
              <w:spacing w:after="0"/>
              <w:rPr>
                <w:sz w:val="17"/>
                <w:szCs w:val="17"/>
                <w:color w:val="auto"/>
              </w:rPr>
            </w:pPr>
          </w:p>
        </w:tc>
        <w:tc>
          <w:tcPr>
            <w:tcW w:w="4180" w:type="dxa"/>
            <w:vAlign w:val="bottom"/>
            <w:tcBorders>
              <w:bottom w:val="single" w:sz="8" w:color="auto"/>
            </w:tcBorders>
            <w:gridSpan w:val="2"/>
          </w:tcPr>
          <w:p>
            <w:pPr>
              <w:ind w:left="920"/>
              <w:spacing w:after="0"/>
              <w:rPr>
                <w:sz w:val="20"/>
                <w:szCs w:val="20"/>
                <w:color w:val="auto"/>
              </w:rPr>
            </w:pPr>
            <w:r>
              <w:rPr>
                <w:rFonts w:ascii="Arial" w:cs="Arial" w:eastAsia="Arial" w:hAnsi="Arial"/>
                <w:sz w:val="14"/>
                <w:szCs w:val="14"/>
                <w:b w:val="1"/>
                <w:bCs w:val="1"/>
                <w:color w:val="auto"/>
              </w:rPr>
              <w:t>Nine months ended September 30, 2019</w:t>
            </w:r>
          </w:p>
        </w:tc>
        <w:tc>
          <w:tcPr>
            <w:tcW w:w="3900" w:type="dxa"/>
            <w:vAlign w:val="bottom"/>
            <w:tcBorders>
              <w:bottom w:val="single" w:sz="8" w:color="auto"/>
            </w:tcBorders>
            <w:gridSpan w:val="2"/>
          </w:tcPr>
          <w:p>
            <w:pPr>
              <w:ind w:left="780"/>
              <w:spacing w:after="0"/>
              <w:rPr>
                <w:sz w:val="20"/>
                <w:szCs w:val="20"/>
                <w:color w:val="auto"/>
              </w:rPr>
            </w:pPr>
            <w:r>
              <w:rPr>
                <w:rFonts w:ascii="Arial" w:cs="Arial" w:eastAsia="Arial" w:hAnsi="Arial"/>
                <w:sz w:val="14"/>
                <w:szCs w:val="14"/>
                <w:b w:val="1"/>
                <w:bCs w:val="1"/>
                <w:color w:val="auto"/>
              </w:rPr>
              <w:t>Nine months ended September 30, 2018</w:t>
            </w:r>
          </w:p>
        </w:tc>
        <w:tc>
          <w:tcPr>
            <w:tcW w:w="0" w:type="dxa"/>
            <w:vAlign w:val="bottom"/>
          </w:tcPr>
          <w:p>
            <w:pPr>
              <w:spacing w:after="0"/>
              <w:rPr>
                <w:sz w:val="1"/>
                <w:szCs w:val="1"/>
                <w:color w:val="auto"/>
              </w:rPr>
            </w:pPr>
          </w:p>
        </w:tc>
      </w:tr>
      <w:tr>
        <w:trPr>
          <w:trHeight w:val="182"/>
        </w:trPr>
        <w:tc>
          <w:tcPr>
            <w:tcW w:w="3340" w:type="dxa"/>
            <w:vAlign w:val="bottom"/>
          </w:tcPr>
          <w:p>
            <w:pPr>
              <w:spacing w:after="0"/>
              <w:rPr>
                <w:sz w:val="15"/>
                <w:szCs w:val="15"/>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2"/>
              </w:rPr>
              <w:t>January 1,</w:t>
            </w:r>
          </w:p>
        </w:tc>
        <w:tc>
          <w:tcPr>
            <w:tcW w:w="2120" w:type="dxa"/>
            <w:vAlign w:val="bottom"/>
          </w:tcPr>
          <w:p>
            <w:pPr>
              <w:jc w:val="center"/>
              <w:spacing w:after="0"/>
              <w:rPr>
                <w:sz w:val="20"/>
                <w:szCs w:val="20"/>
                <w:color w:val="auto"/>
              </w:rPr>
            </w:pPr>
            <w:r>
              <w:rPr>
                <w:rFonts w:ascii="Arial" w:cs="Arial" w:eastAsia="Arial" w:hAnsi="Arial"/>
                <w:sz w:val="14"/>
                <w:szCs w:val="14"/>
                <w:b w:val="1"/>
                <w:bCs w:val="1"/>
                <w:color w:val="auto"/>
                <w:w w:val="91"/>
              </w:rPr>
              <w:t>July 1,</w:t>
            </w: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2"/>
              </w:rPr>
              <w:t>January 1,</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1"/>
              </w:rPr>
              <w:t>July 1,</w:t>
            </w:r>
          </w:p>
        </w:tc>
        <w:tc>
          <w:tcPr>
            <w:tcW w:w="0" w:type="dxa"/>
            <w:vAlign w:val="bottom"/>
          </w:tcPr>
          <w:p>
            <w:pPr>
              <w:spacing w:after="0"/>
              <w:rPr>
                <w:sz w:val="1"/>
                <w:szCs w:val="1"/>
                <w:color w:val="auto"/>
              </w:rPr>
            </w:pPr>
          </w:p>
        </w:tc>
      </w:tr>
      <w:tr>
        <w:trPr>
          <w:trHeight w:val="189"/>
        </w:trPr>
        <w:tc>
          <w:tcPr>
            <w:tcW w:w="3340" w:type="dxa"/>
            <w:vAlign w:val="bottom"/>
          </w:tcPr>
          <w:p>
            <w:pPr>
              <w:spacing w:after="0"/>
              <w:rPr>
                <w:sz w:val="16"/>
                <w:szCs w:val="16"/>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0"/>
              </w:rPr>
              <w:t>to</w:t>
            </w:r>
          </w:p>
        </w:tc>
        <w:tc>
          <w:tcPr>
            <w:tcW w:w="2120" w:type="dxa"/>
            <w:vAlign w:val="bottom"/>
          </w:tcPr>
          <w:p>
            <w:pPr>
              <w:jc w:val="center"/>
              <w:spacing w:after="0"/>
              <w:rPr>
                <w:sz w:val="20"/>
                <w:szCs w:val="20"/>
                <w:color w:val="auto"/>
              </w:rPr>
            </w:pPr>
            <w:r>
              <w:rPr>
                <w:rFonts w:ascii="Arial" w:cs="Arial" w:eastAsia="Arial" w:hAnsi="Arial"/>
                <w:sz w:val="14"/>
                <w:szCs w:val="14"/>
                <w:b w:val="1"/>
                <w:bCs w:val="1"/>
                <w:color w:val="auto"/>
                <w:w w:val="90"/>
              </w:rPr>
              <w:t>to</w:t>
            </w:r>
          </w:p>
        </w:tc>
        <w:tc>
          <w:tcPr>
            <w:tcW w:w="2000" w:type="dxa"/>
            <w:vAlign w:val="bottom"/>
          </w:tcPr>
          <w:p>
            <w:pPr>
              <w:jc w:val="center"/>
              <w:ind w:left="8"/>
              <w:spacing w:after="0"/>
              <w:rPr>
                <w:sz w:val="20"/>
                <w:szCs w:val="20"/>
                <w:color w:val="auto"/>
              </w:rPr>
            </w:pPr>
            <w:r>
              <w:rPr>
                <w:rFonts w:ascii="Arial" w:cs="Arial" w:eastAsia="Arial" w:hAnsi="Arial"/>
                <w:sz w:val="14"/>
                <w:szCs w:val="14"/>
                <w:b w:val="1"/>
                <w:bCs w:val="1"/>
                <w:color w:val="auto"/>
                <w:w w:val="90"/>
              </w:rPr>
              <w:t>to</w:t>
            </w:r>
          </w:p>
        </w:tc>
        <w:tc>
          <w:tcPr>
            <w:tcW w:w="1900" w:type="dxa"/>
            <w:vAlign w:val="bottom"/>
          </w:tcPr>
          <w:p>
            <w:pPr>
              <w:jc w:val="center"/>
              <w:ind w:left="28"/>
              <w:spacing w:after="0"/>
              <w:rPr>
                <w:sz w:val="20"/>
                <w:szCs w:val="20"/>
                <w:color w:val="auto"/>
              </w:rPr>
            </w:pPr>
            <w:r>
              <w:rPr>
                <w:rFonts w:ascii="Arial" w:cs="Arial" w:eastAsia="Arial" w:hAnsi="Arial"/>
                <w:sz w:val="14"/>
                <w:szCs w:val="14"/>
                <w:b w:val="1"/>
                <w:bCs w:val="1"/>
                <w:color w:val="auto"/>
                <w:w w:val="90"/>
              </w:rPr>
              <w:t>to</w:t>
            </w:r>
          </w:p>
        </w:tc>
        <w:tc>
          <w:tcPr>
            <w:tcW w:w="0" w:type="dxa"/>
            <w:vAlign w:val="bottom"/>
          </w:tcPr>
          <w:p>
            <w:pPr>
              <w:spacing w:after="0"/>
              <w:rPr>
                <w:sz w:val="1"/>
                <w:szCs w:val="1"/>
                <w:color w:val="auto"/>
              </w:rPr>
            </w:pPr>
          </w:p>
        </w:tc>
      </w:tr>
      <w:tr>
        <w:trPr>
          <w:trHeight w:val="217"/>
        </w:trPr>
        <w:tc>
          <w:tcPr>
            <w:tcW w:w="3340" w:type="dxa"/>
            <w:vAlign w:val="bottom"/>
          </w:tcPr>
          <w:p>
            <w:pPr>
              <w:spacing w:after="0"/>
              <w:rPr>
                <w:sz w:val="18"/>
                <w:szCs w:val="18"/>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September 30,</w:t>
            </w: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77"/>
        </w:trPr>
        <w:tc>
          <w:tcPr>
            <w:tcW w:w="3340" w:type="dxa"/>
            <w:vAlign w:val="bottom"/>
          </w:tcPr>
          <w:p>
            <w:pPr>
              <w:spacing w:after="0"/>
              <w:rPr>
                <w:sz w:val="15"/>
                <w:szCs w:val="15"/>
                <w:color w:val="auto"/>
              </w:rPr>
            </w:pPr>
          </w:p>
        </w:tc>
        <w:tc>
          <w:tcPr>
            <w:tcW w:w="2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("2018/2019 Treaty Year")</w:t>
            </w:r>
          </w:p>
        </w:tc>
        <w:tc>
          <w:tcPr>
            <w:tcW w:w="2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("2019/2020 Run-off Year")</w:t>
            </w:r>
          </w:p>
        </w:tc>
        <w:tc>
          <w:tcPr>
            <w:tcW w:w="2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("2017/2018 Treaty Year")</w:t>
            </w:r>
          </w:p>
        </w:tc>
        <w:tc>
          <w:tcPr>
            <w:tcW w:w="1900" w:type="dxa"/>
            <w:vAlign w:val="bottom"/>
          </w:tcPr>
          <w:p>
            <w:pPr>
              <w:jc w:val="center"/>
              <w:ind w:left="8"/>
              <w:spacing w:after="0"/>
              <w:rPr>
                <w:sz w:val="20"/>
                <w:szCs w:val="20"/>
                <w:color w:val="auto"/>
              </w:rPr>
            </w:pPr>
            <w:r>
              <w:rPr>
                <w:rFonts w:ascii="Arial" w:cs="Arial" w:eastAsia="Arial" w:hAnsi="Arial"/>
                <w:sz w:val="14"/>
                <w:szCs w:val="14"/>
                <w:b w:val="1"/>
                <w:bCs w:val="1"/>
                <w:color w:val="auto"/>
                <w:w w:val="93"/>
              </w:rPr>
              <w:t>("2018/2019 Treaty Year")</w:t>
            </w:r>
          </w:p>
        </w:tc>
        <w:tc>
          <w:tcPr>
            <w:tcW w:w="0" w:type="dxa"/>
            <w:vAlign w:val="bottom"/>
          </w:tcPr>
          <w:p>
            <w:pPr>
              <w:spacing w:after="0"/>
              <w:rPr>
                <w:sz w:val="1"/>
                <w:szCs w:val="1"/>
                <w:color w:val="auto"/>
              </w:rPr>
            </w:pPr>
          </w:p>
        </w:tc>
      </w:tr>
      <w:tr>
        <w:trPr>
          <w:trHeight w:val="42"/>
        </w:trPr>
        <w:tc>
          <w:tcPr>
            <w:tcW w:w="3340" w:type="dxa"/>
            <w:vAlign w:val="bottom"/>
          </w:tcPr>
          <w:p>
            <w:pPr>
              <w:spacing w:after="0"/>
              <w:rPr>
                <w:sz w:val="3"/>
                <w:szCs w:val="3"/>
                <w:color w:val="auto"/>
              </w:rPr>
            </w:pPr>
          </w:p>
        </w:tc>
        <w:tc>
          <w:tcPr>
            <w:tcW w:w="2060" w:type="dxa"/>
            <w:vAlign w:val="bottom"/>
            <w:vMerge w:val="continue"/>
          </w:tcPr>
          <w:p>
            <w:pPr>
              <w:spacing w:after="0"/>
              <w:rPr>
                <w:sz w:val="3"/>
                <w:szCs w:val="3"/>
                <w:color w:val="auto"/>
              </w:rPr>
            </w:pPr>
          </w:p>
        </w:tc>
        <w:tc>
          <w:tcPr>
            <w:tcW w:w="2120" w:type="dxa"/>
            <w:vAlign w:val="bottom"/>
            <w:vMerge w:val="continue"/>
          </w:tcPr>
          <w:p>
            <w:pPr>
              <w:spacing w:after="0"/>
              <w:rPr>
                <w:sz w:val="3"/>
                <w:szCs w:val="3"/>
                <w:color w:val="auto"/>
              </w:rPr>
            </w:pPr>
          </w:p>
        </w:tc>
        <w:tc>
          <w:tcPr>
            <w:tcW w:w="2000" w:type="dxa"/>
            <w:vAlign w:val="bottom"/>
            <w:vMerge w:val="continue"/>
          </w:tcPr>
          <w:p>
            <w:pPr>
              <w:spacing w:after="0"/>
              <w:rPr>
                <w:sz w:val="3"/>
                <w:szCs w:val="3"/>
                <w:color w:val="auto"/>
              </w:rPr>
            </w:pPr>
          </w:p>
        </w:tc>
        <w:tc>
          <w:tcPr>
            <w:tcW w:w="1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7"/>
        </w:trPr>
        <w:tc>
          <w:tcPr>
            <w:tcW w:w="3340" w:type="dxa"/>
            <w:vAlign w:val="bottom"/>
          </w:tcPr>
          <w:p>
            <w:pPr>
              <w:ind w:left="40"/>
              <w:spacing w:after="0"/>
              <w:rPr>
                <w:sz w:val="20"/>
                <w:szCs w:val="20"/>
                <w:color w:val="auto"/>
              </w:rPr>
            </w:pPr>
            <w:r>
              <w:rPr>
                <w:rFonts w:ascii="Arial" w:cs="Arial" w:eastAsia="Arial" w:hAnsi="Arial"/>
                <w:sz w:val="16"/>
                <w:szCs w:val="16"/>
                <w:b w:val="1"/>
                <w:bCs w:val="1"/>
                <w:color w:val="auto"/>
              </w:rPr>
              <w:t>Quota share reinsurance rates</w:t>
            </w:r>
          </w:p>
        </w:tc>
        <w:tc>
          <w:tcPr>
            <w:tcW w:w="20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3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Personal lines</w:t>
            </w:r>
          </w:p>
        </w:tc>
        <w:tc>
          <w:tcPr>
            <w:tcW w:w="2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10% (1)</w:t>
            </w:r>
          </w:p>
        </w:tc>
        <w:tc>
          <w:tcPr>
            <w:tcW w:w="2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0% (2)</w:t>
            </w:r>
          </w:p>
        </w:tc>
        <w:tc>
          <w:tcPr>
            <w:tcW w:w="2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20% (1)</w:t>
            </w:r>
          </w:p>
        </w:tc>
        <w:tc>
          <w:tcPr>
            <w:tcW w:w="1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10% (1)</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920" w:hanging="311"/>
        <w:spacing w:after="0"/>
        <w:tabs>
          <w:tab w:leader="none" w:pos="9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2017/2019 Treaty was a two-year treaty; quota share reinsurance rate was reduced to 10% effective July 1, 2018 (the “2018 Cut-off”).</w:t>
      </w:r>
    </w:p>
    <w:p>
      <w:pPr>
        <w:spacing w:after="0" w:line="24" w:lineRule="exact"/>
        <w:rPr>
          <w:rFonts w:ascii="Arial" w:cs="Arial" w:eastAsia="Arial" w:hAnsi="Arial"/>
          <w:sz w:val="16"/>
          <w:szCs w:val="16"/>
          <w:color w:val="auto"/>
        </w:rPr>
      </w:pPr>
    </w:p>
    <w:p>
      <w:pPr>
        <w:ind w:left="920" w:hanging="311"/>
        <w:spacing w:after="0"/>
        <w:tabs>
          <w:tab w:leader="none" w:pos="9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2017/2019 Treaty expired on a run-off basis effective July 1, 2019 (the “2019 Run-off”).</w:t>
      </w:r>
    </w:p>
    <w:p>
      <w:pPr>
        <w:spacing w:after="0" w:line="19" w:lineRule="exact"/>
        <w:rPr>
          <w:sz w:val="20"/>
          <w:szCs w:val="20"/>
          <w:color w:val="auto"/>
        </w:rPr>
      </w:pPr>
    </w:p>
    <w:p>
      <w:pPr>
        <w:ind w:left="600"/>
        <w:spacing w:after="0"/>
        <w:rPr>
          <w:sz w:val="20"/>
          <w:szCs w:val="20"/>
          <w:color w:val="auto"/>
        </w:rPr>
      </w:pPr>
      <w:r>
        <w:rPr>
          <w:rFonts w:ascii="Arial" w:cs="Arial" w:eastAsia="Arial" w:hAnsi="Arial"/>
          <w:sz w:val="16"/>
          <w:szCs w:val="16"/>
          <w:color w:val="auto"/>
        </w:rPr>
        <w:t>See “Reinsurance” below for changes to our personal lines quota share treaties effective July 1, 2019, 2018 and 2017.</w:t>
      </w:r>
    </w:p>
    <w:p>
      <w:pPr>
        <w:spacing w:after="0" w:line="215" w:lineRule="exact"/>
        <w:rPr>
          <w:sz w:val="20"/>
          <w:szCs w:val="20"/>
          <w:color w:val="auto"/>
        </w:rPr>
      </w:pPr>
    </w:p>
    <w:p>
      <w:pPr>
        <w:jc w:val="both"/>
        <w:ind w:firstLine="608"/>
        <w:spacing w:after="0" w:line="292" w:lineRule="auto"/>
        <w:rPr>
          <w:sz w:val="20"/>
          <w:szCs w:val="20"/>
          <w:color w:val="auto"/>
        </w:rPr>
      </w:pPr>
      <w:r>
        <w:rPr>
          <w:rFonts w:ascii="Arial" w:cs="Arial" w:eastAsia="Arial" w:hAnsi="Arial"/>
          <w:sz w:val="15"/>
          <w:szCs w:val="15"/>
          <w:color w:val="auto"/>
        </w:rPr>
        <w:t>Net written premiums increased $19,653,000, or 22.4%, to $107,420,000 in Nine Months 2019 from $87,767,000 in Nine Months 2018. Net written premiums include direct and assumed premiums, less the amount of written premiums ceded under our reinsurance treaties (quota share, excess of loss, and catastrophe). Our personal lines business was subject to the 2017/2019 Treaty under the 2018/2019 Treaty Year through June 30, 2019. Following June 30, 2019, any earned premium and associated claims for policies still inforce will continue to be ceded under the 10% quota share rate until such policies expire (run-off) over the next year. The 2019 Run-off period is from July 1, 2019 through June 30, 2020 and there is no return of unearned premiums under this arrangement. The 2018 Cut-off on July 1, 2018 resulted in a $4,553,000 return of unearned premiums from our reinsurers that were previously ceded under the expiring personal lines quota share treaty.</w:t>
      </w:r>
    </w:p>
    <w:p>
      <w:pPr>
        <w:spacing w:after="0" w:line="160" w:lineRule="exact"/>
        <w:rPr>
          <w:sz w:val="20"/>
          <w:szCs w:val="20"/>
          <w:color w:val="auto"/>
        </w:rPr>
      </w:pPr>
    </w:p>
    <w:p>
      <w:pPr>
        <w:ind w:left="600"/>
        <w:spacing w:after="0"/>
        <w:rPr>
          <w:sz w:val="20"/>
          <w:szCs w:val="20"/>
          <w:color w:val="auto"/>
        </w:rPr>
      </w:pPr>
      <w:r>
        <w:rPr>
          <w:rFonts w:ascii="Arial" w:cs="Arial" w:eastAsia="Arial" w:hAnsi="Arial"/>
          <w:sz w:val="16"/>
          <w:szCs w:val="16"/>
          <w:i w:val="1"/>
          <w:iCs w:val="1"/>
          <w:color w:val="auto"/>
        </w:rPr>
        <w:t>Excess of loss reinsurance treaties</w:t>
      </w:r>
    </w:p>
    <w:p>
      <w:pPr>
        <w:spacing w:after="0" w:line="158" w:lineRule="exact"/>
        <w:rPr>
          <w:sz w:val="20"/>
          <w:szCs w:val="20"/>
          <w:color w:val="auto"/>
        </w:rPr>
      </w:pPr>
    </w:p>
    <w:p>
      <w:pPr>
        <w:jc w:val="both"/>
        <w:ind w:firstLine="608"/>
        <w:spacing w:after="0" w:line="280" w:lineRule="auto"/>
        <w:rPr>
          <w:sz w:val="20"/>
          <w:szCs w:val="20"/>
          <w:color w:val="auto"/>
        </w:rPr>
      </w:pPr>
      <w:r>
        <w:rPr>
          <w:rFonts w:ascii="Arial" w:cs="Arial" w:eastAsia="Arial" w:hAnsi="Arial"/>
          <w:sz w:val="16"/>
          <w:szCs w:val="16"/>
          <w:color w:val="auto"/>
        </w:rPr>
        <w:t>An increase in written premiums will increase the premiums ceded under our excess of loss treaties. In Nine Months 2019, our ceded excess of loss reinsurance premiums increased by $231,000 over the comparable ceded premiums for Nine Months 2018. The increase was due to an increase in premiums subject to excess of loss reinsurance.</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2" w:name="page43"/>
    <w:bookmarkEnd w:id="42"/>
    <w:p>
      <w:pPr>
        <w:ind w:left="600"/>
        <w:spacing w:after="0"/>
        <w:rPr>
          <w:sz w:val="20"/>
          <w:szCs w:val="20"/>
          <w:color w:val="auto"/>
        </w:rPr>
      </w:pPr>
      <w:r>
        <w:rPr>
          <w:rFonts w:ascii="Arial" w:cs="Arial" w:eastAsia="Arial" w:hAnsi="Arial"/>
          <w:sz w:val="16"/>
          <w:szCs w:val="16"/>
          <w:i w:val="1"/>
          <w:iCs w:val="1"/>
          <w:color w:val="auto"/>
        </w:rPr>
        <w:t>Catastrophe reinsurance treaties</w:t>
      </w:r>
    </w:p>
    <w:p>
      <w:pPr>
        <w:spacing w:after="0" w:line="158" w:lineRule="exact"/>
        <w:rPr>
          <w:sz w:val="20"/>
          <w:szCs w:val="20"/>
          <w:color w:val="auto"/>
        </w:rPr>
      </w:pPr>
    </w:p>
    <w:p>
      <w:pPr>
        <w:jc w:val="both"/>
        <w:ind w:firstLine="608"/>
        <w:spacing w:after="0" w:line="270" w:lineRule="auto"/>
        <w:rPr>
          <w:sz w:val="20"/>
          <w:szCs w:val="20"/>
          <w:color w:val="auto"/>
        </w:rPr>
      </w:pPr>
      <w:r>
        <w:rPr>
          <w:rFonts w:ascii="Arial" w:cs="Arial" w:eastAsia="Arial" w:hAnsi="Arial"/>
          <w:sz w:val="16"/>
          <w:szCs w:val="16"/>
          <w:color w:val="auto"/>
        </w:rPr>
        <w:t>Most of the premiums written under our personal lines policies are also subject to our catastrophe treaties. An increase in our personal lines business gives rise to more property exposure, which increases our exposure to catastrophe risk; therefore, our premiums ceded under catastrophe treaties will increase. This results in an increase in premiums ceded under our catastrophe treaties provided that reinsurance rates are stable or are increasing. In Nine Months 2019, our premiums ceded under catastrophe treaties increased by $3,301,000 over the comparable ceded premiums in Nine Months 2018. The change was due to an increase in our catastrophe limit purchased, an increase in premiums subject to catastrophe reinsurance due to continued growth, and an increase in reinsurance rates effective July 1, 2019. Our ceded catastrophe premiums are paid based on the total direct written premiums subject to the catastrophe reinsurance treaty.</w:t>
      </w:r>
    </w:p>
    <w:p>
      <w:pPr>
        <w:spacing w:after="0" w:line="253" w:lineRule="exact"/>
        <w:rPr>
          <w:sz w:val="20"/>
          <w:szCs w:val="20"/>
          <w:color w:val="auto"/>
        </w:rPr>
      </w:pPr>
    </w:p>
    <w:p>
      <w:pPr>
        <w:ind w:left="600"/>
        <w:spacing w:after="0"/>
        <w:rPr>
          <w:sz w:val="20"/>
          <w:szCs w:val="20"/>
          <w:color w:val="auto"/>
        </w:rPr>
      </w:pPr>
      <w:r>
        <w:rPr>
          <w:rFonts w:ascii="Arial" w:cs="Arial" w:eastAsia="Arial" w:hAnsi="Arial"/>
          <w:sz w:val="16"/>
          <w:szCs w:val="16"/>
          <w:i w:val="1"/>
          <w:iCs w:val="1"/>
          <w:color w:val="auto"/>
        </w:rPr>
        <w:t>Net premiums earned</w:t>
      </w:r>
    </w:p>
    <w:p>
      <w:pPr>
        <w:spacing w:after="0" w:line="158" w:lineRule="exact"/>
        <w:rPr>
          <w:sz w:val="20"/>
          <w:szCs w:val="20"/>
          <w:color w:val="auto"/>
        </w:rPr>
      </w:pPr>
    </w:p>
    <w:p>
      <w:pPr>
        <w:jc w:val="both"/>
        <w:ind w:firstLine="608"/>
        <w:spacing w:after="0" w:line="280" w:lineRule="auto"/>
        <w:rPr>
          <w:sz w:val="20"/>
          <w:szCs w:val="20"/>
          <w:color w:val="auto"/>
        </w:rPr>
      </w:pPr>
      <w:r>
        <w:rPr>
          <w:rFonts w:ascii="Arial" w:cs="Arial" w:eastAsia="Arial" w:hAnsi="Arial"/>
          <w:sz w:val="16"/>
          <w:szCs w:val="16"/>
          <w:color w:val="auto"/>
        </w:rPr>
        <w:t>Net premiums earned increased $20,541,000, or 27.6%, to $95,017,000 in Nine Months 2019 from $74,476,000 in Nine Months 2018. The increase was due to the increase in written premiums discussed above and our retaining more earned premiums effective: (1) July 1, 2019 as a result of the expiration and non-renewal of the 2017/2019 Treaty, and (2) July 1, 2018, as a result of the reduction in the quota share reinsurance rates.</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Ceding Commission Revenue</w:t>
      </w:r>
    </w:p>
    <w:p>
      <w:pPr>
        <w:spacing w:after="0" w:line="158" w:lineRule="exact"/>
        <w:rPr>
          <w:sz w:val="20"/>
          <w:szCs w:val="20"/>
          <w:color w:val="auto"/>
        </w:rPr>
      </w:pPr>
    </w:p>
    <w:p>
      <w:pPr>
        <w:jc w:val="both"/>
        <w:ind w:firstLine="608"/>
        <w:spacing w:after="0" w:line="296" w:lineRule="auto"/>
        <w:rPr>
          <w:sz w:val="20"/>
          <w:szCs w:val="20"/>
          <w:color w:val="auto"/>
        </w:rPr>
      </w:pPr>
      <w:r>
        <w:rPr>
          <w:rFonts w:ascii="Arial" w:cs="Arial" w:eastAsia="Arial" w:hAnsi="Arial"/>
          <w:sz w:val="16"/>
          <w:szCs w:val="16"/>
          <w:color w:val="auto"/>
        </w:rPr>
        <w:t>The following table details the quota share provisional ceding commission rates in effect during Nine Months 2019 and Nine Months 2018. This table should be referred to in conjunction with the discussion for ceding commission revenue that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40" w:type="dxa"/>
            <w:vAlign w:val="bottom"/>
          </w:tcPr>
          <w:p>
            <w:pPr>
              <w:spacing w:after="0"/>
              <w:rPr>
                <w:sz w:val="17"/>
                <w:szCs w:val="17"/>
                <w:color w:val="auto"/>
              </w:rPr>
            </w:pPr>
          </w:p>
        </w:tc>
        <w:tc>
          <w:tcPr>
            <w:tcW w:w="4180" w:type="dxa"/>
            <w:vAlign w:val="bottom"/>
            <w:tcBorders>
              <w:bottom w:val="single" w:sz="8" w:color="auto"/>
            </w:tcBorders>
            <w:gridSpan w:val="2"/>
          </w:tcPr>
          <w:p>
            <w:pPr>
              <w:ind w:left="920"/>
              <w:spacing w:after="0"/>
              <w:rPr>
                <w:sz w:val="20"/>
                <w:szCs w:val="20"/>
                <w:color w:val="auto"/>
              </w:rPr>
            </w:pPr>
            <w:r>
              <w:rPr>
                <w:rFonts w:ascii="Arial" w:cs="Arial" w:eastAsia="Arial" w:hAnsi="Arial"/>
                <w:sz w:val="14"/>
                <w:szCs w:val="14"/>
                <w:b w:val="1"/>
                <w:bCs w:val="1"/>
                <w:color w:val="auto"/>
              </w:rPr>
              <w:t>Nine months ended September 30, 2019</w:t>
            </w:r>
          </w:p>
        </w:tc>
        <w:tc>
          <w:tcPr>
            <w:tcW w:w="3900" w:type="dxa"/>
            <w:vAlign w:val="bottom"/>
            <w:tcBorders>
              <w:bottom w:val="single" w:sz="8" w:color="auto"/>
            </w:tcBorders>
            <w:gridSpan w:val="2"/>
          </w:tcPr>
          <w:p>
            <w:pPr>
              <w:ind w:left="780"/>
              <w:spacing w:after="0"/>
              <w:rPr>
                <w:sz w:val="20"/>
                <w:szCs w:val="20"/>
                <w:color w:val="auto"/>
              </w:rPr>
            </w:pPr>
            <w:r>
              <w:rPr>
                <w:rFonts w:ascii="Arial" w:cs="Arial" w:eastAsia="Arial" w:hAnsi="Arial"/>
                <w:sz w:val="14"/>
                <w:szCs w:val="14"/>
                <w:b w:val="1"/>
                <w:bCs w:val="1"/>
                <w:color w:val="auto"/>
              </w:rPr>
              <w:t>Nine months ended September 30, 2018</w:t>
            </w:r>
          </w:p>
        </w:tc>
        <w:tc>
          <w:tcPr>
            <w:tcW w:w="0" w:type="dxa"/>
            <w:vAlign w:val="bottom"/>
          </w:tcPr>
          <w:p>
            <w:pPr>
              <w:spacing w:after="0"/>
              <w:rPr>
                <w:sz w:val="1"/>
                <w:szCs w:val="1"/>
                <w:color w:val="auto"/>
              </w:rPr>
            </w:pPr>
          </w:p>
        </w:tc>
      </w:tr>
      <w:tr>
        <w:trPr>
          <w:trHeight w:val="182"/>
        </w:trPr>
        <w:tc>
          <w:tcPr>
            <w:tcW w:w="3340" w:type="dxa"/>
            <w:vAlign w:val="bottom"/>
          </w:tcPr>
          <w:p>
            <w:pPr>
              <w:spacing w:after="0"/>
              <w:rPr>
                <w:sz w:val="15"/>
                <w:szCs w:val="15"/>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2"/>
              </w:rPr>
              <w:t>January 1,</w:t>
            </w:r>
          </w:p>
        </w:tc>
        <w:tc>
          <w:tcPr>
            <w:tcW w:w="2120" w:type="dxa"/>
            <w:vAlign w:val="bottom"/>
          </w:tcPr>
          <w:p>
            <w:pPr>
              <w:jc w:val="center"/>
              <w:spacing w:after="0"/>
              <w:rPr>
                <w:sz w:val="20"/>
                <w:szCs w:val="20"/>
                <w:color w:val="auto"/>
              </w:rPr>
            </w:pPr>
            <w:r>
              <w:rPr>
                <w:rFonts w:ascii="Arial" w:cs="Arial" w:eastAsia="Arial" w:hAnsi="Arial"/>
                <w:sz w:val="14"/>
                <w:szCs w:val="14"/>
                <w:b w:val="1"/>
                <w:bCs w:val="1"/>
                <w:color w:val="auto"/>
                <w:w w:val="91"/>
              </w:rPr>
              <w:t>July 1,</w:t>
            </w: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2"/>
              </w:rPr>
              <w:t>January 1,</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1"/>
              </w:rPr>
              <w:t>July 1,</w:t>
            </w:r>
          </w:p>
        </w:tc>
        <w:tc>
          <w:tcPr>
            <w:tcW w:w="0" w:type="dxa"/>
            <w:vAlign w:val="bottom"/>
          </w:tcPr>
          <w:p>
            <w:pPr>
              <w:spacing w:after="0"/>
              <w:rPr>
                <w:sz w:val="1"/>
                <w:szCs w:val="1"/>
                <w:color w:val="auto"/>
              </w:rPr>
            </w:pPr>
          </w:p>
        </w:tc>
      </w:tr>
      <w:tr>
        <w:trPr>
          <w:trHeight w:val="189"/>
        </w:trPr>
        <w:tc>
          <w:tcPr>
            <w:tcW w:w="3340" w:type="dxa"/>
            <w:vAlign w:val="bottom"/>
          </w:tcPr>
          <w:p>
            <w:pPr>
              <w:spacing w:after="0"/>
              <w:rPr>
                <w:sz w:val="16"/>
                <w:szCs w:val="16"/>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0"/>
              </w:rPr>
              <w:t>to</w:t>
            </w:r>
          </w:p>
        </w:tc>
        <w:tc>
          <w:tcPr>
            <w:tcW w:w="2120" w:type="dxa"/>
            <w:vAlign w:val="bottom"/>
          </w:tcPr>
          <w:p>
            <w:pPr>
              <w:jc w:val="center"/>
              <w:spacing w:after="0"/>
              <w:rPr>
                <w:sz w:val="20"/>
                <w:szCs w:val="20"/>
                <w:color w:val="auto"/>
              </w:rPr>
            </w:pPr>
            <w:r>
              <w:rPr>
                <w:rFonts w:ascii="Arial" w:cs="Arial" w:eastAsia="Arial" w:hAnsi="Arial"/>
                <w:sz w:val="14"/>
                <w:szCs w:val="14"/>
                <w:b w:val="1"/>
                <w:bCs w:val="1"/>
                <w:color w:val="auto"/>
                <w:w w:val="90"/>
              </w:rPr>
              <w:t>to</w:t>
            </w:r>
          </w:p>
        </w:tc>
        <w:tc>
          <w:tcPr>
            <w:tcW w:w="2000" w:type="dxa"/>
            <w:vAlign w:val="bottom"/>
          </w:tcPr>
          <w:p>
            <w:pPr>
              <w:jc w:val="center"/>
              <w:ind w:left="8"/>
              <w:spacing w:after="0"/>
              <w:rPr>
                <w:sz w:val="20"/>
                <w:szCs w:val="20"/>
                <w:color w:val="auto"/>
              </w:rPr>
            </w:pPr>
            <w:r>
              <w:rPr>
                <w:rFonts w:ascii="Arial" w:cs="Arial" w:eastAsia="Arial" w:hAnsi="Arial"/>
                <w:sz w:val="14"/>
                <w:szCs w:val="14"/>
                <w:b w:val="1"/>
                <w:bCs w:val="1"/>
                <w:color w:val="auto"/>
                <w:w w:val="90"/>
              </w:rPr>
              <w:t>to</w:t>
            </w:r>
          </w:p>
        </w:tc>
        <w:tc>
          <w:tcPr>
            <w:tcW w:w="1900" w:type="dxa"/>
            <w:vAlign w:val="bottom"/>
          </w:tcPr>
          <w:p>
            <w:pPr>
              <w:jc w:val="center"/>
              <w:ind w:left="28"/>
              <w:spacing w:after="0"/>
              <w:rPr>
                <w:sz w:val="20"/>
                <w:szCs w:val="20"/>
                <w:color w:val="auto"/>
              </w:rPr>
            </w:pPr>
            <w:r>
              <w:rPr>
                <w:rFonts w:ascii="Arial" w:cs="Arial" w:eastAsia="Arial" w:hAnsi="Arial"/>
                <w:sz w:val="14"/>
                <w:szCs w:val="14"/>
                <w:b w:val="1"/>
                <w:bCs w:val="1"/>
                <w:color w:val="auto"/>
                <w:w w:val="90"/>
              </w:rPr>
              <w:t>to</w:t>
            </w:r>
          </w:p>
        </w:tc>
        <w:tc>
          <w:tcPr>
            <w:tcW w:w="0" w:type="dxa"/>
            <w:vAlign w:val="bottom"/>
          </w:tcPr>
          <w:p>
            <w:pPr>
              <w:spacing w:after="0"/>
              <w:rPr>
                <w:sz w:val="1"/>
                <w:szCs w:val="1"/>
                <w:color w:val="auto"/>
              </w:rPr>
            </w:pPr>
          </w:p>
        </w:tc>
      </w:tr>
      <w:tr>
        <w:trPr>
          <w:trHeight w:val="217"/>
        </w:trPr>
        <w:tc>
          <w:tcPr>
            <w:tcW w:w="3340" w:type="dxa"/>
            <w:vAlign w:val="bottom"/>
          </w:tcPr>
          <w:p>
            <w:pPr>
              <w:spacing w:after="0"/>
              <w:rPr>
                <w:sz w:val="18"/>
                <w:szCs w:val="18"/>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September 30,</w:t>
            </w: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77"/>
        </w:trPr>
        <w:tc>
          <w:tcPr>
            <w:tcW w:w="3340" w:type="dxa"/>
            <w:vAlign w:val="bottom"/>
          </w:tcPr>
          <w:p>
            <w:pPr>
              <w:spacing w:after="0"/>
              <w:rPr>
                <w:sz w:val="15"/>
                <w:szCs w:val="15"/>
                <w:color w:val="auto"/>
              </w:rPr>
            </w:pPr>
          </w:p>
        </w:tc>
        <w:tc>
          <w:tcPr>
            <w:tcW w:w="2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("2018/2019 Treaty Year")</w:t>
            </w:r>
          </w:p>
        </w:tc>
        <w:tc>
          <w:tcPr>
            <w:tcW w:w="2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("2019/2020 Run-off Year")</w:t>
            </w:r>
          </w:p>
        </w:tc>
        <w:tc>
          <w:tcPr>
            <w:tcW w:w="2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("2017/2018 Treaty Year")</w:t>
            </w:r>
          </w:p>
        </w:tc>
        <w:tc>
          <w:tcPr>
            <w:tcW w:w="1900" w:type="dxa"/>
            <w:vAlign w:val="bottom"/>
          </w:tcPr>
          <w:p>
            <w:pPr>
              <w:jc w:val="center"/>
              <w:ind w:left="8"/>
              <w:spacing w:after="0"/>
              <w:rPr>
                <w:sz w:val="20"/>
                <w:szCs w:val="20"/>
                <w:color w:val="auto"/>
              </w:rPr>
            </w:pPr>
            <w:r>
              <w:rPr>
                <w:rFonts w:ascii="Arial" w:cs="Arial" w:eastAsia="Arial" w:hAnsi="Arial"/>
                <w:sz w:val="14"/>
                <w:szCs w:val="14"/>
                <w:b w:val="1"/>
                <w:bCs w:val="1"/>
                <w:color w:val="auto"/>
                <w:w w:val="93"/>
              </w:rPr>
              <w:t>("2018/2019 Treaty Year")</w:t>
            </w:r>
          </w:p>
        </w:tc>
        <w:tc>
          <w:tcPr>
            <w:tcW w:w="0" w:type="dxa"/>
            <w:vAlign w:val="bottom"/>
          </w:tcPr>
          <w:p>
            <w:pPr>
              <w:spacing w:after="0"/>
              <w:rPr>
                <w:sz w:val="1"/>
                <w:szCs w:val="1"/>
                <w:color w:val="auto"/>
              </w:rPr>
            </w:pPr>
          </w:p>
        </w:tc>
      </w:tr>
      <w:tr>
        <w:trPr>
          <w:trHeight w:val="42"/>
        </w:trPr>
        <w:tc>
          <w:tcPr>
            <w:tcW w:w="3340" w:type="dxa"/>
            <w:vAlign w:val="bottom"/>
          </w:tcPr>
          <w:p>
            <w:pPr>
              <w:spacing w:after="0"/>
              <w:rPr>
                <w:sz w:val="3"/>
                <w:szCs w:val="3"/>
                <w:color w:val="auto"/>
              </w:rPr>
            </w:pPr>
          </w:p>
        </w:tc>
        <w:tc>
          <w:tcPr>
            <w:tcW w:w="2060" w:type="dxa"/>
            <w:vAlign w:val="bottom"/>
            <w:vMerge w:val="continue"/>
          </w:tcPr>
          <w:p>
            <w:pPr>
              <w:spacing w:after="0"/>
              <w:rPr>
                <w:sz w:val="3"/>
                <w:szCs w:val="3"/>
                <w:color w:val="auto"/>
              </w:rPr>
            </w:pPr>
          </w:p>
        </w:tc>
        <w:tc>
          <w:tcPr>
            <w:tcW w:w="2120" w:type="dxa"/>
            <w:vAlign w:val="bottom"/>
            <w:vMerge w:val="continue"/>
          </w:tcPr>
          <w:p>
            <w:pPr>
              <w:spacing w:after="0"/>
              <w:rPr>
                <w:sz w:val="3"/>
                <w:szCs w:val="3"/>
                <w:color w:val="auto"/>
              </w:rPr>
            </w:pPr>
          </w:p>
        </w:tc>
        <w:tc>
          <w:tcPr>
            <w:tcW w:w="2000" w:type="dxa"/>
            <w:vAlign w:val="bottom"/>
            <w:vMerge w:val="continue"/>
          </w:tcPr>
          <w:p>
            <w:pPr>
              <w:spacing w:after="0"/>
              <w:rPr>
                <w:sz w:val="3"/>
                <w:szCs w:val="3"/>
                <w:color w:val="auto"/>
              </w:rPr>
            </w:pPr>
          </w:p>
        </w:tc>
        <w:tc>
          <w:tcPr>
            <w:tcW w:w="1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7"/>
        </w:trPr>
        <w:tc>
          <w:tcPr>
            <w:tcW w:w="5400" w:type="dxa"/>
            <w:vAlign w:val="bottom"/>
            <w:gridSpan w:val="2"/>
          </w:tcPr>
          <w:p>
            <w:pPr>
              <w:ind w:left="40"/>
              <w:spacing w:after="0"/>
              <w:rPr>
                <w:sz w:val="20"/>
                <w:szCs w:val="20"/>
                <w:color w:val="auto"/>
              </w:rPr>
            </w:pPr>
            <w:r>
              <w:rPr>
                <w:rFonts w:ascii="Arial" w:cs="Arial" w:eastAsia="Arial" w:hAnsi="Arial"/>
                <w:sz w:val="16"/>
                <w:szCs w:val="16"/>
                <w:b w:val="1"/>
                <w:bCs w:val="1"/>
                <w:color w:val="auto"/>
              </w:rPr>
              <w:t>Provisional ceding commission rate on quota share treaty</w:t>
            </w:r>
          </w:p>
        </w:tc>
        <w:tc>
          <w:tcPr>
            <w:tcW w:w="21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3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Personal lines</w:t>
            </w:r>
          </w:p>
        </w:tc>
        <w:tc>
          <w:tcPr>
            <w:tcW w:w="2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53%</w:t>
            </w:r>
          </w:p>
        </w:tc>
        <w:tc>
          <w:tcPr>
            <w:tcW w:w="2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0% (1)</w:t>
            </w:r>
          </w:p>
        </w:tc>
        <w:tc>
          <w:tcPr>
            <w:tcW w:w="2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53%</w:t>
            </w:r>
          </w:p>
        </w:tc>
        <w:tc>
          <w:tcPr>
            <w:tcW w:w="1900" w:type="dxa"/>
            <w:vAlign w:val="bottom"/>
            <w:shd w:val="clear" w:color="auto" w:fill="CCEEFF"/>
          </w:tcPr>
          <w:p>
            <w:pPr>
              <w:jc w:val="center"/>
              <w:ind w:left="8"/>
              <w:spacing w:after="0"/>
              <w:rPr>
                <w:sz w:val="20"/>
                <w:szCs w:val="20"/>
                <w:color w:val="auto"/>
              </w:rPr>
            </w:pPr>
            <w:r>
              <w:rPr>
                <w:rFonts w:ascii="Arial" w:cs="Arial" w:eastAsia="Arial" w:hAnsi="Arial"/>
                <w:sz w:val="16"/>
                <w:szCs w:val="16"/>
                <w:color w:val="auto"/>
                <w:w w:val="93"/>
              </w:rPr>
              <w:t>53%</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920" w:hanging="311"/>
        <w:spacing w:after="0" w:line="296" w:lineRule="auto"/>
        <w:tabs>
          <w:tab w:leader="none" w:pos="9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2017/2019 Treaty expired on a run-off basis effective July 1, 2019, allowing for provisional ceding commissions to be earned during the 2019/2020 Run-off Year.</w:t>
      </w:r>
    </w:p>
    <w:p>
      <w:pPr>
        <w:spacing w:after="0" w:line="154"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following table summarizes the changes in the components of ceding commission revenue (in thousands) for the periods indicated: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60" w:type="dxa"/>
            <w:vAlign w:val="bottom"/>
            <w:vMerge w:val="restart"/>
          </w:tcPr>
          <w:p>
            <w:pPr>
              <w:spacing w:after="0"/>
              <w:rPr>
                <w:sz w:val="20"/>
                <w:szCs w:val="20"/>
                <w:color w:val="auto"/>
              </w:rPr>
            </w:pPr>
            <w:r>
              <w:rPr>
                <w:rFonts w:ascii="Arial" w:cs="Arial" w:eastAsia="Arial" w:hAnsi="Arial"/>
                <w:sz w:val="16"/>
                <w:szCs w:val="16"/>
                <w:b w:val="1"/>
                <w:bCs w:val="1"/>
                <w:color w:val="auto"/>
              </w:rPr>
              <w:t>($ in thousands)</w:t>
            </w:r>
          </w:p>
        </w:tc>
        <w:tc>
          <w:tcPr>
            <w:tcW w:w="14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6"/>
          </w:tcPr>
          <w:p>
            <w:pPr>
              <w:jc w:val="right"/>
              <w:ind w:right="500"/>
              <w:spacing w:after="0"/>
              <w:rPr>
                <w:sz w:val="20"/>
                <w:szCs w:val="20"/>
                <w:color w:val="auto"/>
              </w:rPr>
            </w:pPr>
            <w:r>
              <w:rPr>
                <w:rFonts w:ascii="Arial" w:cs="Arial" w:eastAsia="Arial" w:hAnsi="Arial"/>
                <w:sz w:val="14"/>
                <w:szCs w:val="14"/>
                <w:b w:val="1"/>
                <w:bCs w:val="1"/>
                <w:color w:val="auto"/>
                <w:w w:val="90"/>
              </w:rPr>
              <w:t>Nine months ended September 30,</w:t>
            </w:r>
          </w:p>
        </w:tc>
        <w:tc>
          <w:tcPr>
            <w:tcW w:w="10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660" w:type="dxa"/>
            <w:vAlign w:val="bottom"/>
            <w:vMerge w:val="continue"/>
          </w:tcPr>
          <w:p>
            <w:pPr>
              <w:spacing w:after="0"/>
              <w:rPr>
                <w:sz w:val="20"/>
                <w:szCs w:val="20"/>
                <w:color w:val="auto"/>
              </w:rPr>
            </w:pPr>
          </w:p>
        </w:tc>
        <w:tc>
          <w:tcPr>
            <w:tcW w:w="1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320"/>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341"/>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Change</w:t>
            </w:r>
          </w:p>
        </w:tc>
        <w:tc>
          <w:tcPr>
            <w:tcW w:w="1240" w:type="dxa"/>
            <w:vAlign w:val="bottom"/>
            <w:gridSpan w:val="4"/>
          </w:tcPr>
          <w:p>
            <w:pPr>
              <w:ind w:left="34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28"/>
        </w:trPr>
        <w:tc>
          <w:tcPr>
            <w:tcW w:w="46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Provisional ceding commissions earned</w:t>
            </w:r>
          </w:p>
        </w:tc>
        <w:tc>
          <w:tcPr>
            <w:tcW w:w="16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4,001</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5,468</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(1,467)</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60" w:type="dxa"/>
            <w:vAlign w:val="bottom"/>
            <w:tcBorders>
              <w:top w:val="single" w:sz="8" w:color="CCEEFF"/>
            </w:tcBorders>
          </w:tcPr>
          <w:p>
            <w:pPr>
              <w:spacing w:after="0"/>
              <w:rPr>
                <w:sz w:val="17"/>
                <w:szCs w:val="17"/>
                <w:color w:val="auto"/>
              </w:rPr>
            </w:pPr>
          </w:p>
        </w:tc>
        <w:tc>
          <w:tcPr>
            <w:tcW w:w="14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Contingent ceding commissions earned</w:t>
            </w:r>
          </w:p>
        </w:tc>
        <w:tc>
          <w:tcPr>
            <w:tcW w:w="1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Pr>
          <w:p>
            <w:pPr>
              <w:ind w:left="200"/>
              <w:spacing w:after="0"/>
              <w:rPr>
                <w:sz w:val="20"/>
                <w:szCs w:val="20"/>
                <w:color w:val="auto"/>
              </w:rPr>
            </w:pPr>
            <w:r>
              <w:rPr>
                <w:rFonts w:ascii="Arial" w:cs="Arial" w:eastAsia="Arial" w:hAnsi="Arial"/>
                <w:sz w:val="16"/>
                <w:szCs w:val="16"/>
                <w:color w:val="auto"/>
              </w:rPr>
              <w:t>Contingent ceding commissions earned excluding</w:t>
            </w:r>
          </w:p>
        </w:tc>
        <w:tc>
          <w:tcPr>
            <w:tcW w:w="1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the effect of catastrophes</w:t>
            </w:r>
          </w:p>
        </w:tc>
        <w:tc>
          <w:tcPr>
            <w:tcW w:w="1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(1,018)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(578)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(440)</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76.1%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Pr>
          <w:p>
            <w:pPr>
              <w:ind w:left="200"/>
              <w:spacing w:after="0"/>
              <w:rPr>
                <w:sz w:val="20"/>
                <w:szCs w:val="20"/>
                <w:color w:val="auto"/>
              </w:rPr>
            </w:pPr>
            <w:r>
              <w:rPr>
                <w:rFonts w:ascii="Arial" w:cs="Arial" w:eastAsia="Arial" w:hAnsi="Arial"/>
                <w:sz w:val="16"/>
                <w:szCs w:val="16"/>
                <w:color w:val="auto"/>
              </w:rPr>
              <w:t>Effect of catastrophes on ceding commissions earned</w:t>
            </w:r>
          </w:p>
        </w:tc>
        <w:tc>
          <w:tcPr>
            <w:tcW w:w="1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(459)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459</w:t>
            </w:r>
          </w:p>
        </w:tc>
        <w:tc>
          <w:tcPr>
            <w:tcW w:w="1220" w:type="dxa"/>
            <w:vAlign w:val="bottom"/>
            <w:gridSpan w:val="3"/>
          </w:tcPr>
          <w:p>
            <w:pPr>
              <w:jc w:val="right"/>
              <w:ind w:right="14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46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4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Contingent ceding commissions earned</w:t>
            </w:r>
          </w:p>
        </w:tc>
        <w:tc>
          <w:tcPr>
            <w:tcW w:w="1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19</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60" w:type="dxa"/>
            <w:vAlign w:val="bottom"/>
            <w:tcBorders>
              <w:top w:val="single" w:sz="8" w:color="CCEEFF"/>
            </w:tcBorders>
          </w:tcPr>
          <w:p>
            <w:pPr>
              <w:spacing w:after="0"/>
              <w:rPr>
                <w:sz w:val="17"/>
                <w:szCs w:val="17"/>
                <w:color w:val="auto"/>
              </w:rPr>
            </w:pPr>
          </w:p>
        </w:tc>
        <w:tc>
          <w:tcPr>
            <w:tcW w:w="14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ceding commission revenue</w:t>
            </w:r>
          </w:p>
        </w:tc>
        <w:tc>
          <w:tcPr>
            <w:tcW w:w="16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2,983</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4,431</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(1,448)</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547"/>
        </w:trPr>
        <w:tc>
          <w:tcPr>
            <w:tcW w:w="4660" w:type="dxa"/>
            <w:vAlign w:val="bottom"/>
            <w:tcBorders>
              <w:top w:val="single" w:sz="8" w:color="CCEEFF"/>
              <w:bottom w:val="single" w:sz="8" w:color="auto"/>
            </w:tcBorders>
          </w:tcPr>
          <w:p>
            <w:pPr>
              <w:spacing w:after="0"/>
              <w:rPr>
                <w:sz w:val="24"/>
                <w:szCs w:val="24"/>
                <w:color w:val="auto"/>
              </w:rPr>
            </w:pPr>
          </w:p>
        </w:tc>
        <w:tc>
          <w:tcPr>
            <w:tcW w:w="1400" w:type="dxa"/>
            <w:vAlign w:val="bottom"/>
            <w:tcBorders>
              <w:top w:val="single" w:sz="8" w:color="CCEEFF"/>
              <w:bottom w:val="single" w:sz="8" w:color="auto"/>
            </w:tcBorders>
          </w:tcPr>
          <w:p>
            <w:pPr>
              <w:jc w:val="right"/>
              <w:ind w:right="178"/>
              <w:spacing w:after="0"/>
              <w:rPr>
                <w:sz w:val="20"/>
                <w:szCs w:val="20"/>
                <w:color w:val="auto"/>
              </w:rPr>
            </w:pPr>
            <w:r>
              <w:rPr>
                <w:rFonts w:ascii="Arial" w:cs="Arial" w:eastAsia="Arial" w:hAnsi="Arial"/>
                <w:sz w:val="16"/>
                <w:szCs w:val="16"/>
                <w:color w:val="auto"/>
              </w:rPr>
              <w:t>41</w:t>
            </w:r>
          </w:p>
        </w:tc>
        <w:tc>
          <w:tcPr>
            <w:tcW w:w="4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108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85" w:right="239" w:bottom="1440" w:gutter="0" w:footer="0" w:header="0"/>
        </w:sectPr>
      </w:pPr>
    </w:p>
    <w:bookmarkStart w:id="43" w:name="page44"/>
    <w:bookmarkEnd w:id="43"/>
    <w:p>
      <w:pPr>
        <w:jc w:val="both"/>
        <w:ind w:firstLine="608"/>
        <w:spacing w:after="0" w:line="275" w:lineRule="auto"/>
        <w:rPr>
          <w:sz w:val="20"/>
          <w:szCs w:val="20"/>
          <w:color w:val="auto"/>
        </w:rPr>
      </w:pPr>
      <w:r>
        <w:rPr>
          <w:rFonts w:ascii="Arial" w:cs="Arial" w:eastAsia="Arial" w:hAnsi="Arial"/>
          <w:sz w:val="16"/>
          <w:szCs w:val="16"/>
          <w:color w:val="auto"/>
        </w:rPr>
        <w:t>Ceding commission revenue was $2,983,000 in Nine Months 2019 compared to $4,431,000 in Nine Months 2018. The decrease of $1,448,000, or 32.7%, was due to a decrease in provisional ceding commissions earned, partially offset by an increase in contingent ceding commissions earned. The reduction in provisional ceding commissions occurred due to the reduction in quota share reinsurance rates (see below for discussion of provisional ceding commissions earned and contingent ceding commissions earned).</w:t>
      </w:r>
    </w:p>
    <w:p>
      <w:pPr>
        <w:spacing w:after="0" w:line="107" w:lineRule="exact"/>
        <w:rPr>
          <w:sz w:val="20"/>
          <w:szCs w:val="20"/>
          <w:color w:val="auto"/>
        </w:rPr>
      </w:pPr>
    </w:p>
    <w:p>
      <w:pPr>
        <w:ind w:left="600"/>
        <w:spacing w:after="0"/>
        <w:rPr>
          <w:sz w:val="20"/>
          <w:szCs w:val="20"/>
          <w:color w:val="auto"/>
        </w:rPr>
      </w:pPr>
      <w:r>
        <w:rPr>
          <w:rFonts w:ascii="Arial" w:cs="Arial" w:eastAsia="Arial" w:hAnsi="Arial"/>
          <w:sz w:val="16"/>
          <w:szCs w:val="16"/>
          <w:i w:val="1"/>
          <w:iCs w:val="1"/>
          <w:color w:val="auto"/>
        </w:rPr>
        <w:t>Provisional Ceding Commissions Earned</w:t>
      </w:r>
    </w:p>
    <w:p>
      <w:pPr>
        <w:spacing w:after="0" w:line="158"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We receive a provisional ceding commission based on ceded written premiums. The $1,467,000 decrease in provisional ceding commissions earned is primarily</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due to: (1) the decrease in the quota share ceding rate effective July 1, 2018 to 10%, from the 20% rate in effect from July 1, 2017 through June 30, 2018, and (2) the</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elimination of the 10% quota share effective July 1, 2019. There was a reduction in ceded premiums in Nine Months 2019 available from which to earn ceding commissions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compared to Nine Months 2018. The decrease was partially offset by an increase in personal lines direct written premiums subject to the quota share.</w:t>
      </w:r>
    </w:p>
    <w:p>
      <w:pPr>
        <w:spacing w:after="0" w:line="152" w:lineRule="exact"/>
        <w:rPr>
          <w:sz w:val="20"/>
          <w:szCs w:val="20"/>
          <w:color w:val="auto"/>
        </w:rPr>
      </w:pPr>
    </w:p>
    <w:p>
      <w:pPr>
        <w:ind w:left="600"/>
        <w:spacing w:after="0"/>
        <w:rPr>
          <w:sz w:val="20"/>
          <w:szCs w:val="20"/>
          <w:color w:val="auto"/>
        </w:rPr>
      </w:pPr>
      <w:r>
        <w:rPr>
          <w:rFonts w:ascii="Arial" w:cs="Arial" w:eastAsia="Arial" w:hAnsi="Arial"/>
          <w:sz w:val="16"/>
          <w:szCs w:val="16"/>
          <w:i w:val="1"/>
          <w:iCs w:val="1"/>
          <w:color w:val="auto"/>
        </w:rPr>
        <w:t>Contingent Ceding Commissions Earned</w:t>
      </w:r>
    </w:p>
    <w:p>
      <w:pPr>
        <w:spacing w:after="0" w:line="158" w:lineRule="exact"/>
        <w:rPr>
          <w:sz w:val="20"/>
          <w:szCs w:val="20"/>
          <w:color w:val="auto"/>
        </w:rPr>
      </w:pPr>
    </w:p>
    <w:p>
      <w:pPr>
        <w:jc w:val="both"/>
        <w:ind w:firstLine="608"/>
        <w:spacing w:after="0" w:line="298" w:lineRule="auto"/>
        <w:rPr>
          <w:sz w:val="20"/>
          <w:szCs w:val="20"/>
          <w:color w:val="auto"/>
        </w:rPr>
      </w:pPr>
      <w:r>
        <w:rPr>
          <w:rFonts w:ascii="Arial" w:cs="Arial" w:eastAsia="Arial" w:hAnsi="Arial"/>
          <w:sz w:val="15"/>
          <w:szCs w:val="15"/>
          <w:color w:val="auto"/>
        </w:rPr>
        <w:t>We receive a contingent ceding commission based on a sliding scale in relation to the losses incurred under our quota share treaties. The lower the ceded loss ratio, the more contingent commission we receive. The amount of contingent ceding commissions we are eligible to receive under the 2017/2019 Treaty is subject to change based on losses incurred from claims with accident dates beginning July 1, 2017. The amount of contingent ceding commissions we are eligible to receive under our prior years’ quota share treaties is subject to change based on losses incurred related to claims with accident dates before July 1, 2017.</w:t>
      </w:r>
    </w:p>
    <w:p>
      <w:pPr>
        <w:spacing w:after="0" w:line="93" w:lineRule="exact"/>
        <w:rPr>
          <w:sz w:val="20"/>
          <w:szCs w:val="20"/>
          <w:color w:val="auto"/>
        </w:rPr>
      </w:pPr>
    </w:p>
    <w:p>
      <w:pPr>
        <w:jc w:val="both"/>
        <w:ind w:firstLine="608"/>
        <w:spacing w:after="0" w:line="287" w:lineRule="auto"/>
        <w:rPr>
          <w:sz w:val="20"/>
          <w:szCs w:val="20"/>
          <w:color w:val="auto"/>
        </w:rPr>
      </w:pPr>
      <w:r>
        <w:rPr>
          <w:rFonts w:ascii="Arial" w:cs="Arial" w:eastAsia="Arial" w:hAnsi="Arial"/>
          <w:sz w:val="15"/>
          <w:szCs w:val="15"/>
          <w:color w:val="auto"/>
        </w:rPr>
        <w:t>The 2017/2019 Treaty structure limits the amount of contingent ceding commissions that we can receive by setting a higher provisional commission rate than the rates received in prior years. As a result of the higher upfront provisional ceding commissions that we received under the 2017/2019 Treaty, there is not an opportunity to earn additional contingent ceding commissions under this treaty. Under the 2017/2019 Treaty “net” treaty structure, catastrophe losses in excess of the $5,000,000 retention will fall outside of the quota share treaty and such losses will not have an impact on contingent ceding commissions. In Nine Months 2018, catastrophe losses of $1,497,000 were ceded under our personal lines quota share treaty. These catastrophe losses resulted in the Loss Ratios for the period July 1, 2017 through June 30, 2018 (attributable to the 2017/2019 Treaty) being higher than the contractual Loss Ratio at which provisional ceding commissions were being earned. As a result, we incurred a reduction to the contingent ceding commissions of $459,000 relative to what would have been earned had the catastrophe losses not occurred. Effective July 1, 2018, the provisional ceding commission rate was a fixed rate with no downward adjustment required related to Loss Ratio; accordingly, in Nine Months 2019, catastrophe losses of $808,000 that were ceded under our personal lines quota share treaty did not have an effect on contingent ceding commissions. See “Reinsurance” below for information as to our personal lines quota share treaty effective July 1, 2019, 2018 and 2017.</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Net Investment Income</w:t>
      </w:r>
    </w:p>
    <w:p>
      <w:pPr>
        <w:spacing w:after="0" w:line="158" w:lineRule="exact"/>
        <w:rPr>
          <w:sz w:val="20"/>
          <w:szCs w:val="20"/>
          <w:color w:val="auto"/>
        </w:rPr>
      </w:pPr>
    </w:p>
    <w:p>
      <w:pPr>
        <w:jc w:val="both"/>
        <w:ind w:firstLine="608"/>
        <w:spacing w:after="0" w:line="280" w:lineRule="auto"/>
        <w:rPr>
          <w:sz w:val="20"/>
          <w:szCs w:val="20"/>
          <w:color w:val="auto"/>
        </w:rPr>
      </w:pPr>
      <w:r>
        <w:rPr>
          <w:rFonts w:ascii="Arial" w:cs="Arial" w:eastAsia="Arial" w:hAnsi="Arial"/>
          <w:sz w:val="16"/>
          <w:szCs w:val="16"/>
          <w:color w:val="auto"/>
        </w:rPr>
        <w:t>Net investment income was $5,200,000 in Nine Months 2019 compared to $4,543,000 in Nine Months 2018. The increase of $657,000, or 14.5%, was due to an increase in average invested assets in Nine Months 2019. The average yield on invested assets was 3.62% as of September 30, 2019 compared to 3.37% as of September 30, 2018. The pre-tax equivalent yield on invested assets was 3.45% and 3.44% as of September 30, 2019 and 2018, respectively.</w:t>
      </w:r>
    </w:p>
    <w:p>
      <w:pPr>
        <w:spacing w:after="0" w:line="103" w:lineRule="exact"/>
        <w:rPr>
          <w:sz w:val="20"/>
          <w:szCs w:val="20"/>
          <w:color w:val="auto"/>
        </w:rPr>
      </w:pPr>
    </w:p>
    <w:p>
      <w:pPr>
        <w:jc w:val="both"/>
        <w:ind w:firstLine="608"/>
        <w:spacing w:after="0" w:line="296" w:lineRule="auto"/>
        <w:rPr>
          <w:sz w:val="20"/>
          <w:szCs w:val="20"/>
          <w:color w:val="auto"/>
        </w:rPr>
      </w:pPr>
      <w:r>
        <w:rPr>
          <w:rFonts w:ascii="Arial" w:cs="Arial" w:eastAsia="Arial" w:hAnsi="Arial"/>
          <w:sz w:val="16"/>
          <w:szCs w:val="16"/>
          <w:color w:val="auto"/>
        </w:rPr>
        <w:t>Cash and invested assets were $221,610,000 as of September 30, 2019 compared to $196,595,000 as of September 30, 2018. The $25,015,000 increase in cash and invested assets resulted primarily from increased operating cash flows for the period after September 30, 2018.</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Net Gains and Losses on Investments</w:t>
      </w:r>
    </w:p>
    <w:p>
      <w:pPr>
        <w:spacing w:after="0" w:line="158" w:lineRule="exact"/>
        <w:rPr>
          <w:sz w:val="20"/>
          <w:szCs w:val="20"/>
          <w:color w:val="auto"/>
        </w:rPr>
      </w:pPr>
    </w:p>
    <w:p>
      <w:pPr>
        <w:jc w:val="both"/>
        <w:ind w:firstLine="608"/>
        <w:spacing w:after="0" w:line="280" w:lineRule="auto"/>
        <w:rPr>
          <w:sz w:val="20"/>
          <w:szCs w:val="20"/>
          <w:color w:val="auto"/>
        </w:rPr>
      </w:pPr>
      <w:r>
        <w:rPr>
          <w:rFonts w:ascii="Arial" w:cs="Arial" w:eastAsia="Arial" w:hAnsi="Arial"/>
          <w:sz w:val="16"/>
          <w:szCs w:val="16"/>
          <w:color w:val="auto"/>
        </w:rPr>
        <w:t>Net gains on investments were $3,712,000 in Nine Months 2019 compared to a net loss of $278,000 in Nine Months 2018. Unrealized gains on our equity securities and other investments in Nine Months 2019 were $3,767,000, compared to an unrealized gain of $99,000 in Nine Months 2018. Realized losses on sales of investments were $55,000 and $377,000 in Nine Months 2019 and Nine Months 2018, respectively.</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44" w:name="page45"/>
    <w:bookmarkEnd w:id="44"/>
    <w:p>
      <w:pPr>
        <w:spacing w:after="0"/>
        <w:rPr>
          <w:sz w:val="20"/>
          <w:szCs w:val="20"/>
          <w:color w:val="auto"/>
        </w:rPr>
      </w:pPr>
      <w:r>
        <w:rPr>
          <w:rFonts w:ascii="Arial" w:cs="Arial" w:eastAsia="Arial" w:hAnsi="Arial"/>
          <w:sz w:val="16"/>
          <w:szCs w:val="16"/>
          <w:u w:val="single" w:color="auto"/>
          <w:color w:val="auto"/>
        </w:rPr>
        <w:t>Other Income</w:t>
      </w:r>
    </w:p>
    <w:p>
      <w:pPr>
        <w:spacing w:after="0" w:line="158" w:lineRule="exact"/>
        <w:rPr>
          <w:sz w:val="20"/>
          <w:szCs w:val="20"/>
          <w:color w:val="auto"/>
        </w:rPr>
      </w:pPr>
    </w:p>
    <w:p>
      <w:pPr>
        <w:jc w:val="both"/>
        <w:ind w:firstLine="608"/>
        <w:spacing w:after="0" w:line="296" w:lineRule="auto"/>
        <w:rPr>
          <w:sz w:val="20"/>
          <w:szCs w:val="20"/>
          <w:color w:val="auto"/>
        </w:rPr>
      </w:pPr>
      <w:r>
        <w:rPr>
          <w:rFonts w:ascii="Arial" w:cs="Arial" w:eastAsia="Arial" w:hAnsi="Arial"/>
          <w:sz w:val="16"/>
          <w:szCs w:val="16"/>
          <w:color w:val="auto"/>
        </w:rPr>
        <w:t>Other income was $1,192,000 in Nine Months 2019 compared to $962,000 in Nine Months 2018. The increase of $230,000, or 23.9%, was primarily due to commission revenue from Cosi and an increase in installment and other fees earned in our insurance underwriting business in Nine Months 2019.</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Net Loss and LAE</w:t>
      </w:r>
    </w:p>
    <w:p>
      <w:pPr>
        <w:spacing w:after="0" w:line="158" w:lineRule="exact"/>
        <w:rPr>
          <w:sz w:val="20"/>
          <w:szCs w:val="20"/>
          <w:color w:val="auto"/>
        </w:rPr>
      </w:pPr>
    </w:p>
    <w:p>
      <w:pPr>
        <w:jc w:val="both"/>
        <w:ind w:firstLine="608"/>
        <w:spacing w:after="0" w:line="296" w:lineRule="auto"/>
        <w:rPr>
          <w:sz w:val="20"/>
          <w:szCs w:val="20"/>
          <w:color w:val="auto"/>
        </w:rPr>
      </w:pPr>
      <w:r>
        <w:rPr>
          <w:rFonts w:ascii="Arial" w:cs="Arial" w:eastAsia="Arial" w:hAnsi="Arial"/>
          <w:sz w:val="16"/>
          <w:szCs w:val="16"/>
          <w:color w:val="auto"/>
        </w:rPr>
        <w:t>Net loss and LAE was $71,588,000 in Nine Months 2019 compared to $41,739,000 in Nine Months 2018. The net loss ratio was 75.3% in Nine Months 2019 compared to 56.0% in Nine Months 2018, an increase of 19.3 percentage points.</w:t>
      </w:r>
    </w:p>
    <w:p>
      <w:pPr>
        <w:spacing w:after="0" w:line="154" w:lineRule="exact"/>
        <w:rPr>
          <w:sz w:val="20"/>
          <w:szCs w:val="20"/>
          <w:color w:val="auto"/>
        </w:rPr>
      </w:pPr>
    </w:p>
    <w:p>
      <w:pPr>
        <w:jc w:val="both"/>
        <w:ind w:firstLine="608"/>
        <w:spacing w:after="0" w:line="296" w:lineRule="auto"/>
        <w:rPr>
          <w:sz w:val="20"/>
          <w:szCs w:val="20"/>
          <w:color w:val="auto"/>
        </w:rPr>
      </w:pPr>
      <w:r>
        <w:rPr>
          <w:rFonts w:ascii="Arial" w:cs="Arial" w:eastAsia="Arial" w:hAnsi="Arial"/>
          <w:sz w:val="16"/>
          <w:szCs w:val="16"/>
          <w:color w:val="auto"/>
        </w:rPr>
        <w:t>The following graph summarizes the changes in the components of net loss ratio for the periods indicated, along with the comparable components excluding commercial lines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1183005</wp:posOffset>
            </wp:positionH>
            <wp:positionV relativeFrom="paragraph">
              <wp:posOffset>103505</wp:posOffset>
            </wp:positionV>
            <wp:extent cx="4898390" cy="36112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898390" cy="3611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left="600"/>
        <w:spacing w:after="0"/>
        <w:rPr>
          <w:sz w:val="20"/>
          <w:szCs w:val="20"/>
          <w:color w:val="auto"/>
        </w:rPr>
      </w:pPr>
      <w:r>
        <w:rPr>
          <w:rFonts w:ascii="Arial" w:cs="Arial" w:eastAsia="Arial" w:hAnsi="Arial"/>
          <w:sz w:val="16"/>
          <w:szCs w:val="16"/>
          <w:i w:val="1"/>
          <w:iCs w:val="1"/>
          <w:color w:val="auto"/>
        </w:rPr>
        <w:t>(Percent components may not sum to totals due to rounding)</w:t>
      </w:r>
    </w:p>
    <w:p>
      <w:pPr>
        <w:spacing w:after="0" w:line="221" w:lineRule="exact"/>
        <w:rPr>
          <w:sz w:val="20"/>
          <w:szCs w:val="20"/>
          <w:color w:val="auto"/>
        </w:rPr>
      </w:pPr>
    </w:p>
    <w:p>
      <w:pPr>
        <w:jc w:val="both"/>
        <w:ind w:firstLine="608"/>
        <w:spacing w:after="0" w:line="268" w:lineRule="auto"/>
        <w:rPr>
          <w:sz w:val="20"/>
          <w:szCs w:val="20"/>
          <w:color w:val="auto"/>
        </w:rPr>
      </w:pPr>
      <w:r>
        <w:rPr>
          <w:rFonts w:ascii="Arial" w:cs="Arial" w:eastAsia="Arial" w:hAnsi="Arial"/>
          <w:sz w:val="16"/>
          <w:szCs w:val="16"/>
          <w:color w:val="auto"/>
        </w:rPr>
        <w:t>During Nine Months 2019, the loss ratio was 75.3%, a 19.3 point increase compared to Nine Months 2018. The loss ratio for Nine Months 2019 is elevated primarily due to prior year loss development of $11.1 million, which has an 11.7 point effect on the loss ratio. This compares to 0.2 points of prior year loss development in Nine Months 2018, or an increase of 11.5 points from the impact of prior year loss development. Unfavorable claim resolution trends led to a complete review of open liability case reserves. The review determined that case reserve strengthening was required, of which, $8.8 million of these case reserve adjustments were from commercial lines liability claims. These case reserve adjustments demonstrated the high volatility of our commercial lines business and contributed to our decision to no longer underwrite these risks. This prior year loss development significantly increased the ultimate loss ratio projections for the commercial lines business in accident years 2014 and forward. Excluding commercial lines, prior year development for Nine Months 2019 had a 2.7 point impact on our loss ratio, compared to a 0.7 point impact of prior year loss development for Nine Months 2018.</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45" w:name="page46"/>
    <w:bookmarkEnd w:id="45"/>
    <w:p>
      <w:pPr>
        <w:jc w:val="both"/>
        <w:ind w:firstLine="608"/>
        <w:spacing w:after="0" w:line="272" w:lineRule="auto"/>
        <w:rPr>
          <w:sz w:val="20"/>
          <w:szCs w:val="20"/>
          <w:color w:val="auto"/>
        </w:rPr>
      </w:pPr>
      <w:r>
        <w:rPr>
          <w:rFonts w:ascii="Arial" w:cs="Arial" w:eastAsia="Arial" w:hAnsi="Arial"/>
          <w:sz w:val="16"/>
          <w:szCs w:val="16"/>
          <w:color w:val="auto"/>
        </w:rPr>
        <w:t>The impact of catastrophes, although lower than through Nine Months 2018, is significant and above average in both nine month periods. Through Nine Months 2019, catastrophe losses have a 7.3 point impact on the loss ratio, compared to an 8.2 point impact for Nine Months 2018, or a reduction in the impact of catastrophes of 0.9 points. The average catastrophe impact for the five years ending 2018 has been 3.8 points, so both Nine Months 2018 and Nine Months 2019 have a significantly higher catastrophe impact than normal. Although there have been seven PCS catastrophe events affecting Kingstone in Nine Months 2019, 64% of net losses or 4.6 points of the impact relates to the first winter freeze event in Mid-January.</w:t>
      </w:r>
    </w:p>
    <w:p>
      <w:pPr>
        <w:spacing w:after="0" w:line="173" w:lineRule="exact"/>
        <w:rPr>
          <w:sz w:val="20"/>
          <w:szCs w:val="20"/>
          <w:color w:val="auto"/>
        </w:rPr>
      </w:pPr>
    </w:p>
    <w:p>
      <w:pPr>
        <w:jc w:val="both"/>
        <w:ind w:firstLine="608"/>
        <w:spacing w:after="0" w:line="269" w:lineRule="auto"/>
        <w:rPr>
          <w:sz w:val="20"/>
          <w:szCs w:val="20"/>
          <w:color w:val="auto"/>
        </w:rPr>
      </w:pPr>
      <w:r>
        <w:rPr>
          <w:rFonts w:ascii="Arial" w:cs="Arial" w:eastAsia="Arial" w:hAnsi="Arial"/>
          <w:sz w:val="16"/>
          <w:szCs w:val="16"/>
          <w:color w:val="auto"/>
        </w:rPr>
        <w:t>The underlying loss ratio excluding the impact of catastrophes and prior year loss development was 56.3% for Nine Months 2019, an increase of 8.6 points from the 47.7% underlying loss ratio recorded for Nine Months 2018. The underlying loss ratio increased compared to Nine Months 2018 due to continued increases in average claim severity for non-weather water damage property claims as well as increased large fire claim activity. In addition, the underlying loss ratio for Nine Months 2019 is affected by increased loss ratio expectations for commercial lines as a result of increases in prior year loss ratio estimates for that business as noted above. Excluding commercial lines, the underlying loss ratio excluding the impact of catastrophes and prior year development for Nine Months 2019 was 52.5%, an increase of 6.34 points from the 46.1% underlying loss ratio recorded for Nine Months 2018. See table below under “Additional Financial Information” summarizing net loss ratios by line of business.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Commission Expense</w:t>
      </w:r>
    </w:p>
    <w:p>
      <w:pPr>
        <w:spacing w:after="0" w:line="221" w:lineRule="exact"/>
        <w:rPr>
          <w:sz w:val="20"/>
          <w:szCs w:val="20"/>
          <w:color w:val="auto"/>
        </w:rPr>
      </w:pPr>
    </w:p>
    <w:p>
      <w:pPr>
        <w:jc w:val="both"/>
        <w:ind w:firstLine="608"/>
        <w:spacing w:after="0" w:line="280" w:lineRule="auto"/>
        <w:rPr>
          <w:sz w:val="20"/>
          <w:szCs w:val="20"/>
          <w:color w:val="auto"/>
        </w:rPr>
      </w:pPr>
      <w:r>
        <w:rPr>
          <w:rFonts w:ascii="Arial" w:cs="Arial" w:eastAsia="Arial" w:hAnsi="Arial"/>
          <w:sz w:val="16"/>
          <w:szCs w:val="16"/>
          <w:color w:val="auto"/>
        </w:rPr>
        <w:t>Commission expense was $21,932,000 in Nine Months 2019 or 18.7% of direct earned premiums. Commission expense was $18,411,000 in Nine Months 2018 or 18.9% of direct earned premiums. The increase of $3,521,000 is primarily due to the increase in direct earned premiums for Nine Months 2019 as compared to Nine Months 2018.</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Other Underwriting Expenses</w:t>
      </w:r>
    </w:p>
    <w:p>
      <w:pPr>
        <w:spacing w:after="0" w:line="158" w:lineRule="exact"/>
        <w:rPr>
          <w:sz w:val="20"/>
          <w:szCs w:val="20"/>
          <w:color w:val="auto"/>
        </w:rPr>
      </w:pPr>
    </w:p>
    <w:p>
      <w:pPr>
        <w:jc w:val="both"/>
        <w:ind w:firstLine="608"/>
        <w:spacing w:after="0" w:line="298" w:lineRule="auto"/>
        <w:rPr>
          <w:sz w:val="20"/>
          <w:szCs w:val="20"/>
          <w:color w:val="auto"/>
        </w:rPr>
      </w:pPr>
      <w:r>
        <w:rPr>
          <w:rFonts w:ascii="Arial" w:cs="Arial" w:eastAsia="Arial" w:hAnsi="Arial"/>
          <w:sz w:val="15"/>
          <w:szCs w:val="15"/>
          <w:color w:val="auto"/>
        </w:rPr>
        <w:t>Other underwriting expenses were $17,983,000 in Nine Months 2019 compared to $15,301,000 in Nine Months 2018. The increase of $2,682,000, or 17.5%, was primarily due to expenses related to growth in direct written premiums. Expenses directly related to the increase in direct written premiums primarily consist of underwriting expenses, software usage fees, and state premium taxes. Expenses indirectly related to the increase in direct written premiums primarily consist of salaries along with related other employment costs. The other underwriting expense increase of 17.5 points was less than the 19.7 point increase in total direct written premiums.</w:t>
      </w:r>
    </w:p>
    <w:p>
      <w:pPr>
        <w:spacing w:after="0" w:line="93" w:lineRule="exact"/>
        <w:rPr>
          <w:sz w:val="20"/>
          <w:szCs w:val="20"/>
          <w:color w:val="auto"/>
        </w:rPr>
      </w:pPr>
    </w:p>
    <w:p>
      <w:pPr>
        <w:jc w:val="both"/>
        <w:ind w:firstLine="608"/>
        <w:spacing w:after="0" w:line="307" w:lineRule="auto"/>
        <w:rPr>
          <w:sz w:val="20"/>
          <w:szCs w:val="20"/>
          <w:color w:val="auto"/>
        </w:rPr>
      </w:pPr>
      <w:r>
        <w:rPr>
          <w:rFonts w:ascii="Arial" w:cs="Arial" w:eastAsia="Arial" w:hAnsi="Arial"/>
          <w:sz w:val="15"/>
          <w:szCs w:val="15"/>
          <w:color w:val="auto"/>
        </w:rPr>
        <w:t>Our largest single component of other underwriting expenses is salaries and employment costs, with costs of $7,637,000 in Nine Months 2019 compared to $6,862,000 in Nine Months 2018. The increase of $775,000, or 11.3%, was less than the 19.7% increase in total direct written premiums. The increase in employment costs was due to hiring of additional staff to service our current level of business and anticipated growth in volume, as well as annual increases in salaries.</w:t>
      </w:r>
    </w:p>
    <w:p>
      <w:pPr>
        <w:spacing w:after="0" w:line="85" w:lineRule="exact"/>
        <w:rPr>
          <w:sz w:val="20"/>
          <w:szCs w:val="20"/>
          <w:color w:val="auto"/>
        </w:rPr>
      </w:pPr>
    </w:p>
    <w:p>
      <w:pPr>
        <w:jc w:val="both"/>
        <w:ind w:firstLine="608"/>
        <w:spacing w:after="0" w:line="296" w:lineRule="auto"/>
        <w:rPr>
          <w:sz w:val="20"/>
          <w:szCs w:val="20"/>
          <w:color w:val="auto"/>
        </w:rPr>
      </w:pPr>
      <w:r>
        <w:rPr>
          <w:rFonts w:ascii="Arial" w:cs="Arial" w:eastAsia="Arial" w:hAnsi="Arial"/>
          <w:sz w:val="16"/>
          <w:szCs w:val="16"/>
          <w:color w:val="auto"/>
        </w:rPr>
        <w:t>Our net underwriting expense ratio in Nine Months 2019 was 37.8% compared to 38.1% in Nine Months 2018. The following table shows the individual components of our net underwriting expense ratio for the periods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Nine months ended</w:t>
            </w: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746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233"/>
        </w:trPr>
        <w:tc>
          <w:tcPr>
            <w:tcW w:w="746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Point Change</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5"/>
        </w:trPr>
        <w:tc>
          <w:tcPr>
            <w:tcW w:w="8220" w:type="dxa"/>
            <w:vAlign w:val="bottom"/>
            <w:gridSpan w:val="2"/>
          </w:tcPr>
          <w:p>
            <w:pPr>
              <w:spacing w:after="0"/>
              <w:rPr>
                <w:sz w:val="20"/>
                <w:szCs w:val="20"/>
                <w:color w:val="auto"/>
              </w:rPr>
            </w:pPr>
            <w:r>
              <w:rPr>
                <w:rFonts w:ascii="Arial" w:cs="Arial" w:eastAsia="Arial" w:hAnsi="Arial"/>
                <w:sz w:val="16"/>
                <w:szCs w:val="16"/>
                <w:color w:val="auto"/>
              </w:rPr>
              <w:t>Other underwriting expenses</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82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Employment costs</w:t>
            </w:r>
          </w:p>
        </w:tc>
        <w:tc>
          <w:tcPr>
            <w:tcW w:w="6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8.0%</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9.2%</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3"/>
        </w:trPr>
        <w:tc>
          <w:tcPr>
            <w:tcW w:w="8220" w:type="dxa"/>
            <w:vAlign w:val="bottom"/>
            <w:gridSpan w:val="2"/>
          </w:tcPr>
          <w:p>
            <w:pPr>
              <w:ind w:left="300"/>
              <w:spacing w:after="0"/>
              <w:rPr>
                <w:sz w:val="20"/>
                <w:szCs w:val="20"/>
                <w:color w:val="auto"/>
              </w:rPr>
            </w:pPr>
            <w:r>
              <w:rPr>
                <w:rFonts w:ascii="Arial" w:cs="Arial" w:eastAsia="Arial" w:hAnsi="Arial"/>
                <w:sz w:val="16"/>
                <w:szCs w:val="16"/>
                <w:color w:val="auto"/>
              </w:rPr>
              <w:t>Underwriting fees (inspections/data services)</w:t>
            </w:r>
          </w:p>
        </w:tc>
        <w:tc>
          <w:tcPr>
            <w:tcW w:w="600" w:type="dxa"/>
            <w:vAlign w:val="bottom"/>
            <w:gridSpan w:val="2"/>
          </w:tcPr>
          <w:p>
            <w:pPr>
              <w:jc w:val="right"/>
              <w:ind w:right="260"/>
              <w:spacing w:after="0"/>
              <w:rPr>
                <w:sz w:val="20"/>
                <w:szCs w:val="20"/>
                <w:color w:val="auto"/>
              </w:rPr>
            </w:pPr>
            <w:r>
              <w:rPr>
                <w:rFonts w:ascii="Arial" w:cs="Arial" w:eastAsia="Arial" w:hAnsi="Arial"/>
                <w:sz w:val="16"/>
                <w:szCs w:val="16"/>
                <w:color w:val="auto"/>
              </w:rPr>
              <w:t>2.4</w:t>
            </w:r>
          </w:p>
        </w:tc>
        <w:tc>
          <w:tcPr>
            <w:tcW w:w="1380" w:type="dxa"/>
            <w:vAlign w:val="bottom"/>
            <w:gridSpan w:val="2"/>
          </w:tcPr>
          <w:p>
            <w:pPr>
              <w:jc w:val="right"/>
              <w:ind w:right="280"/>
              <w:spacing w:after="0"/>
              <w:rPr>
                <w:sz w:val="20"/>
                <w:szCs w:val="20"/>
                <w:color w:val="auto"/>
              </w:rPr>
            </w:pPr>
            <w:r>
              <w:rPr>
                <w:rFonts w:ascii="Arial" w:cs="Arial" w:eastAsia="Arial" w:hAnsi="Arial"/>
                <w:sz w:val="16"/>
                <w:szCs w:val="16"/>
                <w:color w:val="auto"/>
              </w:rPr>
              <w:t>2.4</w:t>
            </w: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4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 expenses</w:t>
            </w: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260" w:type="dxa"/>
            <w:vAlign w:val="bottom"/>
            <w:tcBorders>
              <w:right w:val="single" w:sz="8" w:color="CCEEFF"/>
            </w:tcBorders>
            <w:shd w:val="clear" w:color="auto" w:fill="CCEEFF"/>
          </w:tcPr>
          <w:p>
            <w:pPr>
              <w:spacing w:after="0"/>
              <w:rPr>
                <w:sz w:val="17"/>
                <w:szCs w:val="17"/>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9.0</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5"/>
        </w:trPr>
        <w:tc>
          <w:tcPr>
            <w:tcW w:w="746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7460" w:type="dxa"/>
            <w:vAlign w:val="bottom"/>
          </w:tcPr>
          <w:p>
            <w:pPr>
              <w:ind w:left="160"/>
              <w:spacing w:after="0"/>
              <w:rPr>
                <w:sz w:val="20"/>
                <w:szCs w:val="20"/>
                <w:color w:val="auto"/>
              </w:rPr>
            </w:pPr>
            <w:r>
              <w:rPr>
                <w:rFonts w:ascii="Arial" w:cs="Arial" w:eastAsia="Arial" w:hAnsi="Arial"/>
                <w:sz w:val="16"/>
                <w:szCs w:val="16"/>
                <w:color w:val="auto"/>
              </w:rPr>
              <w:t>Total other underwriting expenses</w:t>
            </w:r>
          </w:p>
        </w:tc>
        <w:tc>
          <w:tcPr>
            <w:tcW w:w="7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18.8</w:t>
            </w: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6"/>
                <w:szCs w:val="16"/>
                <w:color w:val="auto"/>
              </w:rPr>
              <w:t>20.6</w:t>
            </w:r>
          </w:p>
        </w:tc>
        <w:tc>
          <w:tcPr>
            <w:tcW w:w="1220" w:type="dxa"/>
            <w:vAlign w:val="bottom"/>
            <w:gridSpan w:val="2"/>
          </w:tcPr>
          <w:p>
            <w:pPr>
              <w:jc w:val="right"/>
              <w:ind w:right="8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3"/>
        </w:trPr>
        <w:tc>
          <w:tcPr>
            <w:tcW w:w="746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20" w:type="dxa"/>
            <w:vAlign w:val="bottom"/>
            <w:gridSpan w:val="2"/>
          </w:tcPr>
          <w:p>
            <w:pPr>
              <w:spacing w:after="0"/>
              <w:rPr>
                <w:sz w:val="20"/>
                <w:szCs w:val="20"/>
                <w:color w:val="auto"/>
              </w:rPr>
            </w:pPr>
            <w:r>
              <w:rPr>
                <w:rFonts w:ascii="Arial" w:cs="Arial" w:eastAsia="Arial" w:hAnsi="Arial"/>
                <w:sz w:val="16"/>
                <w:szCs w:val="16"/>
                <w:color w:val="auto"/>
              </w:rPr>
              <w:t>Ceding commission revenue</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Provisional</w:t>
            </w:r>
          </w:p>
        </w:tc>
        <w:tc>
          <w:tcPr>
            <w:tcW w:w="6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(4.2)</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(7.3)</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03"/>
        </w:trPr>
        <w:tc>
          <w:tcPr>
            <w:tcW w:w="7460" w:type="dxa"/>
            <w:vAlign w:val="bottom"/>
          </w:tcPr>
          <w:p>
            <w:pPr>
              <w:ind w:left="300"/>
              <w:spacing w:after="0"/>
              <w:rPr>
                <w:sz w:val="20"/>
                <w:szCs w:val="20"/>
                <w:color w:val="auto"/>
              </w:rPr>
            </w:pPr>
            <w:r>
              <w:rPr>
                <w:rFonts w:ascii="Arial" w:cs="Arial" w:eastAsia="Arial" w:hAnsi="Arial"/>
                <w:sz w:val="16"/>
                <w:szCs w:val="16"/>
                <w:color w:val="auto"/>
              </w:rPr>
              <w:t>Contingent</w:t>
            </w:r>
          </w:p>
        </w:tc>
        <w:tc>
          <w:tcPr>
            <w:tcW w:w="76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1.1</w:t>
            </w:r>
          </w:p>
        </w:tc>
        <w:tc>
          <w:tcPr>
            <w:tcW w:w="260" w:type="dxa"/>
            <w:vAlign w:val="bottom"/>
          </w:tcPr>
          <w:p>
            <w:pPr>
              <w:spacing w:after="0"/>
              <w:rPr>
                <w:sz w:val="17"/>
                <w:szCs w:val="17"/>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6"/>
                <w:szCs w:val="16"/>
                <w:color w:val="auto"/>
              </w:rPr>
              <w:t>1.4</w:t>
            </w:r>
          </w:p>
        </w:tc>
        <w:tc>
          <w:tcPr>
            <w:tcW w:w="1220" w:type="dxa"/>
            <w:vAlign w:val="bottom"/>
            <w:gridSpan w:val="2"/>
          </w:tcPr>
          <w:p>
            <w:pPr>
              <w:jc w:val="right"/>
              <w:ind w:right="8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5"/>
        </w:trPr>
        <w:tc>
          <w:tcPr>
            <w:tcW w:w="74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74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Total ceding commission revenue</w:t>
            </w:r>
          </w:p>
        </w:tc>
        <w:tc>
          <w:tcPr>
            <w:tcW w:w="76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(3.1)</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(5.9)</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3"/>
        </w:trPr>
        <w:tc>
          <w:tcPr>
            <w:tcW w:w="7460" w:type="dxa"/>
            <w:vAlign w:val="bottom"/>
            <w:tcBorders>
              <w:top w:val="single" w:sz="8" w:color="CCEEFF"/>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income</w:t>
            </w:r>
          </w:p>
        </w:tc>
        <w:tc>
          <w:tcPr>
            <w:tcW w:w="6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8"/>
        </w:trPr>
        <w:tc>
          <w:tcPr>
            <w:tcW w:w="8220" w:type="dxa"/>
            <w:vAlign w:val="bottom"/>
            <w:gridSpan w:val="2"/>
          </w:tcPr>
          <w:p>
            <w:pPr>
              <w:spacing w:after="0"/>
              <w:rPr>
                <w:sz w:val="20"/>
                <w:szCs w:val="20"/>
                <w:color w:val="auto"/>
              </w:rPr>
            </w:pPr>
            <w:r>
              <w:rPr>
                <w:rFonts w:ascii="Arial" w:cs="Arial" w:eastAsia="Arial" w:hAnsi="Arial"/>
                <w:sz w:val="16"/>
                <w:szCs w:val="16"/>
                <w:color w:val="auto"/>
              </w:rPr>
              <w:t>Commission expense</w:t>
            </w:r>
          </w:p>
        </w:tc>
        <w:tc>
          <w:tcPr>
            <w:tcW w:w="600" w:type="dxa"/>
            <w:vAlign w:val="bottom"/>
            <w:gridSpan w:val="2"/>
          </w:tcPr>
          <w:p>
            <w:pPr>
              <w:jc w:val="right"/>
              <w:ind w:right="260"/>
              <w:spacing w:after="0"/>
              <w:rPr>
                <w:sz w:val="20"/>
                <w:szCs w:val="20"/>
                <w:color w:val="auto"/>
              </w:rPr>
            </w:pPr>
            <w:r>
              <w:rPr>
                <w:rFonts w:ascii="Arial" w:cs="Arial" w:eastAsia="Arial" w:hAnsi="Arial"/>
                <w:sz w:val="16"/>
                <w:szCs w:val="16"/>
                <w:color w:val="auto"/>
              </w:rPr>
              <w:t>23.1</w:t>
            </w:r>
          </w:p>
        </w:tc>
        <w:tc>
          <w:tcPr>
            <w:tcW w:w="1380" w:type="dxa"/>
            <w:vAlign w:val="bottom"/>
            <w:gridSpan w:val="2"/>
          </w:tcPr>
          <w:p>
            <w:pPr>
              <w:jc w:val="right"/>
              <w:ind w:right="280"/>
              <w:spacing w:after="0"/>
              <w:rPr>
                <w:sz w:val="20"/>
                <w:szCs w:val="20"/>
                <w:color w:val="auto"/>
              </w:rPr>
            </w:pPr>
            <w:r>
              <w:rPr>
                <w:rFonts w:ascii="Arial" w:cs="Arial" w:eastAsia="Arial" w:hAnsi="Arial"/>
                <w:sz w:val="16"/>
                <w:szCs w:val="16"/>
                <w:color w:val="auto"/>
              </w:rPr>
              <w:t>24.7</w:t>
            </w:r>
          </w:p>
        </w:tc>
        <w:tc>
          <w:tcPr>
            <w:tcW w:w="1220" w:type="dxa"/>
            <w:vAlign w:val="bottom"/>
            <w:gridSpan w:val="2"/>
          </w:tcPr>
          <w:p>
            <w:pPr>
              <w:jc w:val="right"/>
              <w:ind w:right="8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3"/>
        </w:trPr>
        <w:tc>
          <w:tcPr>
            <w:tcW w:w="746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20" w:type="dxa"/>
            <w:vAlign w:val="bottom"/>
            <w:gridSpan w:val="2"/>
          </w:tcPr>
          <w:p>
            <w:pPr>
              <w:spacing w:after="0"/>
              <w:rPr>
                <w:sz w:val="20"/>
                <w:szCs w:val="20"/>
                <w:color w:val="auto"/>
              </w:rPr>
            </w:pPr>
            <w:r>
              <w:rPr>
                <w:rFonts w:ascii="Arial" w:cs="Arial" w:eastAsia="Arial" w:hAnsi="Arial"/>
                <w:sz w:val="16"/>
                <w:szCs w:val="16"/>
                <w:color w:val="auto"/>
              </w:rPr>
              <w:t>Net underwriting expense ratio</w:t>
            </w:r>
          </w:p>
        </w:tc>
        <w:tc>
          <w:tcPr>
            <w:tcW w:w="600" w:type="dxa"/>
            <w:vAlign w:val="bottom"/>
            <w:gridSpan w:val="2"/>
          </w:tcPr>
          <w:p>
            <w:pPr>
              <w:jc w:val="right"/>
              <w:ind w:right="120"/>
              <w:spacing w:after="0"/>
              <w:rPr>
                <w:sz w:val="20"/>
                <w:szCs w:val="20"/>
                <w:color w:val="auto"/>
              </w:rPr>
            </w:pPr>
            <w:r>
              <w:rPr>
                <w:rFonts w:ascii="Arial" w:cs="Arial" w:eastAsia="Arial" w:hAnsi="Arial"/>
                <w:sz w:val="16"/>
                <w:szCs w:val="16"/>
                <w:color w:val="auto"/>
              </w:rPr>
              <w:t>37.8%</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38.1%</w:t>
            </w:r>
          </w:p>
        </w:tc>
        <w:tc>
          <w:tcPr>
            <w:tcW w:w="1220" w:type="dxa"/>
            <w:vAlign w:val="bottom"/>
            <w:gridSpan w:val="2"/>
          </w:tcPr>
          <w:p>
            <w:pPr>
              <w:jc w:val="right"/>
              <w:ind w:right="8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
        </w:trPr>
        <w:tc>
          <w:tcPr>
            <w:tcW w:w="7460" w:type="dxa"/>
            <w:vAlign w:val="bottom"/>
            <w:vMerge w:val="restart"/>
          </w:tcPr>
          <w:p>
            <w:pPr>
              <w:ind w:left="5640"/>
              <w:spacing w:after="0"/>
              <w:rPr>
                <w:sz w:val="20"/>
                <w:szCs w:val="20"/>
                <w:color w:val="auto"/>
              </w:rPr>
            </w:pPr>
            <w:r>
              <w:rPr>
                <w:rFonts w:ascii="Arial" w:cs="Arial" w:eastAsia="Arial" w:hAnsi="Arial"/>
                <w:sz w:val="16"/>
                <w:szCs w:val="16"/>
                <w:color w:val="auto"/>
              </w:rPr>
              <w:t>44</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7460" w:type="dxa"/>
            <w:vAlign w:val="bottom"/>
            <w:tcBorders>
              <w:bottom w:val="single" w:sz="8" w:color="auto"/>
            </w:tcBorders>
            <w:vMerge w:val="continue"/>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85" w:right="239" w:bottom="1440" w:gutter="0" w:footer="0" w:header="0"/>
        </w:sectPr>
      </w:pPr>
    </w:p>
    <w:bookmarkStart w:id="46" w:name="page47"/>
    <w:bookmarkEnd w:id="46"/>
    <w:p>
      <w:pPr>
        <w:ind w:left="600"/>
        <w:spacing w:after="0"/>
        <w:rPr>
          <w:sz w:val="20"/>
          <w:szCs w:val="20"/>
          <w:color w:val="auto"/>
        </w:rPr>
      </w:pPr>
      <w:r>
        <w:rPr>
          <w:rFonts w:ascii="Arial" w:cs="Arial" w:eastAsia="Arial" w:hAnsi="Arial"/>
          <w:sz w:val="15"/>
          <w:szCs w:val="15"/>
          <w:color w:val="auto"/>
        </w:rPr>
        <w:t>The 1.8 percentage point decrease in our other underwriting expense ratio was driven by a decline of 1.2 percentage points from the impact of employment costs.</w:t>
      </w:r>
    </w:p>
    <w:p>
      <w:pPr>
        <w:spacing w:after="0" w:line="170" w:lineRule="exact"/>
        <w:rPr>
          <w:sz w:val="20"/>
          <w:szCs w:val="20"/>
          <w:color w:val="auto"/>
        </w:rPr>
      </w:pPr>
    </w:p>
    <w:p>
      <w:pPr>
        <w:jc w:val="both"/>
        <w:ind w:firstLine="608"/>
        <w:spacing w:after="0" w:line="275" w:lineRule="auto"/>
        <w:rPr>
          <w:sz w:val="20"/>
          <w:szCs w:val="20"/>
          <w:color w:val="auto"/>
        </w:rPr>
      </w:pPr>
      <w:r>
        <w:rPr>
          <w:rFonts w:ascii="Arial" w:cs="Arial" w:eastAsia="Arial" w:hAnsi="Arial"/>
          <w:sz w:val="16"/>
          <w:szCs w:val="16"/>
          <w:color w:val="auto"/>
        </w:rPr>
        <w:t>The overall 3.1 percentage point increase in provisional ceding commissions was driven entirely by the change in our quota share ceding rates and its impact on provisional ceding commission revenue due to the additional retention resulting from the cut-off to our quota share treaty on July 1, 2018 and run-off to our expired quota share treaty on July 1, 2019. The components of our net underwriting expense ratio related to other underwriting expenses, other income and commissions improved in nearly all categories, resulting in an overall 0.3 percentage point decrease in the net underwriting expense ratio.</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Other Operating Expenses</w:t>
      </w:r>
    </w:p>
    <w:p>
      <w:pPr>
        <w:spacing w:after="0" w:line="158" w:lineRule="exact"/>
        <w:rPr>
          <w:sz w:val="20"/>
          <w:szCs w:val="20"/>
          <w:color w:val="auto"/>
        </w:rPr>
      </w:pPr>
    </w:p>
    <w:p>
      <w:pPr>
        <w:jc w:val="both"/>
        <w:ind w:firstLine="608"/>
        <w:spacing w:after="0" w:line="269" w:lineRule="auto"/>
        <w:rPr>
          <w:sz w:val="20"/>
          <w:szCs w:val="20"/>
          <w:color w:val="auto"/>
        </w:rPr>
      </w:pPr>
      <w:r>
        <w:rPr>
          <w:rFonts w:ascii="Arial" w:cs="Arial" w:eastAsia="Arial" w:hAnsi="Arial"/>
          <w:sz w:val="16"/>
          <w:szCs w:val="16"/>
          <w:color w:val="auto"/>
        </w:rPr>
        <w:t>Other operating expenses, related to the expenses of our holding company and Cosi, were $2,774,000 for Nine Months 2019 compared to $1,774,000 for Nine Months 2018. The increase in Nine Months 2019 of $1,000,000, or 56.4%, as compared to Nine Months 2018 was primarily due to increases in equity compensation and salaries, partially offset by a decrease in executive bonuses. The increase in salary was due to the initial hiring of staff for Cosi and the increase in equity compensation was due to 2019 annual restricted stock awards to directors and executives. Executive bonus compensation is accrued pursuant to the employment agreement effective January 1, 2017 with Barry B. Goldstein, our Executive Chairman and current Chief Executive Officer. The bonus is a one-time payment computed at the end of the three-year period ended December 31, 2019, and as of September 30, 2019 the three-year computation did not meet the required terms of profitability, resulting in the reversal of $698,000 previously accrued.</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Depreciation and Amortization</w:t>
      </w:r>
    </w:p>
    <w:p>
      <w:pPr>
        <w:spacing w:after="0" w:line="158" w:lineRule="exact"/>
        <w:rPr>
          <w:sz w:val="20"/>
          <w:szCs w:val="20"/>
          <w:color w:val="auto"/>
        </w:rPr>
      </w:pPr>
    </w:p>
    <w:p>
      <w:pPr>
        <w:jc w:val="both"/>
        <w:ind w:firstLine="608"/>
        <w:spacing w:after="0" w:line="280" w:lineRule="auto"/>
        <w:rPr>
          <w:sz w:val="20"/>
          <w:szCs w:val="20"/>
          <w:color w:val="auto"/>
        </w:rPr>
      </w:pPr>
      <w:r>
        <w:rPr>
          <w:rFonts w:ascii="Arial" w:cs="Arial" w:eastAsia="Arial" w:hAnsi="Arial"/>
          <w:sz w:val="16"/>
          <w:szCs w:val="16"/>
          <w:color w:val="auto"/>
        </w:rPr>
        <w:t>Depreciation and amortization was $1,876,000 in Nine Months 2019 compared to $1,274,000 in Nine Months 2018. The increase of $602,000, or 47.3%, in depreciation and amortization was primarily due to depreciation of our new system platform for processing business being written in Expansion states and newly purchased assets used to upgrade our systems infrastructure and improvements to the Kingston, New York home office building from which we operate.</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Interest Expense</w:t>
      </w:r>
    </w:p>
    <w:p>
      <w:pPr>
        <w:spacing w:after="0" w:line="158" w:lineRule="exact"/>
        <w:rPr>
          <w:sz w:val="20"/>
          <w:szCs w:val="20"/>
          <w:color w:val="auto"/>
        </w:rPr>
      </w:pPr>
    </w:p>
    <w:p>
      <w:pPr>
        <w:jc w:val="both"/>
        <w:ind w:firstLine="608"/>
        <w:spacing w:after="0" w:line="296" w:lineRule="auto"/>
        <w:rPr>
          <w:sz w:val="20"/>
          <w:szCs w:val="20"/>
          <w:color w:val="auto"/>
        </w:rPr>
      </w:pPr>
      <w:r>
        <w:rPr>
          <w:rFonts w:ascii="Arial" w:cs="Arial" w:eastAsia="Arial" w:hAnsi="Arial"/>
          <w:sz w:val="16"/>
          <w:szCs w:val="16"/>
          <w:color w:val="auto"/>
        </w:rPr>
        <w:t>Interest expense for Nine Months 2019 was $1,370,000 compared to $1,365,000 in Nine Months 2018. We incurred interest expense in connection with our $30.0 million issuance of long-term debt in December 2017.</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Income Tax Benefit/Expense</w:t>
      </w:r>
    </w:p>
    <w:p>
      <w:pPr>
        <w:spacing w:after="0" w:line="158" w:lineRule="exact"/>
        <w:rPr>
          <w:sz w:val="20"/>
          <w:szCs w:val="20"/>
          <w:color w:val="auto"/>
        </w:rPr>
      </w:pPr>
    </w:p>
    <w:p>
      <w:pPr>
        <w:jc w:val="both"/>
        <w:ind w:firstLine="608"/>
        <w:spacing w:after="0" w:line="280" w:lineRule="auto"/>
        <w:rPr>
          <w:sz w:val="20"/>
          <w:szCs w:val="20"/>
          <w:color w:val="auto"/>
        </w:rPr>
      </w:pPr>
      <w:r>
        <w:rPr>
          <w:rFonts w:ascii="Arial" w:cs="Arial" w:eastAsia="Arial" w:hAnsi="Arial"/>
          <w:sz w:val="16"/>
          <w:szCs w:val="16"/>
          <w:color w:val="auto"/>
        </w:rPr>
        <w:t>Income tax benefit in Nine Months 2019 was $1,998,000, which resulted in an effective tax rate of 21.2%. Income tax expense in Nine Months 2018 was $296,000, which resulted in an effective tax rate of 6.9%. Loss before taxes was $9,419,000 in Nine Months 2019 compared to income before taxes of $4,269,000 in Nine Months 2018.</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47" w:name="page48"/>
    <w:bookmarkEnd w:id="47"/>
    <w:p>
      <w:pPr>
        <w:spacing w:after="0"/>
        <w:rPr>
          <w:sz w:val="20"/>
          <w:szCs w:val="20"/>
          <w:color w:val="auto"/>
        </w:rPr>
      </w:pPr>
      <w:r>
        <w:rPr>
          <w:rFonts w:ascii="Arial" w:cs="Arial" w:eastAsia="Arial" w:hAnsi="Arial"/>
          <w:sz w:val="16"/>
          <w:szCs w:val="16"/>
          <w:u w:val="single" w:color="auto"/>
          <w:color w:val="auto"/>
        </w:rPr>
        <w:t>Net Loss/Income</w:t>
      </w:r>
    </w:p>
    <w:p>
      <w:pPr>
        <w:spacing w:after="0" w:line="158" w:lineRule="exact"/>
        <w:rPr>
          <w:sz w:val="20"/>
          <w:szCs w:val="20"/>
          <w:color w:val="auto"/>
        </w:rPr>
      </w:pPr>
    </w:p>
    <w:p>
      <w:pPr>
        <w:jc w:val="both"/>
        <w:ind w:right="60" w:firstLine="608"/>
        <w:spacing w:after="0" w:line="307" w:lineRule="auto"/>
        <w:rPr>
          <w:sz w:val="20"/>
          <w:szCs w:val="20"/>
          <w:color w:val="auto"/>
        </w:rPr>
      </w:pPr>
      <w:r>
        <w:rPr>
          <w:rFonts w:ascii="Arial" w:cs="Arial" w:eastAsia="Arial" w:hAnsi="Arial"/>
          <w:sz w:val="15"/>
          <w:szCs w:val="15"/>
          <w:color w:val="auto"/>
        </w:rPr>
        <w:t>Net loss was $7,421,000 in Nine Months 2019 compared to net income of $3,973,000 in Nine Months 2018. The decrease in net income of $11,394,000 was due to the circumstances described above, which caused the increase in our net loss ratio, decrease in ceding commission revenue, increases in other underwriting and operating expenses, and depreciation and amortization, partially offset by the increase in our net premiums earned, net investment income, and net gains on investments.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Three Months Ended September 30, 2019 Compared to Three Months Ended September 30, 2018</w:t>
      </w:r>
    </w:p>
    <w:p>
      <w:pPr>
        <w:spacing w:after="0" w:line="15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following table summarizes the changes in the results of our operations (in thousands) for the periods indicated: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6"/>
          </w:tcPr>
          <w:p>
            <w:pPr>
              <w:jc w:val="right"/>
              <w:ind w:right="460"/>
              <w:spacing w:after="0"/>
              <w:rPr>
                <w:sz w:val="20"/>
                <w:szCs w:val="20"/>
                <w:color w:val="auto"/>
              </w:rPr>
            </w:pPr>
            <w:r>
              <w:rPr>
                <w:rFonts w:ascii="Arial" w:cs="Arial" w:eastAsia="Arial" w:hAnsi="Arial"/>
                <w:sz w:val="14"/>
                <w:szCs w:val="14"/>
                <w:b w:val="1"/>
                <w:bCs w:val="1"/>
                <w:color w:val="auto"/>
                <w:w w:val="90"/>
              </w:rPr>
              <w:t>Three months ended September 30,</w:t>
            </w:r>
          </w:p>
        </w:tc>
        <w:tc>
          <w:tcPr>
            <w:tcW w:w="10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6100" w:type="dxa"/>
            <w:vAlign w:val="bottom"/>
          </w:tcPr>
          <w:p>
            <w:pPr>
              <w:spacing w:after="0"/>
              <w:rPr>
                <w:sz w:val="20"/>
                <w:szCs w:val="20"/>
                <w:color w:val="auto"/>
              </w:rPr>
            </w:pPr>
            <w:r>
              <w:rPr>
                <w:rFonts w:ascii="Arial" w:cs="Arial" w:eastAsia="Arial" w:hAnsi="Arial"/>
                <w:sz w:val="16"/>
                <w:szCs w:val="16"/>
                <w:b w:val="1"/>
                <w:bCs w:val="1"/>
                <w:color w:val="auto"/>
              </w:rPr>
              <w:t>($ in thousands)</w:t>
            </w:r>
          </w:p>
        </w:tc>
        <w:tc>
          <w:tcPr>
            <w:tcW w:w="240" w:type="dxa"/>
            <w:vAlign w:val="bottom"/>
          </w:tcPr>
          <w:p>
            <w:pPr>
              <w:spacing w:after="0"/>
              <w:rPr>
                <w:sz w:val="20"/>
                <w:szCs w:val="20"/>
                <w:color w:val="auto"/>
              </w:rPr>
            </w:pPr>
          </w:p>
        </w:tc>
        <w:tc>
          <w:tcPr>
            <w:tcW w:w="840" w:type="dxa"/>
            <w:vAlign w:val="bottom"/>
          </w:tcPr>
          <w:p>
            <w:pPr>
              <w:jc w:val="right"/>
              <w:ind w:right="318"/>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338"/>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Change</w:t>
            </w:r>
          </w:p>
        </w:tc>
        <w:tc>
          <w:tcPr>
            <w:tcW w:w="1280" w:type="dxa"/>
            <w:vAlign w:val="bottom"/>
            <w:gridSpan w:val="4"/>
          </w:tcPr>
          <w:p>
            <w:pPr>
              <w:ind w:left="34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25"/>
        </w:trPr>
        <w:tc>
          <w:tcPr>
            <w:tcW w:w="6100" w:type="dxa"/>
            <w:vAlign w:val="bottom"/>
          </w:tcPr>
          <w:p>
            <w:pPr>
              <w:ind w:left="40"/>
              <w:spacing w:after="0"/>
              <w:rPr>
                <w:sz w:val="20"/>
                <w:szCs w:val="20"/>
                <w:color w:val="auto"/>
              </w:rPr>
            </w:pPr>
            <w:r>
              <w:rPr>
                <w:rFonts w:ascii="Arial" w:cs="Arial" w:eastAsia="Arial" w:hAnsi="Arial"/>
                <w:sz w:val="16"/>
                <w:szCs w:val="16"/>
                <w:b w:val="1"/>
                <w:bCs w:val="1"/>
                <w:color w:val="auto"/>
              </w:rPr>
              <w:t>Revenue</w:t>
            </w:r>
            <w:r>
              <w:rPr>
                <w:rFonts w:ascii="Arial" w:cs="Arial" w:eastAsia="Arial" w:hAnsi="Arial"/>
                <w:sz w:val="16"/>
                <w:szCs w:val="16"/>
                <w:color w:val="auto"/>
              </w:rPr>
              <w:t>s</w:t>
            </w: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61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Direct written premiums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46,023</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38,785</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7,238</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tcPr>
          <w:p>
            <w:pPr>
              <w:ind w:left="180"/>
              <w:spacing w:after="0"/>
              <w:rPr>
                <w:sz w:val="20"/>
                <w:szCs w:val="20"/>
                <w:color w:val="auto"/>
              </w:rPr>
            </w:pPr>
            <w:r>
              <w:rPr>
                <w:rFonts w:ascii="Arial" w:cs="Arial" w:eastAsia="Arial" w:hAnsi="Arial"/>
                <w:sz w:val="16"/>
                <w:szCs w:val="16"/>
                <w:color w:val="auto"/>
              </w:rPr>
              <w:t>Assumed written premiums</w:t>
            </w:r>
          </w:p>
        </w:tc>
        <w:tc>
          <w:tcPr>
            <w:tcW w:w="24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1</w:t>
            </w:r>
          </w:p>
        </w:tc>
        <w:tc>
          <w:tcPr>
            <w:tcW w:w="1220" w:type="dxa"/>
            <w:vAlign w:val="bottom"/>
            <w:gridSpan w:val="3"/>
          </w:tcPr>
          <w:p>
            <w:pPr>
              <w:jc w:val="right"/>
              <w:spacing w:after="0"/>
              <w:rPr>
                <w:sz w:val="20"/>
                <w:szCs w:val="20"/>
                <w:color w:val="auto"/>
              </w:rPr>
            </w:pPr>
            <w:r>
              <w:rPr>
                <w:rFonts w:ascii="Arial" w:cs="Arial" w:eastAsia="Arial" w:hAnsi="Arial"/>
                <w:sz w:val="16"/>
                <w:szCs w:val="16"/>
                <w:color w:val="auto"/>
              </w:rPr>
              <w:t>na%</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6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61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46,024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38,785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7,239</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100" w:type="dxa"/>
            <w:vAlign w:val="bottom"/>
            <w:tcBorders>
              <w:top w:val="single" w:sz="8" w:color="CCEEFF"/>
            </w:tcBorders>
          </w:tcPr>
          <w:p>
            <w:pPr>
              <w:ind w:left="200"/>
              <w:spacing w:after="0"/>
              <w:rPr>
                <w:sz w:val="20"/>
                <w:szCs w:val="20"/>
                <w:color w:val="auto"/>
              </w:rPr>
            </w:pPr>
            <w:r>
              <w:rPr>
                <w:rFonts w:ascii="Arial" w:cs="Arial" w:eastAsia="Arial" w:hAnsi="Arial"/>
                <w:sz w:val="16"/>
                <w:szCs w:val="16"/>
                <w:color w:val="auto"/>
              </w:rPr>
              <w:t>Ceded written premiums</w:t>
            </w: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Ceded to quota share treaties (1)</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147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(1,473)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1,620</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(110.0)%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tcPr>
          <w:p>
            <w:pPr>
              <w:ind w:left="340"/>
              <w:spacing w:after="0"/>
              <w:rPr>
                <w:sz w:val="20"/>
                <w:szCs w:val="20"/>
                <w:color w:val="auto"/>
              </w:rPr>
            </w:pPr>
            <w:r>
              <w:rPr>
                <w:rFonts w:ascii="Arial" w:cs="Arial" w:eastAsia="Arial" w:hAnsi="Arial"/>
                <w:sz w:val="16"/>
                <w:szCs w:val="16"/>
                <w:color w:val="auto"/>
              </w:rPr>
              <w:t>Ceded to excess of loss treaties</w:t>
            </w:r>
          </w:p>
        </w:tc>
        <w:tc>
          <w:tcPr>
            <w:tcW w:w="24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386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392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(6)</w:t>
            </w:r>
          </w:p>
        </w:tc>
        <w:tc>
          <w:tcPr>
            <w:tcW w:w="1220" w:type="dxa"/>
            <w:vAlign w:val="bottom"/>
            <w:gridSpan w:val="3"/>
          </w:tcPr>
          <w:p>
            <w:pPr>
              <w:jc w:val="right"/>
              <w:spacing w:after="0"/>
              <w:rPr>
                <w:sz w:val="20"/>
                <w:szCs w:val="20"/>
                <w:color w:val="auto"/>
              </w:rPr>
            </w:pPr>
            <w:r>
              <w:rPr>
                <w:rFonts w:ascii="Arial" w:cs="Arial" w:eastAsia="Arial" w:hAnsi="Arial"/>
                <w:sz w:val="16"/>
                <w:szCs w:val="16"/>
                <w:color w:val="auto"/>
              </w:rPr>
              <w:t>(1.5)%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Ceded to catastrophe treaties</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5,053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3,764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1,289</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34.2%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610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6100" w:type="dxa"/>
            <w:vAlign w:val="bottom"/>
          </w:tcPr>
          <w:p>
            <w:pPr>
              <w:ind w:left="200"/>
              <w:spacing w:after="0"/>
              <w:rPr>
                <w:sz w:val="20"/>
                <w:szCs w:val="20"/>
                <w:color w:val="auto"/>
              </w:rPr>
            </w:pPr>
            <w:r>
              <w:rPr>
                <w:rFonts w:ascii="Arial" w:cs="Arial" w:eastAsia="Arial" w:hAnsi="Arial"/>
                <w:sz w:val="16"/>
                <w:szCs w:val="16"/>
                <w:color w:val="auto"/>
              </w:rPr>
              <w:t>Total ceded written premiums</w:t>
            </w:r>
          </w:p>
        </w:tc>
        <w:tc>
          <w:tcPr>
            <w:tcW w:w="2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5,586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2,683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2,903</w:t>
            </w:r>
          </w:p>
        </w:tc>
        <w:tc>
          <w:tcPr>
            <w:tcW w:w="1220" w:type="dxa"/>
            <w:vAlign w:val="bottom"/>
            <w:gridSpan w:val="3"/>
          </w:tcPr>
          <w:p>
            <w:pPr>
              <w:jc w:val="right"/>
              <w:spacing w:after="0"/>
              <w:rPr>
                <w:sz w:val="20"/>
                <w:szCs w:val="20"/>
                <w:color w:val="auto"/>
              </w:rPr>
            </w:pPr>
            <w:r>
              <w:rPr>
                <w:rFonts w:ascii="Arial" w:cs="Arial" w:eastAsia="Arial" w:hAnsi="Arial"/>
                <w:sz w:val="16"/>
                <w:szCs w:val="16"/>
                <w:color w:val="auto"/>
              </w:rPr>
              <w:t>108.2%</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100" w:type="dxa"/>
            <w:vAlign w:val="bottom"/>
            <w:tcBorders>
              <w:right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100" w:type="dxa"/>
            <w:vAlign w:val="bottom"/>
          </w:tcPr>
          <w:p>
            <w:pPr>
              <w:ind w:left="200"/>
              <w:spacing w:after="0"/>
              <w:rPr>
                <w:sz w:val="20"/>
                <w:szCs w:val="20"/>
                <w:color w:val="auto"/>
              </w:rPr>
            </w:pPr>
            <w:r>
              <w:rPr>
                <w:rFonts w:ascii="Arial" w:cs="Arial" w:eastAsia="Arial" w:hAnsi="Arial"/>
                <w:sz w:val="16"/>
                <w:szCs w:val="16"/>
                <w:color w:val="auto"/>
              </w:rPr>
              <w:t>Net written premiums</w:t>
            </w:r>
          </w:p>
        </w:tc>
        <w:tc>
          <w:tcPr>
            <w:tcW w:w="2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40,438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36,102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4,336</w:t>
            </w:r>
          </w:p>
        </w:tc>
        <w:tc>
          <w:tcPr>
            <w:tcW w:w="1220" w:type="dxa"/>
            <w:vAlign w:val="bottom"/>
            <w:gridSpan w:val="3"/>
          </w:tcPr>
          <w:p>
            <w:pPr>
              <w:jc w:val="right"/>
              <w:spacing w:after="0"/>
              <w:rPr>
                <w:sz w:val="20"/>
                <w:szCs w:val="20"/>
                <w:color w:val="auto"/>
              </w:rPr>
            </w:pPr>
            <w:r>
              <w:rPr>
                <w:rFonts w:ascii="Arial" w:cs="Arial" w:eastAsia="Arial" w:hAnsi="Arial"/>
                <w:sz w:val="16"/>
                <w:szCs w:val="16"/>
                <w:color w:val="auto"/>
              </w:rPr>
              <w:t>12.0%</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100" w:type="dxa"/>
            <w:vAlign w:val="bottom"/>
            <w:tcBorders>
              <w:right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tcPr>
          <w:p>
            <w:pPr>
              <w:ind w:left="200"/>
              <w:spacing w:after="0"/>
              <w:rPr>
                <w:sz w:val="20"/>
                <w:szCs w:val="20"/>
                <w:color w:val="auto"/>
              </w:rPr>
            </w:pPr>
            <w:r>
              <w:rPr>
                <w:rFonts w:ascii="Arial" w:cs="Arial" w:eastAsia="Arial" w:hAnsi="Arial"/>
                <w:sz w:val="16"/>
                <w:szCs w:val="16"/>
                <w:color w:val="auto"/>
              </w:rPr>
              <w:t>Change in unearned premiums</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Direct and assumed</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(4,581)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(4,435)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(146)</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tcPr>
          <w:p>
            <w:pPr>
              <w:ind w:left="340"/>
              <w:spacing w:after="0"/>
              <w:rPr>
                <w:sz w:val="20"/>
                <w:szCs w:val="20"/>
                <w:color w:val="auto"/>
              </w:rPr>
            </w:pPr>
            <w:r>
              <w:rPr>
                <w:rFonts w:ascii="Arial" w:cs="Arial" w:eastAsia="Arial" w:hAnsi="Arial"/>
                <w:sz w:val="16"/>
                <w:szCs w:val="16"/>
                <w:color w:val="auto"/>
              </w:rPr>
              <w:t>Ceded to quota share treaties</w:t>
            </w:r>
          </w:p>
        </w:tc>
        <w:tc>
          <w:tcPr>
            <w:tcW w:w="24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(1,637)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(4,133)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2,496</w:t>
            </w:r>
          </w:p>
        </w:tc>
        <w:tc>
          <w:tcPr>
            <w:tcW w:w="1220" w:type="dxa"/>
            <w:vAlign w:val="bottom"/>
            <w:gridSpan w:val="3"/>
          </w:tcPr>
          <w:p>
            <w:pPr>
              <w:jc w:val="right"/>
              <w:spacing w:after="0"/>
              <w:rPr>
                <w:sz w:val="20"/>
                <w:szCs w:val="20"/>
                <w:color w:val="auto"/>
              </w:rPr>
            </w:pPr>
            <w:r>
              <w:rPr>
                <w:rFonts w:ascii="Arial" w:cs="Arial" w:eastAsia="Arial" w:hAnsi="Arial"/>
                <w:sz w:val="16"/>
                <w:szCs w:val="16"/>
                <w:color w:val="auto"/>
              </w:rPr>
              <w:t>(60.4)%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6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61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Change in net unearned premiums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(6,218)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(8,568)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2,350</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(27.4)%</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Premiums earned</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tcPr>
          <w:p>
            <w:pPr>
              <w:ind w:left="340"/>
              <w:spacing w:after="0"/>
              <w:rPr>
                <w:sz w:val="20"/>
                <w:szCs w:val="20"/>
                <w:color w:val="auto"/>
              </w:rPr>
            </w:pPr>
            <w:r>
              <w:rPr>
                <w:rFonts w:ascii="Arial" w:cs="Arial" w:eastAsia="Arial" w:hAnsi="Arial"/>
                <w:sz w:val="16"/>
                <w:szCs w:val="16"/>
                <w:color w:val="auto"/>
              </w:rPr>
              <w:t>Direct and assumed</w:t>
            </w:r>
          </w:p>
        </w:tc>
        <w:tc>
          <w:tcPr>
            <w:tcW w:w="24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41,443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34,351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7,092</w:t>
            </w:r>
          </w:p>
        </w:tc>
        <w:tc>
          <w:tcPr>
            <w:tcW w:w="1220" w:type="dxa"/>
            <w:vAlign w:val="bottom"/>
            <w:gridSpan w:val="3"/>
          </w:tcPr>
          <w:p>
            <w:pPr>
              <w:jc w:val="right"/>
              <w:spacing w:after="0"/>
              <w:rPr>
                <w:sz w:val="20"/>
                <w:szCs w:val="20"/>
                <w:color w:val="auto"/>
              </w:rPr>
            </w:pPr>
            <w:r>
              <w:rPr>
                <w:rFonts w:ascii="Arial" w:cs="Arial" w:eastAsia="Arial" w:hAnsi="Arial"/>
                <w:sz w:val="16"/>
                <w:szCs w:val="16"/>
                <w:color w:val="auto"/>
              </w:rPr>
              <w:t>20.6%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Ceded to reinsurance treaties</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(7,223)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(6,817)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(406)</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610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100" w:type="dxa"/>
            <w:vAlign w:val="bottom"/>
          </w:tcPr>
          <w:p>
            <w:pPr>
              <w:ind w:left="200"/>
              <w:spacing w:after="0"/>
              <w:rPr>
                <w:sz w:val="20"/>
                <w:szCs w:val="20"/>
                <w:color w:val="auto"/>
              </w:rPr>
            </w:pPr>
            <w:r>
              <w:rPr>
                <w:rFonts w:ascii="Arial" w:cs="Arial" w:eastAsia="Arial" w:hAnsi="Arial"/>
                <w:sz w:val="16"/>
                <w:szCs w:val="16"/>
                <w:color w:val="auto"/>
              </w:rPr>
              <w:t>Net premiums earned</w:t>
            </w:r>
          </w:p>
        </w:tc>
        <w:tc>
          <w:tcPr>
            <w:tcW w:w="24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34,220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27,534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6,686</w:t>
            </w:r>
          </w:p>
        </w:tc>
        <w:tc>
          <w:tcPr>
            <w:tcW w:w="1220" w:type="dxa"/>
            <w:vAlign w:val="bottom"/>
            <w:gridSpan w:val="3"/>
          </w:tcPr>
          <w:p>
            <w:pPr>
              <w:jc w:val="right"/>
              <w:spacing w:after="0"/>
              <w:rPr>
                <w:sz w:val="20"/>
                <w:szCs w:val="20"/>
                <w:color w:val="auto"/>
              </w:rPr>
            </w:pPr>
            <w:r>
              <w:rPr>
                <w:rFonts w:ascii="Arial" w:cs="Arial" w:eastAsia="Arial" w:hAnsi="Arial"/>
                <w:sz w:val="16"/>
                <w:szCs w:val="16"/>
                <w:color w:val="auto"/>
              </w:rPr>
              <w:t>24.3%</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tcPr>
          <w:p>
            <w:pPr>
              <w:ind w:left="200"/>
              <w:spacing w:after="0"/>
              <w:rPr>
                <w:sz w:val="20"/>
                <w:szCs w:val="20"/>
                <w:color w:val="auto"/>
              </w:rPr>
            </w:pPr>
            <w:r>
              <w:rPr>
                <w:rFonts w:ascii="Arial" w:cs="Arial" w:eastAsia="Arial" w:hAnsi="Arial"/>
                <w:sz w:val="16"/>
                <w:szCs w:val="16"/>
                <w:color w:val="auto"/>
              </w:rPr>
              <w:t>Ceding commission revenue</w:t>
            </w:r>
          </w:p>
        </w:tc>
        <w:tc>
          <w:tcPr>
            <w:tcW w:w="24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1,030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1,045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(15)</w:t>
            </w:r>
          </w:p>
        </w:tc>
        <w:tc>
          <w:tcPr>
            <w:tcW w:w="1220" w:type="dxa"/>
            <w:vAlign w:val="bottom"/>
            <w:gridSpan w:val="3"/>
          </w:tcPr>
          <w:p>
            <w:pPr>
              <w:jc w:val="right"/>
              <w:spacing w:after="0"/>
              <w:rPr>
                <w:sz w:val="20"/>
                <w:szCs w:val="20"/>
                <w:color w:val="auto"/>
              </w:rPr>
            </w:pPr>
            <w:r>
              <w:rPr>
                <w:rFonts w:ascii="Arial" w:cs="Arial" w:eastAsia="Arial" w:hAnsi="Arial"/>
                <w:sz w:val="16"/>
                <w:szCs w:val="16"/>
                <w:color w:val="auto"/>
              </w:rPr>
              <w:t>(1.4)%</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investment income</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1,856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1,602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254</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tcPr>
          <w:p>
            <w:pPr>
              <w:ind w:left="200"/>
              <w:spacing w:after="0"/>
              <w:rPr>
                <w:sz w:val="20"/>
                <w:szCs w:val="20"/>
                <w:color w:val="auto"/>
              </w:rPr>
            </w:pPr>
            <w:r>
              <w:rPr>
                <w:rFonts w:ascii="Arial" w:cs="Arial" w:eastAsia="Arial" w:hAnsi="Arial"/>
                <w:sz w:val="16"/>
                <w:szCs w:val="16"/>
                <w:color w:val="auto"/>
              </w:rPr>
              <w:t>Net gains on investments</w:t>
            </w:r>
          </w:p>
        </w:tc>
        <w:tc>
          <w:tcPr>
            <w:tcW w:w="24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998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352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646</w:t>
            </w:r>
          </w:p>
        </w:tc>
        <w:tc>
          <w:tcPr>
            <w:tcW w:w="1220" w:type="dxa"/>
            <w:vAlign w:val="bottom"/>
            <w:gridSpan w:val="3"/>
          </w:tcPr>
          <w:p>
            <w:pPr>
              <w:jc w:val="right"/>
              <w:spacing w:after="0"/>
              <w:rPr>
                <w:sz w:val="20"/>
                <w:szCs w:val="20"/>
                <w:color w:val="auto"/>
              </w:rPr>
            </w:pPr>
            <w:r>
              <w:rPr>
                <w:rFonts w:ascii="Arial" w:cs="Arial" w:eastAsia="Arial" w:hAnsi="Arial"/>
                <w:sz w:val="16"/>
                <w:szCs w:val="16"/>
                <w:color w:val="auto"/>
              </w:rPr>
              <w:t>183.5%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Other income</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496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353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143</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40.5%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610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6100" w:type="dxa"/>
            <w:vAlign w:val="bottom"/>
          </w:tcPr>
          <w:p>
            <w:pPr>
              <w:ind w:left="340"/>
              <w:spacing w:after="0"/>
              <w:rPr>
                <w:sz w:val="20"/>
                <w:szCs w:val="20"/>
                <w:color w:val="auto"/>
              </w:rPr>
            </w:pPr>
            <w:r>
              <w:rPr>
                <w:rFonts w:ascii="Arial" w:cs="Arial" w:eastAsia="Arial" w:hAnsi="Arial"/>
                <w:sz w:val="16"/>
                <w:szCs w:val="16"/>
                <w:color w:val="auto"/>
              </w:rPr>
              <w:t>Total revenues</w:t>
            </w:r>
          </w:p>
        </w:tc>
        <w:tc>
          <w:tcPr>
            <w:tcW w:w="2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38,600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30,886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7,714</w:t>
            </w:r>
          </w:p>
        </w:tc>
        <w:tc>
          <w:tcPr>
            <w:tcW w:w="1220" w:type="dxa"/>
            <w:vAlign w:val="bottom"/>
            <w:gridSpan w:val="3"/>
          </w:tcPr>
          <w:p>
            <w:pPr>
              <w:jc w:val="right"/>
              <w:spacing w:after="0"/>
              <w:rPr>
                <w:sz w:val="20"/>
                <w:szCs w:val="20"/>
                <w:color w:val="auto"/>
              </w:rPr>
            </w:pPr>
            <w:r>
              <w:rPr>
                <w:rFonts w:ascii="Arial" w:cs="Arial" w:eastAsia="Arial" w:hAnsi="Arial"/>
                <w:sz w:val="16"/>
                <w:szCs w:val="16"/>
                <w:color w:val="auto"/>
              </w:rPr>
              <w:t>25.0%</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10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Expense</w:t>
            </w:r>
            <w:r>
              <w:rPr>
                <w:rFonts w:ascii="Arial" w:cs="Arial" w:eastAsia="Arial" w:hAnsi="Arial"/>
                <w:sz w:val="16"/>
                <w:szCs w:val="16"/>
                <w:color w:val="auto"/>
              </w:rPr>
              <w:t>s</w:t>
            </w: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tcPr>
          <w:p>
            <w:pPr>
              <w:ind w:left="200"/>
              <w:spacing w:after="0"/>
              <w:rPr>
                <w:sz w:val="20"/>
                <w:szCs w:val="20"/>
                <w:color w:val="auto"/>
              </w:rPr>
            </w:pPr>
            <w:r>
              <w:rPr>
                <w:rFonts w:ascii="Arial" w:cs="Arial" w:eastAsia="Arial" w:hAnsi="Arial"/>
                <w:sz w:val="16"/>
                <w:szCs w:val="16"/>
                <w:color w:val="auto"/>
              </w:rPr>
              <w:t>Loss and loss adjustment expenses</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Direct and assumed:</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tcPr>
          <w:p>
            <w:pPr>
              <w:ind w:left="340"/>
              <w:spacing w:after="0"/>
              <w:rPr>
                <w:sz w:val="20"/>
                <w:szCs w:val="20"/>
                <w:color w:val="auto"/>
              </w:rPr>
            </w:pPr>
            <w:r>
              <w:rPr>
                <w:rFonts w:ascii="Arial" w:cs="Arial" w:eastAsia="Arial" w:hAnsi="Arial"/>
                <w:sz w:val="16"/>
                <w:szCs w:val="16"/>
                <w:color w:val="auto"/>
              </w:rPr>
              <w:t>Loss and loss adjustment expenses excluding the effect of catastrophes</w:t>
            </w:r>
          </w:p>
        </w:tc>
        <w:tc>
          <w:tcPr>
            <w:tcW w:w="24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26,518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16,705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9,813</w:t>
            </w:r>
          </w:p>
        </w:tc>
        <w:tc>
          <w:tcPr>
            <w:tcW w:w="1220" w:type="dxa"/>
            <w:vAlign w:val="bottom"/>
            <w:gridSpan w:val="3"/>
          </w:tcPr>
          <w:p>
            <w:pPr>
              <w:jc w:val="right"/>
              <w:spacing w:after="0"/>
              <w:rPr>
                <w:sz w:val="20"/>
                <w:szCs w:val="20"/>
                <w:color w:val="auto"/>
              </w:rPr>
            </w:pPr>
            <w:r>
              <w:rPr>
                <w:rFonts w:ascii="Arial" w:cs="Arial" w:eastAsia="Arial" w:hAnsi="Arial"/>
                <w:sz w:val="16"/>
                <w:szCs w:val="16"/>
                <w:color w:val="auto"/>
              </w:rPr>
              <w:t>58.7%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Losses from catastrophes (2)</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491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244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247</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101.2%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610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6100" w:type="dxa"/>
            <w:vAlign w:val="bottom"/>
          </w:tcPr>
          <w:p>
            <w:pPr>
              <w:ind w:left="340"/>
              <w:spacing w:after="0"/>
              <w:rPr>
                <w:sz w:val="20"/>
                <w:szCs w:val="20"/>
                <w:color w:val="auto"/>
              </w:rPr>
            </w:pPr>
            <w:r>
              <w:rPr>
                <w:rFonts w:ascii="Arial" w:cs="Arial" w:eastAsia="Arial" w:hAnsi="Arial"/>
                <w:sz w:val="16"/>
                <w:szCs w:val="16"/>
                <w:color w:val="auto"/>
              </w:rPr>
              <w:t>Total direct and assumed loss and loss adjustment expenses</w:t>
            </w:r>
          </w:p>
        </w:tc>
        <w:tc>
          <w:tcPr>
            <w:tcW w:w="2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27,009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16,949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10,060</w:t>
            </w:r>
          </w:p>
        </w:tc>
        <w:tc>
          <w:tcPr>
            <w:tcW w:w="1220" w:type="dxa"/>
            <w:vAlign w:val="bottom"/>
            <w:gridSpan w:val="3"/>
          </w:tcPr>
          <w:p>
            <w:pPr>
              <w:jc w:val="right"/>
              <w:spacing w:after="0"/>
              <w:rPr>
                <w:sz w:val="20"/>
                <w:szCs w:val="20"/>
                <w:color w:val="auto"/>
              </w:rPr>
            </w:pPr>
            <w:r>
              <w:rPr>
                <w:rFonts w:ascii="Arial" w:cs="Arial" w:eastAsia="Arial" w:hAnsi="Arial"/>
                <w:sz w:val="16"/>
                <w:szCs w:val="16"/>
                <w:color w:val="auto"/>
              </w:rPr>
              <w:t>59.4%</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100" w:type="dxa"/>
            <w:vAlign w:val="bottom"/>
            <w:tcBorders>
              <w:right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tcPr>
          <w:p>
            <w:pPr>
              <w:ind w:left="340"/>
              <w:spacing w:after="0"/>
              <w:rPr>
                <w:sz w:val="20"/>
                <w:szCs w:val="20"/>
                <w:color w:val="auto"/>
              </w:rPr>
            </w:pPr>
            <w:r>
              <w:rPr>
                <w:rFonts w:ascii="Arial" w:cs="Arial" w:eastAsia="Arial" w:hAnsi="Arial"/>
                <w:sz w:val="16"/>
                <w:szCs w:val="16"/>
                <w:color w:val="auto"/>
              </w:rPr>
              <w:t>Ceded loss and loss adjustment expenses:</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Loss and loss adjustment expenses excluding the effect of catastrophes</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2,182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3,798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(1,616)</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tcPr>
          <w:p>
            <w:pPr>
              <w:ind w:left="340"/>
              <w:spacing w:after="0"/>
              <w:rPr>
                <w:sz w:val="20"/>
                <w:szCs w:val="20"/>
                <w:color w:val="auto"/>
              </w:rPr>
            </w:pPr>
            <w:r>
              <w:rPr>
                <w:rFonts w:ascii="Arial" w:cs="Arial" w:eastAsia="Arial" w:hAnsi="Arial"/>
                <w:sz w:val="16"/>
                <w:szCs w:val="16"/>
                <w:color w:val="auto"/>
              </w:rPr>
              <w:t>Losses from catastrophes (2)</w:t>
            </w:r>
          </w:p>
        </w:tc>
        <w:tc>
          <w:tcPr>
            <w:tcW w:w="24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191</w:t>
            </w:r>
          </w:p>
        </w:tc>
        <w:tc>
          <w:tcPr>
            <w:tcW w:w="1220" w:type="dxa"/>
            <w:vAlign w:val="bottom"/>
            <w:gridSpan w:val="3"/>
          </w:tcPr>
          <w:p>
            <w:pPr>
              <w:jc w:val="right"/>
              <w:spacing w:after="0"/>
              <w:rPr>
                <w:sz w:val="20"/>
                <w:szCs w:val="20"/>
                <w:color w:val="auto"/>
              </w:rPr>
            </w:pPr>
            <w:r>
              <w:rPr>
                <w:rFonts w:ascii="Arial" w:cs="Arial" w:eastAsia="Arial" w:hAnsi="Arial"/>
                <w:sz w:val="16"/>
                <w:szCs w:val="16"/>
                <w:color w:val="auto"/>
              </w:rPr>
              <w:t>(130.8)%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6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61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ceded loss and loss adjustment expenses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2,227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3,652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(1,425)</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(39.0)%</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loss and loss adjustment expenses: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tcPr>
          <w:p>
            <w:pPr>
              <w:ind w:left="340"/>
              <w:spacing w:after="0"/>
              <w:rPr>
                <w:sz w:val="20"/>
                <w:szCs w:val="20"/>
                <w:color w:val="auto"/>
              </w:rPr>
            </w:pPr>
            <w:r>
              <w:rPr>
                <w:rFonts w:ascii="Arial" w:cs="Arial" w:eastAsia="Arial" w:hAnsi="Arial"/>
                <w:sz w:val="16"/>
                <w:szCs w:val="16"/>
                <w:color w:val="auto"/>
              </w:rPr>
              <w:t>Loss and loss adjustment expenses excluding the effect of catastrophes</w:t>
            </w:r>
          </w:p>
        </w:tc>
        <w:tc>
          <w:tcPr>
            <w:tcW w:w="24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24,335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12,907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11,428</w:t>
            </w:r>
          </w:p>
        </w:tc>
        <w:tc>
          <w:tcPr>
            <w:tcW w:w="1220" w:type="dxa"/>
            <w:vAlign w:val="bottom"/>
            <w:gridSpan w:val="3"/>
          </w:tcPr>
          <w:p>
            <w:pPr>
              <w:jc w:val="right"/>
              <w:spacing w:after="0"/>
              <w:rPr>
                <w:sz w:val="20"/>
                <w:szCs w:val="20"/>
                <w:color w:val="auto"/>
              </w:rPr>
            </w:pPr>
            <w:r>
              <w:rPr>
                <w:rFonts w:ascii="Arial" w:cs="Arial" w:eastAsia="Arial" w:hAnsi="Arial"/>
                <w:sz w:val="16"/>
                <w:szCs w:val="16"/>
                <w:color w:val="auto"/>
              </w:rPr>
              <w:t>88.5%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Losses from catastrophes (2)</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446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390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56</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610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6100" w:type="dxa"/>
            <w:vAlign w:val="bottom"/>
          </w:tcPr>
          <w:p>
            <w:pPr>
              <w:ind w:left="340"/>
              <w:spacing w:after="0"/>
              <w:rPr>
                <w:sz w:val="20"/>
                <w:szCs w:val="20"/>
                <w:color w:val="auto"/>
              </w:rPr>
            </w:pPr>
            <w:r>
              <w:rPr>
                <w:rFonts w:ascii="Arial" w:cs="Arial" w:eastAsia="Arial" w:hAnsi="Arial"/>
                <w:sz w:val="16"/>
                <w:szCs w:val="16"/>
                <w:color w:val="auto"/>
              </w:rPr>
              <w:t>Net loss and loss adjustment expenses</w:t>
            </w:r>
          </w:p>
        </w:tc>
        <w:tc>
          <w:tcPr>
            <w:tcW w:w="2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24,781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13,297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11,484</w:t>
            </w:r>
          </w:p>
        </w:tc>
        <w:tc>
          <w:tcPr>
            <w:tcW w:w="1220" w:type="dxa"/>
            <w:vAlign w:val="bottom"/>
            <w:gridSpan w:val="3"/>
          </w:tcPr>
          <w:p>
            <w:pPr>
              <w:jc w:val="right"/>
              <w:spacing w:after="0"/>
              <w:rPr>
                <w:sz w:val="20"/>
                <w:szCs w:val="20"/>
                <w:color w:val="auto"/>
              </w:rPr>
            </w:pPr>
            <w:r>
              <w:rPr>
                <w:rFonts w:ascii="Arial" w:cs="Arial" w:eastAsia="Arial" w:hAnsi="Arial"/>
                <w:sz w:val="16"/>
                <w:szCs w:val="16"/>
                <w:color w:val="auto"/>
              </w:rPr>
              <w:t>86.4%</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100" w:type="dxa"/>
            <w:vAlign w:val="bottom"/>
            <w:tcBorders>
              <w:right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tcPr>
          <w:p>
            <w:pPr>
              <w:ind w:left="200"/>
              <w:spacing w:after="0"/>
              <w:rPr>
                <w:sz w:val="20"/>
                <w:szCs w:val="20"/>
                <w:color w:val="auto"/>
              </w:rPr>
            </w:pPr>
            <w:r>
              <w:rPr>
                <w:rFonts w:ascii="Arial" w:cs="Arial" w:eastAsia="Arial" w:hAnsi="Arial"/>
                <w:sz w:val="16"/>
                <w:szCs w:val="16"/>
                <w:color w:val="auto"/>
              </w:rPr>
              <w:t>Commission expense</w:t>
            </w:r>
          </w:p>
        </w:tc>
        <w:tc>
          <w:tcPr>
            <w:tcW w:w="24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7,779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6,594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1,185</w:t>
            </w:r>
          </w:p>
        </w:tc>
        <w:tc>
          <w:tcPr>
            <w:tcW w:w="1220" w:type="dxa"/>
            <w:vAlign w:val="bottom"/>
            <w:gridSpan w:val="3"/>
          </w:tcPr>
          <w:p>
            <w:pPr>
              <w:jc w:val="right"/>
              <w:spacing w:after="0"/>
              <w:rPr>
                <w:sz w:val="20"/>
                <w:szCs w:val="20"/>
                <w:color w:val="auto"/>
              </w:rPr>
            </w:pPr>
            <w:r>
              <w:rPr>
                <w:rFonts w:ascii="Arial" w:cs="Arial" w:eastAsia="Arial" w:hAnsi="Arial"/>
                <w:sz w:val="16"/>
                <w:szCs w:val="16"/>
                <w:color w:val="auto"/>
              </w:rPr>
              <w:t>18.0%</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Other underwriting expenses</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6,431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5,194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1,237</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tcPr>
          <w:p>
            <w:pPr>
              <w:ind w:left="200"/>
              <w:spacing w:after="0"/>
              <w:rPr>
                <w:sz w:val="20"/>
                <w:szCs w:val="20"/>
                <w:color w:val="auto"/>
              </w:rPr>
            </w:pPr>
            <w:r>
              <w:rPr>
                <w:rFonts w:ascii="Arial" w:cs="Arial" w:eastAsia="Arial" w:hAnsi="Arial"/>
                <w:sz w:val="16"/>
                <w:szCs w:val="16"/>
                <w:color w:val="auto"/>
              </w:rPr>
              <w:t>Other operating expenses</w:t>
            </w:r>
          </w:p>
        </w:tc>
        <w:tc>
          <w:tcPr>
            <w:tcW w:w="24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705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683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22</w:t>
            </w:r>
          </w:p>
        </w:tc>
        <w:tc>
          <w:tcPr>
            <w:tcW w:w="1220" w:type="dxa"/>
            <w:vAlign w:val="bottom"/>
            <w:gridSpan w:val="3"/>
          </w:tcPr>
          <w:p>
            <w:pPr>
              <w:jc w:val="right"/>
              <w:spacing w:after="0"/>
              <w:rPr>
                <w:sz w:val="20"/>
                <w:szCs w:val="20"/>
                <w:color w:val="auto"/>
              </w:rPr>
            </w:pPr>
            <w:r>
              <w:rPr>
                <w:rFonts w:ascii="Arial" w:cs="Arial" w:eastAsia="Arial" w:hAnsi="Arial"/>
                <w:sz w:val="16"/>
                <w:szCs w:val="16"/>
                <w:color w:val="auto"/>
              </w:rPr>
              <w:t>3.2%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Depreciation and amortization</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646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440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206</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tcPr>
          <w:p>
            <w:pPr>
              <w:ind w:left="200"/>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457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457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6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61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expenses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40,799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26,665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14,135</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53.0%</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(Loss) income before taxes</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(2,199)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4,221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(6,420)</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(152.1)%</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tcPr>
          <w:p>
            <w:pPr>
              <w:ind w:left="200"/>
              <w:spacing w:after="0"/>
              <w:rPr>
                <w:sz w:val="20"/>
                <w:szCs w:val="20"/>
                <w:color w:val="auto"/>
              </w:rPr>
            </w:pPr>
            <w:r>
              <w:rPr>
                <w:rFonts w:ascii="Arial" w:cs="Arial" w:eastAsia="Arial" w:hAnsi="Arial"/>
                <w:sz w:val="16"/>
                <w:szCs w:val="16"/>
                <w:color w:val="auto"/>
              </w:rPr>
              <w:t>Income tax (benefit) expense</w:t>
            </w:r>
          </w:p>
        </w:tc>
        <w:tc>
          <w:tcPr>
            <w:tcW w:w="24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(474)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287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(761)</w:t>
            </w:r>
          </w:p>
        </w:tc>
        <w:tc>
          <w:tcPr>
            <w:tcW w:w="1220" w:type="dxa"/>
            <w:vAlign w:val="bottom"/>
            <w:gridSpan w:val="3"/>
          </w:tcPr>
          <w:p>
            <w:pPr>
              <w:jc w:val="right"/>
              <w:spacing w:after="0"/>
              <w:rPr>
                <w:sz w:val="20"/>
                <w:szCs w:val="20"/>
                <w:color w:val="auto"/>
              </w:rPr>
            </w:pPr>
            <w:r>
              <w:rPr>
                <w:rFonts w:ascii="Arial" w:cs="Arial" w:eastAsia="Arial" w:hAnsi="Arial"/>
                <w:sz w:val="16"/>
                <w:szCs w:val="16"/>
                <w:color w:val="auto"/>
              </w:rPr>
              <w:t>(265.2)%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6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10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(loss) income</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(1,725)</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3,934</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(5,659)</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(143.8)%</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right="80" w:firstLine="1"/>
        <w:spacing w:after="0" w:line="296" w:lineRule="auto"/>
        <w:tabs>
          <w:tab w:leader="none" w:pos="233" w:val="left"/>
        </w:tabs>
        <w:numPr>
          <w:ilvl w:val="0"/>
          <w:numId w:val="15"/>
        </w:numPr>
        <w:rPr>
          <w:rFonts w:ascii="Arial" w:cs="Arial" w:eastAsia="Arial" w:hAnsi="Arial"/>
          <w:sz w:val="16"/>
          <w:szCs w:val="16"/>
          <w:color w:val="auto"/>
        </w:rPr>
      </w:pPr>
      <w:r>
        <w:rPr>
          <w:rFonts w:ascii="Arial" w:cs="Arial" w:eastAsia="Arial" w:hAnsi="Arial"/>
          <w:sz w:val="16"/>
          <w:szCs w:val="16"/>
          <w:color w:val="auto"/>
        </w:rPr>
        <w:t>Effective July 1, 2018, we decreased the quota share ceding rate in our personal lines quota share treaty from 20% to 10%. Effective July 1, 2019, our personal lines 10% quota share treaty expired on a run-off basis.</w:t>
      </w:r>
    </w:p>
    <w:p>
      <w:pPr>
        <w:spacing w:after="0" w:line="90" w:lineRule="exact"/>
        <w:rPr>
          <w:rFonts w:ascii="Arial" w:cs="Arial" w:eastAsia="Arial" w:hAnsi="Arial"/>
          <w:sz w:val="16"/>
          <w:szCs w:val="16"/>
          <w:color w:val="auto"/>
        </w:rPr>
      </w:pPr>
    </w:p>
    <w:p>
      <w:pPr>
        <w:ind w:right="200" w:firstLine="1"/>
        <w:spacing w:after="0" w:line="280" w:lineRule="auto"/>
        <w:tabs>
          <w:tab w:leader="none" w:pos="233"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three months ended September 30, 2019 includes catastrophe losses, which are defined as losses from an event for which a catastrophe bulletin and related serial number has been issued by the Property Claims Services (PCS) unit of the Insurance Services Office (ISO). PCS catastrophe bulletins are issued for events that cause more than $25 million in total insured losses and affect a significant number of policyholders and insurers.</w:t>
      </w:r>
    </w:p>
    <w:p>
      <w:pPr>
        <w:spacing w:after="0" w:line="255"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80"/>
          </w:cols>
          <w:pgMar w:left="240" w:top="485" w:right="179" w:bottom="176"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71"/>
        </w:trPr>
        <w:tc>
          <w:tcPr>
            <w:tcW w:w="61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4"/>
                <w:szCs w:val="14"/>
                <w:b w:val="1"/>
                <w:bCs w:val="1"/>
                <w:color w:val="auto"/>
                <w:w w:val="95"/>
              </w:rPr>
              <w:t>Three months ended September 30,</w:t>
            </w:r>
          </w:p>
        </w:tc>
        <w:tc>
          <w:tcPr>
            <w:tcW w:w="10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6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tcPr>
          <w:p>
            <w:pPr>
              <w:jc w:val="right"/>
              <w:ind w:right="320"/>
              <w:spacing w:after="0" w:line="139" w:lineRule="exact"/>
              <w:rPr>
                <w:sz w:val="20"/>
                <w:szCs w:val="20"/>
                <w:color w:val="auto"/>
              </w:rPr>
            </w:pPr>
            <w:r>
              <w:rPr>
                <w:rFonts w:ascii="Arial" w:cs="Arial" w:eastAsia="Arial" w:hAnsi="Arial"/>
                <w:sz w:val="14"/>
                <w:szCs w:val="14"/>
                <w:b w:val="1"/>
                <w:bCs w:val="1"/>
                <w:color w:val="auto"/>
                <w:w w:val="90"/>
              </w:rPr>
              <w:t>Percentage Point</w:t>
            </w: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10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4"/>
                <w:szCs w:val="14"/>
                <w:color w:val="auto"/>
              </w:rPr>
            </w:pPr>
          </w:p>
        </w:tc>
        <w:tc>
          <w:tcPr>
            <w:tcW w:w="110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4"/>
                <w:szCs w:val="14"/>
                <w:color w:val="auto"/>
              </w:rPr>
            </w:pPr>
          </w:p>
        </w:tc>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1"/>
              </w:rPr>
              <w:t>Percent Change</w:t>
            </w:r>
          </w:p>
        </w:tc>
        <w:tc>
          <w:tcPr>
            <w:tcW w:w="1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6800" w:type="dxa"/>
            <w:vAlign w:val="bottom"/>
            <w:gridSpan w:val="2"/>
          </w:tcPr>
          <w:p>
            <w:pPr>
              <w:ind w:left="40"/>
              <w:spacing w:after="0"/>
              <w:rPr>
                <w:sz w:val="20"/>
                <w:szCs w:val="20"/>
                <w:color w:val="auto"/>
              </w:rPr>
            </w:pPr>
            <w:r>
              <w:rPr>
                <w:rFonts w:ascii="Arial" w:cs="Arial" w:eastAsia="Arial" w:hAnsi="Arial"/>
                <w:sz w:val="16"/>
                <w:szCs w:val="16"/>
                <w:b w:val="1"/>
                <w:bCs w:val="1"/>
                <w:color w:val="auto"/>
              </w:rPr>
              <w:t>Key ratios:</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68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Net loss ratio</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72.4%</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48.3%</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24.1</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tcPr>
          <w:p>
            <w:pPr>
              <w:ind w:left="200"/>
              <w:spacing w:after="0"/>
              <w:rPr>
                <w:sz w:val="20"/>
                <w:szCs w:val="20"/>
                <w:color w:val="auto"/>
              </w:rPr>
            </w:pPr>
            <w:r>
              <w:rPr>
                <w:rFonts w:ascii="Arial" w:cs="Arial" w:eastAsia="Arial" w:hAnsi="Arial"/>
                <w:sz w:val="16"/>
                <w:szCs w:val="16"/>
                <w:color w:val="auto"/>
              </w:rPr>
              <w:t>Net underwriting expense ratio</w:t>
            </w:r>
          </w:p>
        </w:tc>
        <w:tc>
          <w:tcPr>
            <w:tcW w:w="70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37.5%</w:t>
            </w: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37.7%</w:t>
            </w: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(0.2)</w:t>
            </w:r>
          </w:p>
        </w:tc>
        <w:tc>
          <w:tcPr>
            <w:tcW w:w="1220" w:type="dxa"/>
            <w:vAlign w:val="bottom"/>
            <w:gridSpan w:val="3"/>
          </w:tcPr>
          <w:p>
            <w:pPr>
              <w:jc w:val="right"/>
              <w:spacing w:after="0"/>
              <w:rPr>
                <w:sz w:val="20"/>
                <w:szCs w:val="20"/>
                <w:color w:val="auto"/>
              </w:rPr>
            </w:pPr>
            <w:r>
              <w:rPr>
                <w:rFonts w:ascii="Arial" w:cs="Arial" w:eastAsia="Arial" w:hAnsi="Arial"/>
                <w:sz w:val="16"/>
                <w:szCs w:val="16"/>
                <w:color w:val="auto"/>
              </w:rPr>
              <w:t>(0.5)%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6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1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combined ratio</w:t>
            </w:r>
          </w:p>
        </w:tc>
        <w:tc>
          <w:tcPr>
            <w:tcW w:w="7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2"/>
              </w:rPr>
              <w:t>109.9%</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86.0%</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23.9</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Direct Written Premiums</w:t>
      </w:r>
    </w:p>
    <w:p>
      <w:pPr>
        <w:spacing w:after="0" w:line="158" w:lineRule="exact"/>
        <w:rPr>
          <w:sz w:val="20"/>
          <w:szCs w:val="20"/>
          <w:color w:val="auto"/>
        </w:rPr>
      </w:pPr>
    </w:p>
    <w:p>
      <w:pPr>
        <w:jc w:val="both"/>
        <w:ind w:firstLine="608"/>
        <w:spacing w:after="0" w:line="275" w:lineRule="auto"/>
        <w:rPr>
          <w:sz w:val="20"/>
          <w:szCs w:val="20"/>
          <w:color w:val="auto"/>
        </w:rPr>
      </w:pPr>
      <w:r>
        <w:rPr>
          <w:rFonts w:ascii="Arial" w:cs="Arial" w:eastAsia="Arial" w:hAnsi="Arial"/>
          <w:sz w:val="16"/>
          <w:szCs w:val="16"/>
          <w:color w:val="auto"/>
        </w:rPr>
        <w:t>Direct written premiums during the three months ended September 30, 2019 (“Three Months 2019”) were $46,023,000 compared to $38,785,000 during the three months ended September 30, 2018 (“Three Months 2018”). The increase of $7,238,000, or 18.7%, was primarily due to an increase in policies in-force during Three Months 2019 as compared to Three Months 2018 driven by continued growth in new business. We wrote more new policies as a result of continued demand for our products in the markets that we serve. Policies in-force increased by 17.7% as of September 30, 2019 compared to September 30, 2018.</w:t>
      </w:r>
    </w:p>
    <w:p>
      <w:pPr>
        <w:spacing w:after="0" w:line="107" w:lineRule="exact"/>
        <w:rPr>
          <w:sz w:val="20"/>
          <w:szCs w:val="20"/>
          <w:color w:val="auto"/>
        </w:rPr>
      </w:pPr>
    </w:p>
    <w:p>
      <w:pPr>
        <w:jc w:val="both"/>
        <w:ind w:firstLine="608"/>
        <w:spacing w:after="0" w:line="280" w:lineRule="auto"/>
        <w:rPr>
          <w:sz w:val="20"/>
          <w:szCs w:val="20"/>
          <w:color w:val="auto"/>
        </w:rPr>
      </w:pPr>
      <w:r>
        <w:rPr>
          <w:rFonts w:ascii="Arial" w:cs="Arial" w:eastAsia="Arial" w:hAnsi="Arial"/>
          <w:sz w:val="16"/>
          <w:szCs w:val="16"/>
          <w:color w:val="auto"/>
        </w:rPr>
        <w:t>In 2017, we started writing homeowners’ policies in New Jersey and Rhode Island. We began writing homeowners policies in Massachusetts in 2018 and Connecticut in March of 2019. We refer to our New York business as our “Core” business and the business outside of New York as our “Expansion” business. Direct written premiums from our Expansion business were $7,371,000 in Three Months 2019, compared to $2,855,000 in Three Months 2018.</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Net Written Premiums and Net Premiums Earned</w:t>
      </w:r>
    </w:p>
    <w:p>
      <w:pPr>
        <w:spacing w:after="0" w:line="158" w:lineRule="exact"/>
        <w:rPr>
          <w:sz w:val="20"/>
          <w:szCs w:val="20"/>
          <w:color w:val="auto"/>
        </w:rPr>
      </w:pPr>
    </w:p>
    <w:p>
      <w:pPr>
        <w:jc w:val="both"/>
        <w:ind w:firstLine="608"/>
        <w:spacing w:after="0" w:line="275" w:lineRule="auto"/>
        <w:rPr>
          <w:sz w:val="20"/>
          <w:szCs w:val="20"/>
          <w:color w:val="auto"/>
        </w:rPr>
      </w:pPr>
      <w:r>
        <w:rPr>
          <w:rFonts w:ascii="Arial" w:cs="Arial" w:eastAsia="Arial" w:hAnsi="Arial"/>
          <w:sz w:val="16"/>
          <w:szCs w:val="16"/>
          <w:color w:val="auto"/>
        </w:rPr>
        <w:t>Our personal lines quota share reinsurance treaties in effect for Three Months 2019 and Three Months 2018 were covered under a treaty covering a two-year period from July 1, 2017 through June 30, 2019 (“2017/2019 Treaty”). The following table describes the quota share reinsurance ceding rates in effect for each treaty year during Three Months 2019 and Three Months 2018 under the 2017/2019 Treaty, respectively. This table should be referred to in conjunction with the discussions for net written premiums, net premiums earned, ceding commission revenue and net loss and loss adjustment expenses that follow.</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2060" w:type="dxa"/>
            <w:vAlign w:val="bottom"/>
            <w:tcBorders>
              <w:bottom w:val="single" w:sz="8" w:color="auto"/>
            </w:tcBorders>
          </w:tcPr>
          <w:p>
            <w:pPr>
              <w:spacing w:after="0"/>
              <w:rPr>
                <w:sz w:val="14"/>
                <w:szCs w:val="14"/>
                <w:color w:val="auto"/>
              </w:rPr>
            </w:pPr>
          </w:p>
        </w:tc>
        <w:tc>
          <w:tcPr>
            <w:tcW w:w="43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0" w:type="dxa"/>
            <w:vAlign w:val="bottom"/>
          </w:tcPr>
          <w:p>
            <w:pPr>
              <w:spacing w:after="0"/>
              <w:rPr>
                <w:sz w:val="1"/>
                <w:szCs w:val="1"/>
                <w:color w:val="auto"/>
              </w:rPr>
            </w:pPr>
          </w:p>
        </w:tc>
      </w:tr>
      <w:tr>
        <w:trPr>
          <w:trHeight w:val="183"/>
        </w:trPr>
        <w:tc>
          <w:tcPr>
            <w:tcW w:w="5060" w:type="dxa"/>
            <w:vAlign w:val="bottom"/>
          </w:tcPr>
          <w:p>
            <w:pPr>
              <w:spacing w:after="0"/>
              <w:rPr>
                <w:sz w:val="15"/>
                <w:szCs w:val="15"/>
                <w:color w:val="auto"/>
              </w:rPr>
            </w:pPr>
          </w:p>
        </w:tc>
        <w:tc>
          <w:tcPr>
            <w:tcW w:w="2060" w:type="dxa"/>
            <w:vAlign w:val="bottom"/>
            <w:tcBorders>
              <w:bottom w:val="single" w:sz="8" w:color="auto"/>
            </w:tcBorders>
          </w:tcPr>
          <w:p>
            <w:pPr>
              <w:jc w:val="right"/>
              <w:ind w:right="86"/>
              <w:spacing w:after="0"/>
              <w:rPr>
                <w:sz w:val="20"/>
                <w:szCs w:val="20"/>
                <w:color w:val="auto"/>
              </w:rPr>
            </w:pPr>
            <w:r>
              <w:rPr>
                <w:rFonts w:ascii="Arial" w:cs="Arial" w:eastAsia="Arial" w:hAnsi="Arial"/>
                <w:sz w:val="14"/>
                <w:szCs w:val="14"/>
                <w:b w:val="1"/>
                <w:bCs w:val="1"/>
                <w:color w:val="auto"/>
              </w:rPr>
              <w:t>2019</w:t>
            </w:r>
          </w:p>
        </w:tc>
        <w:tc>
          <w:tcPr>
            <w:tcW w:w="132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tcPr>
          <w:p>
            <w:pPr>
              <w:jc w:val="right"/>
              <w:ind w:right="1206"/>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77"/>
        </w:trPr>
        <w:tc>
          <w:tcPr>
            <w:tcW w:w="5060" w:type="dxa"/>
            <w:vAlign w:val="bottom"/>
          </w:tcPr>
          <w:p>
            <w:pPr>
              <w:spacing w:after="0"/>
              <w:rPr>
                <w:sz w:val="15"/>
                <w:szCs w:val="15"/>
                <w:color w:val="auto"/>
              </w:rPr>
            </w:pPr>
          </w:p>
        </w:tc>
        <w:tc>
          <w:tcPr>
            <w:tcW w:w="3380" w:type="dxa"/>
            <w:vAlign w:val="bottom"/>
            <w:gridSpan w:val="2"/>
            <w:vMerge w:val="restart"/>
          </w:tcPr>
          <w:p>
            <w:pPr>
              <w:ind w:left="940"/>
              <w:spacing w:after="0"/>
              <w:rPr>
                <w:sz w:val="20"/>
                <w:szCs w:val="20"/>
                <w:color w:val="auto"/>
              </w:rPr>
            </w:pPr>
            <w:r>
              <w:rPr>
                <w:rFonts w:ascii="Arial" w:cs="Arial" w:eastAsia="Arial" w:hAnsi="Arial"/>
                <w:sz w:val="14"/>
                <w:szCs w:val="14"/>
                <w:b w:val="1"/>
                <w:bCs w:val="1"/>
                <w:color w:val="auto"/>
              </w:rPr>
              <w:t>("2019/2020 Run-off Year")</w:t>
            </w:r>
          </w:p>
        </w:tc>
        <w:tc>
          <w:tcPr>
            <w:tcW w:w="2980" w:type="dxa"/>
            <w:vAlign w:val="bottom"/>
          </w:tcPr>
          <w:p>
            <w:pPr>
              <w:ind w:left="780"/>
              <w:spacing w:after="0"/>
              <w:rPr>
                <w:sz w:val="20"/>
                <w:szCs w:val="20"/>
                <w:color w:val="auto"/>
              </w:rPr>
            </w:pPr>
            <w:r>
              <w:rPr>
                <w:rFonts w:ascii="Arial" w:cs="Arial" w:eastAsia="Arial" w:hAnsi="Arial"/>
                <w:sz w:val="14"/>
                <w:szCs w:val="14"/>
                <w:b w:val="1"/>
                <w:bCs w:val="1"/>
                <w:color w:val="auto"/>
              </w:rPr>
              <w:t>("2018/2019 Treaty Year")</w:t>
            </w:r>
          </w:p>
        </w:tc>
        <w:tc>
          <w:tcPr>
            <w:tcW w:w="0" w:type="dxa"/>
            <w:vAlign w:val="bottom"/>
          </w:tcPr>
          <w:p>
            <w:pPr>
              <w:spacing w:after="0"/>
              <w:rPr>
                <w:sz w:val="1"/>
                <w:szCs w:val="1"/>
                <w:color w:val="auto"/>
              </w:rPr>
            </w:pPr>
          </w:p>
        </w:tc>
      </w:tr>
      <w:tr>
        <w:trPr>
          <w:trHeight w:val="42"/>
        </w:trPr>
        <w:tc>
          <w:tcPr>
            <w:tcW w:w="5060" w:type="dxa"/>
            <w:vAlign w:val="bottom"/>
          </w:tcPr>
          <w:p>
            <w:pPr>
              <w:spacing w:after="0"/>
              <w:rPr>
                <w:sz w:val="3"/>
                <w:szCs w:val="3"/>
                <w:color w:val="auto"/>
              </w:rPr>
            </w:pPr>
          </w:p>
        </w:tc>
        <w:tc>
          <w:tcPr>
            <w:tcW w:w="3380" w:type="dxa"/>
            <w:vAlign w:val="bottom"/>
            <w:gridSpan w:val="2"/>
            <w:vMerge w:val="continue"/>
          </w:tcPr>
          <w:p>
            <w:pPr>
              <w:spacing w:after="0"/>
              <w:rPr>
                <w:sz w:val="3"/>
                <w:szCs w:val="3"/>
                <w:color w:val="auto"/>
              </w:rPr>
            </w:pPr>
          </w:p>
        </w:tc>
        <w:tc>
          <w:tcPr>
            <w:tcW w:w="2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7"/>
        </w:trPr>
        <w:tc>
          <w:tcPr>
            <w:tcW w:w="5060" w:type="dxa"/>
            <w:vAlign w:val="bottom"/>
          </w:tcPr>
          <w:p>
            <w:pPr>
              <w:ind w:left="40"/>
              <w:spacing w:after="0"/>
              <w:rPr>
                <w:sz w:val="20"/>
                <w:szCs w:val="20"/>
                <w:color w:val="auto"/>
              </w:rPr>
            </w:pPr>
            <w:r>
              <w:rPr>
                <w:rFonts w:ascii="Arial" w:cs="Arial" w:eastAsia="Arial" w:hAnsi="Arial"/>
                <w:sz w:val="16"/>
                <w:szCs w:val="16"/>
                <w:b w:val="1"/>
                <w:bCs w:val="1"/>
                <w:color w:val="auto"/>
              </w:rPr>
              <w:t>Quota share reinsurance rates</w:t>
            </w:r>
          </w:p>
        </w:tc>
        <w:tc>
          <w:tcPr>
            <w:tcW w:w="20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50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Personal lines</w:t>
            </w:r>
          </w:p>
        </w:tc>
        <w:tc>
          <w:tcPr>
            <w:tcW w:w="206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0% (2)</w:t>
            </w:r>
          </w:p>
        </w:tc>
        <w:tc>
          <w:tcPr>
            <w:tcW w:w="1320" w:type="dxa"/>
            <w:vAlign w:val="bottom"/>
            <w:shd w:val="clear" w:color="auto" w:fill="CCEEFF"/>
          </w:tcPr>
          <w:p>
            <w:pPr>
              <w:spacing w:after="0"/>
              <w:rPr>
                <w:sz w:val="17"/>
                <w:szCs w:val="17"/>
                <w:color w:val="auto"/>
              </w:rPr>
            </w:pPr>
          </w:p>
        </w:tc>
        <w:tc>
          <w:tcPr>
            <w:tcW w:w="2980" w:type="dxa"/>
            <w:vAlign w:val="bottom"/>
            <w:shd w:val="clear" w:color="auto" w:fill="CCEEFF"/>
          </w:tcPr>
          <w:p>
            <w:pPr>
              <w:jc w:val="right"/>
              <w:ind w:right="1066"/>
              <w:spacing w:after="0"/>
              <w:rPr>
                <w:sz w:val="20"/>
                <w:szCs w:val="20"/>
                <w:color w:val="auto"/>
              </w:rPr>
            </w:pPr>
            <w:r>
              <w:rPr>
                <w:rFonts w:ascii="Arial" w:cs="Arial" w:eastAsia="Arial" w:hAnsi="Arial"/>
                <w:sz w:val="16"/>
                <w:szCs w:val="16"/>
                <w:color w:val="auto"/>
              </w:rPr>
              <w:t>10% (1)</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920" w:hanging="311"/>
        <w:spacing w:after="0"/>
        <w:tabs>
          <w:tab w:leader="none" w:pos="9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2017/2019 Treaty was a two-year treaty; quota share reinsurance rate was reduced to 10% effective July 1, 2018 (the “2018 Cut-off”).</w:t>
      </w:r>
    </w:p>
    <w:p>
      <w:pPr>
        <w:spacing w:after="0" w:line="24" w:lineRule="exact"/>
        <w:rPr>
          <w:rFonts w:ascii="Arial" w:cs="Arial" w:eastAsia="Arial" w:hAnsi="Arial"/>
          <w:sz w:val="16"/>
          <w:szCs w:val="16"/>
          <w:color w:val="auto"/>
        </w:rPr>
      </w:pPr>
    </w:p>
    <w:p>
      <w:pPr>
        <w:ind w:left="920" w:hanging="311"/>
        <w:spacing w:after="0"/>
        <w:tabs>
          <w:tab w:leader="none" w:pos="9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2017/2019 Treaty expired on a run-off basis effective July 1, 2019 (the “2019 Run-off”).</w:t>
      </w:r>
    </w:p>
    <w:p>
      <w:pPr>
        <w:spacing w:after="0" w:line="19" w:lineRule="exact"/>
        <w:rPr>
          <w:sz w:val="20"/>
          <w:szCs w:val="20"/>
          <w:color w:val="auto"/>
        </w:rPr>
      </w:pPr>
    </w:p>
    <w:p>
      <w:pPr>
        <w:ind w:left="600"/>
        <w:spacing w:after="0"/>
        <w:rPr>
          <w:sz w:val="20"/>
          <w:szCs w:val="20"/>
          <w:color w:val="auto"/>
        </w:rPr>
      </w:pPr>
      <w:r>
        <w:rPr>
          <w:rFonts w:ascii="Arial" w:cs="Arial" w:eastAsia="Arial" w:hAnsi="Arial"/>
          <w:sz w:val="16"/>
          <w:szCs w:val="16"/>
          <w:color w:val="auto"/>
        </w:rPr>
        <w:t>See “Reinsurance” below for changes to our personal lines quota share treaties effective July 1, 2019, 2018 and 2017.</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9" w:name="page50"/>
    <w:bookmarkEnd w:id="49"/>
    <w:p>
      <w:pPr>
        <w:jc w:val="both"/>
        <w:ind w:firstLine="608"/>
        <w:spacing w:after="0" w:line="292" w:lineRule="auto"/>
        <w:rPr>
          <w:sz w:val="20"/>
          <w:szCs w:val="20"/>
          <w:color w:val="auto"/>
        </w:rPr>
      </w:pPr>
      <w:r>
        <w:rPr>
          <w:rFonts w:ascii="Arial" w:cs="Arial" w:eastAsia="Arial" w:hAnsi="Arial"/>
          <w:sz w:val="15"/>
          <w:szCs w:val="15"/>
          <w:color w:val="auto"/>
        </w:rPr>
        <w:t>Net written premiums increased $4,336,000, or 12.0%, to $40,438,000 in Three Months 2019 from $36,102,000 in Three Months 2018. Net written premiums include direct and assumed premiums, less the amount of written premiums ceded under our reinsurance treaties (quota share, excess of loss, and catastrophe). Our personal lines business was subject to the 2017/2019 Treaty under the 2018/2019 Treaty Year through June 30, 2019. Following June 30, 2019, any earned premium and associated claims for policies still inforce will continue to be ceded under the 10% quota share rate until such policies expire (run-off) over the next year. The 2019 Run-off period is from July 1, 2019 through June 30, 2020 and there is no return of unearned premiums under this arrangement. The 2018 Cut-off on July 1, 2018 resulted in a $4,553,000 return of unearned premiums from our reinsurers that were previously ceded under the expiring personal lines quota share treaty.</w:t>
      </w:r>
    </w:p>
    <w:p>
      <w:pPr>
        <w:spacing w:after="0" w:line="160" w:lineRule="exact"/>
        <w:rPr>
          <w:sz w:val="20"/>
          <w:szCs w:val="20"/>
          <w:color w:val="auto"/>
        </w:rPr>
      </w:pPr>
    </w:p>
    <w:p>
      <w:pPr>
        <w:ind w:left="600"/>
        <w:spacing w:after="0"/>
        <w:rPr>
          <w:sz w:val="20"/>
          <w:szCs w:val="20"/>
          <w:color w:val="auto"/>
        </w:rPr>
      </w:pPr>
      <w:r>
        <w:rPr>
          <w:rFonts w:ascii="Arial" w:cs="Arial" w:eastAsia="Arial" w:hAnsi="Arial"/>
          <w:sz w:val="16"/>
          <w:szCs w:val="16"/>
          <w:i w:val="1"/>
          <w:iCs w:val="1"/>
          <w:color w:val="auto"/>
        </w:rPr>
        <w:t>Excess of loss reinsurance treaties</w:t>
      </w:r>
    </w:p>
    <w:p>
      <w:pPr>
        <w:spacing w:after="0" w:line="158" w:lineRule="exact"/>
        <w:rPr>
          <w:sz w:val="20"/>
          <w:szCs w:val="20"/>
          <w:color w:val="auto"/>
        </w:rPr>
      </w:pPr>
    </w:p>
    <w:p>
      <w:pPr>
        <w:jc w:val="both"/>
        <w:ind w:firstLine="608"/>
        <w:spacing w:after="0" w:line="280" w:lineRule="auto"/>
        <w:rPr>
          <w:sz w:val="20"/>
          <w:szCs w:val="20"/>
          <w:color w:val="auto"/>
        </w:rPr>
      </w:pPr>
      <w:r>
        <w:rPr>
          <w:rFonts w:ascii="Arial" w:cs="Arial" w:eastAsia="Arial" w:hAnsi="Arial"/>
          <w:sz w:val="16"/>
          <w:szCs w:val="16"/>
          <w:color w:val="auto"/>
        </w:rPr>
        <w:t>An increase in written premiums will, to a lesser extent, increase the premiums ceded under our excess of loss treaties. In Three Months 2019, our ceded excess of loss reinsurance premiums increased by $122,000 over the comparable ceded premiums for Three Months 2018. The increase is due to an increase in premiums subject to excess of loss reinsurance.</w:t>
      </w:r>
    </w:p>
    <w:p>
      <w:pPr>
        <w:spacing w:after="0" w:line="103" w:lineRule="exact"/>
        <w:rPr>
          <w:sz w:val="20"/>
          <w:szCs w:val="20"/>
          <w:color w:val="auto"/>
        </w:rPr>
      </w:pPr>
    </w:p>
    <w:p>
      <w:pPr>
        <w:ind w:left="600"/>
        <w:spacing w:after="0"/>
        <w:rPr>
          <w:sz w:val="20"/>
          <w:szCs w:val="20"/>
          <w:color w:val="auto"/>
        </w:rPr>
      </w:pPr>
      <w:r>
        <w:rPr>
          <w:rFonts w:ascii="Arial" w:cs="Arial" w:eastAsia="Arial" w:hAnsi="Arial"/>
          <w:sz w:val="16"/>
          <w:szCs w:val="16"/>
          <w:i w:val="1"/>
          <w:iCs w:val="1"/>
          <w:color w:val="auto"/>
        </w:rPr>
        <w:t>Catastrophe reinsurance treaties</w:t>
      </w:r>
    </w:p>
    <w:p>
      <w:pPr>
        <w:spacing w:after="0" w:line="158" w:lineRule="exact"/>
        <w:rPr>
          <w:sz w:val="20"/>
          <w:szCs w:val="20"/>
          <w:color w:val="auto"/>
        </w:rPr>
      </w:pPr>
    </w:p>
    <w:p>
      <w:pPr>
        <w:jc w:val="both"/>
        <w:ind w:firstLine="608"/>
        <w:spacing w:after="0" w:line="270" w:lineRule="auto"/>
        <w:rPr>
          <w:sz w:val="20"/>
          <w:szCs w:val="20"/>
          <w:color w:val="auto"/>
        </w:rPr>
      </w:pPr>
      <w:r>
        <w:rPr>
          <w:rFonts w:ascii="Arial" w:cs="Arial" w:eastAsia="Arial" w:hAnsi="Arial"/>
          <w:sz w:val="16"/>
          <w:szCs w:val="16"/>
          <w:color w:val="auto"/>
        </w:rPr>
        <w:t>Most of the premiums written under our personal lines policies are also subject to our catastrophe treaty. An increase in our personal lines business gives rise to more property exposure, which increases our exposure to catastrophe risk; therefore, our premiums ceded under catastrophe treaties will increase. This results in an increase in premiums ceded under our catastrophe treaty provided that reinsurance rates are stable or are increasing. In Three Months 2019, our premiums ceded under catastrophe treaties increased by $1,289,000 over the comparable ceded premiums for Three Months 2018. The change was due to an increase in our catastrophe limit purchases, an increase in premiums subject to catastrophe reinsurance due to continued growth, and an increase in reinsurance rates. Our ceded catastrophe premiums are paid based on the total direct written premiums subject to the catastrophe reinsurance treaty.</w:t>
      </w:r>
    </w:p>
    <w:p>
      <w:pPr>
        <w:spacing w:after="0" w:line="113" w:lineRule="exact"/>
        <w:rPr>
          <w:sz w:val="20"/>
          <w:szCs w:val="20"/>
          <w:color w:val="auto"/>
        </w:rPr>
      </w:pPr>
    </w:p>
    <w:p>
      <w:pPr>
        <w:ind w:left="600"/>
        <w:spacing w:after="0"/>
        <w:rPr>
          <w:sz w:val="20"/>
          <w:szCs w:val="20"/>
          <w:color w:val="auto"/>
        </w:rPr>
      </w:pPr>
      <w:r>
        <w:rPr>
          <w:rFonts w:ascii="Arial" w:cs="Arial" w:eastAsia="Arial" w:hAnsi="Arial"/>
          <w:sz w:val="16"/>
          <w:szCs w:val="16"/>
          <w:i w:val="1"/>
          <w:iCs w:val="1"/>
          <w:color w:val="auto"/>
        </w:rPr>
        <w:t>Net premiums earned</w:t>
      </w:r>
    </w:p>
    <w:p>
      <w:pPr>
        <w:spacing w:after="0" w:line="158" w:lineRule="exact"/>
        <w:rPr>
          <w:sz w:val="20"/>
          <w:szCs w:val="20"/>
          <w:color w:val="auto"/>
        </w:rPr>
      </w:pPr>
    </w:p>
    <w:p>
      <w:pPr>
        <w:jc w:val="both"/>
        <w:ind w:firstLine="608"/>
        <w:spacing w:after="0" w:line="280" w:lineRule="auto"/>
        <w:rPr>
          <w:sz w:val="20"/>
          <w:szCs w:val="20"/>
          <w:color w:val="auto"/>
        </w:rPr>
      </w:pPr>
      <w:r>
        <w:rPr>
          <w:rFonts w:ascii="Arial" w:cs="Arial" w:eastAsia="Arial" w:hAnsi="Arial"/>
          <w:sz w:val="16"/>
          <w:szCs w:val="16"/>
          <w:color w:val="auto"/>
        </w:rPr>
        <w:t>Net premiums earned increased $6,686,000, or 24.3 %, to $34,220,000 in Three Months 2019 from $27,534,000 in Three Months 2018. The increase was due to the increase in written premiums discussed above and our retaining more earned premiums effective: (1) July 1, 2019 as a result of the expiration and non-renewal of the 2017/2019 Treaty, and (2) July 1, 2018, as a result of the reduction in the quota share reinsurance rates.</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Ceding Commission Revenue</w:t>
      </w:r>
    </w:p>
    <w:p>
      <w:pPr>
        <w:spacing w:after="0" w:line="158" w:lineRule="exact"/>
        <w:rPr>
          <w:sz w:val="20"/>
          <w:szCs w:val="20"/>
          <w:color w:val="auto"/>
        </w:rPr>
      </w:pPr>
    </w:p>
    <w:p>
      <w:pPr>
        <w:jc w:val="both"/>
        <w:ind w:firstLine="608"/>
        <w:spacing w:after="0" w:line="296" w:lineRule="auto"/>
        <w:rPr>
          <w:sz w:val="20"/>
          <w:szCs w:val="20"/>
          <w:color w:val="auto"/>
        </w:rPr>
      </w:pPr>
      <w:r>
        <w:rPr>
          <w:rFonts w:ascii="Arial" w:cs="Arial" w:eastAsia="Arial" w:hAnsi="Arial"/>
          <w:sz w:val="16"/>
          <w:szCs w:val="16"/>
          <w:color w:val="auto"/>
        </w:rPr>
        <w:t>The following table details the quota share provisional ceding commission rates in effect during Three Months 2019 and Three Months 2018. This table should be referred to in conjunction with the discussion for ceding commission revenue that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2360" w:type="dxa"/>
            <w:vAlign w:val="bottom"/>
            <w:tcBorders>
              <w:bottom w:val="single" w:sz="8" w:color="auto"/>
            </w:tcBorders>
          </w:tcPr>
          <w:p>
            <w:pPr>
              <w:spacing w:after="0"/>
              <w:rPr>
                <w:sz w:val="14"/>
                <w:szCs w:val="14"/>
                <w:color w:val="auto"/>
              </w:rPr>
            </w:pPr>
          </w:p>
        </w:tc>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Three months ended</w:t>
            </w:r>
          </w:p>
        </w:tc>
      </w:tr>
      <w:tr>
        <w:trPr>
          <w:trHeight w:val="233"/>
        </w:trPr>
        <w:tc>
          <w:tcPr>
            <w:tcW w:w="5400" w:type="dxa"/>
            <w:vAlign w:val="bottom"/>
          </w:tcPr>
          <w:p>
            <w:pPr>
              <w:spacing w:after="0"/>
              <w:rPr>
                <w:sz w:val="20"/>
                <w:szCs w:val="20"/>
                <w:color w:val="auto"/>
              </w:rPr>
            </w:pPr>
          </w:p>
        </w:tc>
        <w:tc>
          <w:tcPr>
            <w:tcW w:w="236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September 30,</w:t>
            </w:r>
          </w:p>
        </w:tc>
      </w:tr>
      <w:tr>
        <w:trPr>
          <w:trHeight w:val="183"/>
        </w:trPr>
        <w:tc>
          <w:tcPr>
            <w:tcW w:w="5400" w:type="dxa"/>
            <w:vAlign w:val="bottom"/>
          </w:tcPr>
          <w:p>
            <w:pPr>
              <w:spacing w:after="0"/>
              <w:rPr>
                <w:sz w:val="15"/>
                <w:szCs w:val="15"/>
                <w:color w:val="auto"/>
              </w:rPr>
            </w:pPr>
          </w:p>
        </w:tc>
        <w:tc>
          <w:tcPr>
            <w:tcW w:w="2360" w:type="dxa"/>
            <w:vAlign w:val="bottom"/>
            <w:tcBorders>
              <w:bottom w:val="single" w:sz="8" w:color="auto"/>
            </w:tcBorders>
          </w:tcPr>
          <w:p>
            <w:pPr>
              <w:jc w:val="right"/>
              <w:ind w:right="646"/>
              <w:spacing w:after="0"/>
              <w:rPr>
                <w:sz w:val="20"/>
                <w:szCs w:val="20"/>
                <w:color w:val="auto"/>
              </w:rPr>
            </w:pPr>
            <w:r>
              <w:rPr>
                <w:rFonts w:ascii="Arial" w:cs="Arial" w:eastAsia="Arial" w:hAnsi="Arial"/>
                <w:sz w:val="14"/>
                <w:szCs w:val="14"/>
                <w:b w:val="1"/>
                <w:bCs w:val="1"/>
                <w:color w:val="auto"/>
              </w:rPr>
              <w:t>2019</w:t>
            </w:r>
          </w:p>
        </w:tc>
        <w:tc>
          <w:tcPr>
            <w:tcW w:w="3660" w:type="dxa"/>
            <w:vAlign w:val="bottom"/>
            <w:tcBorders>
              <w:bottom w:val="single" w:sz="8" w:color="auto"/>
            </w:tcBorders>
          </w:tcPr>
          <w:p>
            <w:pPr>
              <w:jc w:val="right"/>
              <w:ind w:right="1288"/>
              <w:spacing w:after="0"/>
              <w:rPr>
                <w:sz w:val="20"/>
                <w:szCs w:val="20"/>
                <w:color w:val="auto"/>
              </w:rPr>
            </w:pPr>
            <w:r>
              <w:rPr>
                <w:rFonts w:ascii="Arial" w:cs="Arial" w:eastAsia="Arial" w:hAnsi="Arial"/>
                <w:sz w:val="14"/>
                <w:szCs w:val="14"/>
                <w:b w:val="1"/>
                <w:bCs w:val="1"/>
                <w:color w:val="auto"/>
              </w:rPr>
              <w:t>2018</w:t>
            </w:r>
          </w:p>
        </w:tc>
      </w:tr>
      <w:tr>
        <w:trPr>
          <w:trHeight w:val="182"/>
        </w:trPr>
        <w:tc>
          <w:tcPr>
            <w:tcW w:w="5400" w:type="dxa"/>
            <w:vAlign w:val="bottom"/>
          </w:tcPr>
          <w:p>
            <w:pPr>
              <w:spacing w:after="0"/>
              <w:rPr>
                <w:sz w:val="15"/>
                <w:szCs w:val="15"/>
                <w:color w:val="auto"/>
              </w:rPr>
            </w:pPr>
          </w:p>
        </w:tc>
        <w:tc>
          <w:tcPr>
            <w:tcW w:w="2360" w:type="dxa"/>
            <w:vAlign w:val="bottom"/>
          </w:tcPr>
          <w:p>
            <w:pPr>
              <w:ind w:left="680"/>
              <w:spacing w:after="0"/>
              <w:rPr>
                <w:sz w:val="20"/>
                <w:szCs w:val="20"/>
                <w:color w:val="auto"/>
              </w:rPr>
            </w:pPr>
            <w:r>
              <w:rPr>
                <w:rFonts w:ascii="Arial" w:cs="Arial" w:eastAsia="Arial" w:hAnsi="Arial"/>
                <w:sz w:val="14"/>
                <w:szCs w:val="14"/>
                <w:b w:val="1"/>
                <w:bCs w:val="1"/>
                <w:color w:val="auto"/>
                <w:w w:val="93"/>
              </w:rPr>
              <w:t>("2019/2020 Run-off Year")</w:t>
            </w:r>
          </w:p>
        </w:tc>
        <w:tc>
          <w:tcPr>
            <w:tcW w:w="3660" w:type="dxa"/>
            <w:vAlign w:val="bottom"/>
          </w:tcPr>
          <w:p>
            <w:pPr>
              <w:ind w:left="1360"/>
              <w:spacing w:after="0"/>
              <w:rPr>
                <w:sz w:val="20"/>
                <w:szCs w:val="20"/>
                <w:color w:val="auto"/>
              </w:rPr>
            </w:pPr>
            <w:r>
              <w:rPr>
                <w:rFonts w:ascii="Arial" w:cs="Arial" w:eastAsia="Arial" w:hAnsi="Arial"/>
                <w:sz w:val="14"/>
                <w:szCs w:val="14"/>
                <w:b w:val="1"/>
                <w:bCs w:val="1"/>
                <w:color w:val="auto"/>
              </w:rPr>
              <w:t>("2018/2019 Treaty Year ")</w:t>
            </w:r>
          </w:p>
        </w:tc>
      </w:tr>
      <w:tr>
        <w:trPr>
          <w:trHeight w:val="425"/>
        </w:trPr>
        <w:tc>
          <w:tcPr>
            <w:tcW w:w="5400" w:type="dxa"/>
            <w:vAlign w:val="bottom"/>
          </w:tcPr>
          <w:p>
            <w:pPr>
              <w:spacing w:after="0"/>
              <w:rPr>
                <w:sz w:val="20"/>
                <w:szCs w:val="20"/>
                <w:color w:val="auto"/>
              </w:rPr>
            </w:pPr>
            <w:r>
              <w:rPr>
                <w:rFonts w:ascii="Arial" w:cs="Arial" w:eastAsia="Arial" w:hAnsi="Arial"/>
                <w:sz w:val="16"/>
                <w:szCs w:val="16"/>
                <w:b w:val="1"/>
                <w:bCs w:val="1"/>
                <w:color w:val="auto"/>
              </w:rPr>
              <w:t>Provisional ceding commission rate on quota share treaty</w:t>
            </w:r>
          </w:p>
        </w:tc>
        <w:tc>
          <w:tcPr>
            <w:tcW w:w="23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04"/>
        </w:trPr>
        <w:tc>
          <w:tcPr>
            <w:tcW w:w="5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Personal lines</w:t>
            </w:r>
          </w:p>
        </w:tc>
        <w:tc>
          <w:tcPr>
            <w:tcW w:w="2360" w:type="dxa"/>
            <w:vAlign w:val="bottom"/>
            <w:shd w:val="clear" w:color="auto" w:fill="CCEEFF"/>
          </w:tcPr>
          <w:p>
            <w:pPr>
              <w:jc w:val="right"/>
              <w:ind w:right="546"/>
              <w:spacing w:after="0"/>
              <w:rPr>
                <w:sz w:val="20"/>
                <w:szCs w:val="20"/>
                <w:color w:val="auto"/>
              </w:rPr>
            </w:pPr>
            <w:r>
              <w:rPr>
                <w:rFonts w:ascii="Arial" w:cs="Arial" w:eastAsia="Arial" w:hAnsi="Arial"/>
                <w:sz w:val="16"/>
                <w:szCs w:val="16"/>
                <w:color w:val="auto"/>
              </w:rPr>
              <w:t>0% (1)</w:t>
            </w:r>
          </w:p>
        </w:tc>
        <w:tc>
          <w:tcPr>
            <w:tcW w:w="3660" w:type="dxa"/>
            <w:vAlign w:val="bottom"/>
            <w:shd w:val="clear" w:color="auto" w:fill="CCEEFF"/>
          </w:tcPr>
          <w:p>
            <w:pPr>
              <w:jc w:val="right"/>
              <w:ind w:right="1268"/>
              <w:spacing w:after="0"/>
              <w:rPr>
                <w:sz w:val="20"/>
                <w:szCs w:val="20"/>
                <w:color w:val="auto"/>
              </w:rPr>
            </w:pPr>
            <w:r>
              <w:rPr>
                <w:rFonts w:ascii="Arial" w:cs="Arial" w:eastAsia="Arial" w:hAnsi="Arial"/>
                <w:sz w:val="16"/>
                <w:szCs w:val="16"/>
                <w:color w:val="auto"/>
              </w:rPr>
              <w:t>53%</w:t>
            </w:r>
          </w:p>
        </w:tc>
      </w:tr>
    </w:tbl>
    <w:p>
      <w:pPr>
        <w:spacing w:after="0" w:line="194" w:lineRule="exact"/>
        <w:rPr>
          <w:sz w:val="20"/>
          <w:szCs w:val="20"/>
          <w:color w:val="auto"/>
        </w:rPr>
      </w:pPr>
    </w:p>
    <w:p>
      <w:pPr>
        <w:ind w:left="920" w:hanging="311"/>
        <w:spacing w:after="0" w:line="296" w:lineRule="auto"/>
        <w:tabs>
          <w:tab w:leader="none" w:pos="9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2017/2019 Treaty expired on a run-off basis effective July 1, 2019, allowing for provisional ceding commissions to be earned during the 2019/2020 Run-off Year.</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50" w:name="page51"/>
    <w:bookmarkEnd w:id="50"/>
    <w:p>
      <w:pPr>
        <w:ind w:left="600"/>
        <w:spacing w:after="0"/>
        <w:rPr>
          <w:sz w:val="20"/>
          <w:szCs w:val="20"/>
          <w:color w:val="auto"/>
        </w:rPr>
      </w:pPr>
      <w:r>
        <w:rPr>
          <w:rFonts w:ascii="Arial" w:cs="Arial" w:eastAsia="Arial" w:hAnsi="Arial"/>
          <w:sz w:val="16"/>
          <w:szCs w:val="16"/>
          <w:color w:val="auto"/>
        </w:rPr>
        <w:t>The following table summarizes the changes in the components of ceding commission revenue (in thousands) for the periods indicated: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60" w:type="dxa"/>
            <w:vAlign w:val="bottom"/>
            <w:vMerge w:val="restart"/>
          </w:tcPr>
          <w:p>
            <w:pPr>
              <w:spacing w:after="0"/>
              <w:rPr>
                <w:sz w:val="20"/>
                <w:szCs w:val="20"/>
                <w:color w:val="auto"/>
              </w:rPr>
            </w:pPr>
            <w:r>
              <w:rPr>
                <w:rFonts w:ascii="Arial" w:cs="Arial" w:eastAsia="Arial" w:hAnsi="Arial"/>
                <w:sz w:val="16"/>
                <w:szCs w:val="16"/>
                <w:b w:val="1"/>
                <w:bCs w:val="1"/>
                <w:color w:val="auto"/>
              </w:rPr>
              <w:t>($ in thousands)</w:t>
            </w:r>
          </w:p>
        </w:tc>
        <w:tc>
          <w:tcPr>
            <w:tcW w:w="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6"/>
          </w:tcPr>
          <w:p>
            <w:pPr>
              <w:jc w:val="right"/>
              <w:ind w:right="520"/>
              <w:spacing w:after="0"/>
              <w:rPr>
                <w:sz w:val="20"/>
                <w:szCs w:val="20"/>
                <w:color w:val="auto"/>
              </w:rPr>
            </w:pPr>
            <w:r>
              <w:rPr>
                <w:rFonts w:ascii="Arial" w:cs="Arial" w:eastAsia="Arial" w:hAnsi="Arial"/>
                <w:sz w:val="14"/>
                <w:szCs w:val="14"/>
                <w:b w:val="1"/>
                <w:bCs w:val="1"/>
                <w:color w:val="auto"/>
                <w:w w:val="90"/>
              </w:rPr>
              <w:t>Three months ended September 30,</w:t>
            </w: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6060" w:type="dxa"/>
            <w:vAlign w:val="bottom"/>
            <w:vMerge w:val="continue"/>
          </w:tcPr>
          <w:p>
            <w:pPr>
              <w:spacing w:after="0"/>
              <w:rPr>
                <w:sz w:val="17"/>
                <w:szCs w:val="17"/>
                <w:color w:val="auto"/>
              </w:rPr>
            </w:pPr>
          </w:p>
        </w:tc>
        <w:tc>
          <w:tcPr>
            <w:tcW w:w="74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vMerge w:val="restart"/>
          </w:tcPr>
          <w:p>
            <w:pPr>
              <w:jc w:val="right"/>
              <w:ind w:right="343"/>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Change</w:t>
            </w:r>
          </w:p>
        </w:tc>
        <w:tc>
          <w:tcPr>
            <w:tcW w:w="118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59"/>
        </w:trPr>
        <w:tc>
          <w:tcPr>
            <w:tcW w:w="606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60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Provisional ceding commissions earned</w:t>
            </w:r>
          </w:p>
        </w:tc>
        <w:tc>
          <w:tcPr>
            <w:tcW w:w="74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1,320</w:t>
            </w:r>
          </w:p>
        </w:tc>
        <w:tc>
          <w:tcPr>
            <w:tcW w:w="1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1,255</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65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060" w:type="dxa"/>
            <w:vAlign w:val="bottom"/>
          </w:tcPr>
          <w:p>
            <w:pPr>
              <w:ind w:left="40"/>
              <w:spacing w:after="0"/>
              <w:rPr>
                <w:sz w:val="20"/>
                <w:szCs w:val="20"/>
                <w:color w:val="auto"/>
              </w:rPr>
            </w:pPr>
            <w:r>
              <w:rPr>
                <w:rFonts w:ascii="Arial" w:cs="Arial" w:eastAsia="Arial" w:hAnsi="Arial"/>
                <w:sz w:val="16"/>
                <w:szCs w:val="16"/>
                <w:color w:val="auto"/>
              </w:rPr>
              <w:t>Contingent ceding commissions earned</w:t>
            </w: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6"/>
                <w:szCs w:val="16"/>
                <w:color w:val="auto"/>
              </w:rPr>
              <w:t>(290)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(210)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6"/>
                <w:szCs w:val="16"/>
                <w:color w:val="auto"/>
              </w:rPr>
              <w:t>(80)</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38.1%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tcPr>
          <w:p>
            <w:pPr>
              <w:ind w:left="40"/>
              <w:spacing w:after="0"/>
              <w:rPr>
                <w:sz w:val="20"/>
                <w:szCs w:val="20"/>
                <w:color w:val="auto"/>
              </w:rPr>
            </w:pPr>
            <w:r>
              <w:rPr>
                <w:rFonts w:ascii="Arial" w:cs="Arial" w:eastAsia="Arial" w:hAnsi="Arial"/>
                <w:sz w:val="16"/>
                <w:szCs w:val="16"/>
                <w:color w:val="auto"/>
              </w:rPr>
              <w:t>Total ceding commission revenue</w:t>
            </w:r>
          </w:p>
        </w:tc>
        <w:tc>
          <w:tcPr>
            <w:tcW w:w="740" w:type="dxa"/>
            <w:vAlign w:val="bottom"/>
            <w:gridSpan w:val="2"/>
          </w:tcPr>
          <w:p>
            <w:pPr>
              <w:jc w:val="right"/>
              <w:ind w:right="620"/>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w w:val="89"/>
              </w:rPr>
              <w:t>1,030</w:t>
            </w:r>
          </w:p>
        </w:tc>
        <w:tc>
          <w:tcPr>
            <w:tcW w:w="180" w:type="dxa"/>
            <w:vAlign w:val="bottom"/>
          </w:tcPr>
          <w:p>
            <w:pPr>
              <w:spacing w:after="0"/>
              <w:rPr>
                <w:sz w:val="17"/>
                <w:szCs w:val="17"/>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1,045</w:t>
            </w:r>
          </w:p>
        </w:tc>
        <w:tc>
          <w:tcPr>
            <w:tcW w:w="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6"/>
                <w:szCs w:val="16"/>
                <w:color w:val="auto"/>
              </w:rPr>
              <w:t>(15)</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firstLine="608"/>
        <w:spacing w:after="0" w:line="280" w:lineRule="auto"/>
        <w:rPr>
          <w:sz w:val="20"/>
          <w:szCs w:val="20"/>
          <w:color w:val="auto"/>
        </w:rPr>
      </w:pPr>
      <w:r>
        <w:rPr>
          <w:rFonts w:ascii="Arial" w:cs="Arial" w:eastAsia="Arial" w:hAnsi="Arial"/>
          <w:sz w:val="16"/>
          <w:szCs w:val="16"/>
          <w:color w:val="auto"/>
        </w:rPr>
        <w:t>Ceding commission revenue was $1,030,000 in Three Months 2019 compared to $1,045,000 in Three Months 2018. The decrease of $15,000, or 1.4%, was due to an increase in provisional ceding commissions earned, partially offset by a decrease in contingent ceding commissions earned. See below for discussion of provisional ceding commissions earned and contingent ceding commissions earned.</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Provisional Ceding Commissions Earned</w:t>
      </w:r>
    </w:p>
    <w:p>
      <w:pPr>
        <w:spacing w:after="0" w:line="158" w:lineRule="exact"/>
        <w:rPr>
          <w:sz w:val="20"/>
          <w:szCs w:val="20"/>
          <w:color w:val="auto"/>
        </w:rPr>
      </w:pPr>
    </w:p>
    <w:p>
      <w:pPr>
        <w:jc w:val="both"/>
        <w:ind w:firstLine="608"/>
        <w:spacing w:after="0" w:line="280" w:lineRule="auto"/>
        <w:rPr>
          <w:sz w:val="20"/>
          <w:szCs w:val="20"/>
          <w:color w:val="auto"/>
        </w:rPr>
      </w:pPr>
      <w:r>
        <w:rPr>
          <w:rFonts w:ascii="Arial" w:cs="Arial" w:eastAsia="Arial" w:hAnsi="Arial"/>
          <w:sz w:val="16"/>
          <w:szCs w:val="16"/>
          <w:color w:val="auto"/>
        </w:rPr>
        <w:t>We receive a provisional ceding commission based on ceded written premiums. The $65,000 increase in provisional ceding commissions earned is primarily due the increase in personal lines direct written premiums subject to the quota share before the effective date of the 2019 Run-off and the continuation of ceded earned premiums in the 2019/2020 Run-off Year.</w:t>
      </w:r>
    </w:p>
    <w:p>
      <w:pPr>
        <w:spacing w:after="0" w:line="103" w:lineRule="exact"/>
        <w:rPr>
          <w:sz w:val="20"/>
          <w:szCs w:val="20"/>
          <w:color w:val="auto"/>
        </w:rPr>
      </w:pPr>
    </w:p>
    <w:p>
      <w:pPr>
        <w:ind w:left="600"/>
        <w:spacing w:after="0"/>
        <w:rPr>
          <w:sz w:val="20"/>
          <w:szCs w:val="20"/>
          <w:color w:val="auto"/>
        </w:rPr>
      </w:pPr>
      <w:r>
        <w:rPr>
          <w:rFonts w:ascii="Arial" w:cs="Arial" w:eastAsia="Arial" w:hAnsi="Arial"/>
          <w:sz w:val="16"/>
          <w:szCs w:val="16"/>
          <w:i w:val="1"/>
          <w:iCs w:val="1"/>
          <w:color w:val="auto"/>
        </w:rPr>
        <w:t>Contingent Ceding Commissions Earned</w:t>
      </w:r>
    </w:p>
    <w:p>
      <w:pPr>
        <w:spacing w:after="0" w:line="158" w:lineRule="exact"/>
        <w:rPr>
          <w:sz w:val="20"/>
          <w:szCs w:val="20"/>
          <w:color w:val="auto"/>
        </w:rPr>
      </w:pPr>
    </w:p>
    <w:p>
      <w:pPr>
        <w:jc w:val="both"/>
        <w:ind w:firstLine="608"/>
        <w:spacing w:after="0" w:line="298" w:lineRule="auto"/>
        <w:rPr>
          <w:sz w:val="20"/>
          <w:szCs w:val="20"/>
          <w:color w:val="auto"/>
        </w:rPr>
      </w:pPr>
      <w:r>
        <w:rPr>
          <w:rFonts w:ascii="Arial" w:cs="Arial" w:eastAsia="Arial" w:hAnsi="Arial"/>
          <w:sz w:val="15"/>
          <w:szCs w:val="15"/>
          <w:color w:val="auto"/>
        </w:rPr>
        <w:t>We receive a contingent ceding commission based on a sliding scale in relation to the losses incurred under our quota share treaties. The lower the ceded loss ratio, the more contingent commission we receive. The amount of contingent ceding commissions we are eligible to receive under the 2017/2019 Treaty is subject to change based on losses incurred from claims with accident dates beginning July 1, 2017. The amount of contingent ceding commissions we are eligible to receive under our prior years’ quota share treaties is subject to change based on losses incurred related to claims with accident dates before July 1, 2017.</w:t>
      </w:r>
    </w:p>
    <w:p>
      <w:pPr>
        <w:spacing w:after="0" w:line="93" w:lineRule="exact"/>
        <w:rPr>
          <w:sz w:val="20"/>
          <w:szCs w:val="20"/>
          <w:color w:val="auto"/>
        </w:rPr>
      </w:pPr>
    </w:p>
    <w:p>
      <w:pPr>
        <w:jc w:val="both"/>
        <w:ind w:firstLine="608"/>
        <w:spacing w:after="0" w:line="288" w:lineRule="auto"/>
        <w:rPr>
          <w:sz w:val="20"/>
          <w:szCs w:val="20"/>
          <w:color w:val="auto"/>
        </w:rPr>
      </w:pPr>
      <w:r>
        <w:rPr>
          <w:rFonts w:ascii="Arial" w:cs="Arial" w:eastAsia="Arial" w:hAnsi="Arial"/>
          <w:sz w:val="15"/>
          <w:szCs w:val="15"/>
          <w:color w:val="auto"/>
        </w:rPr>
        <w:t>The 2017/2019 Treaty structure limits the amount of contingent ceding commissions that we can receive by setting a higher provisional commission rate than the rates received in prior years. As a result of the higher upfront provisional ceding commissions that we received under the 2017/2019 Treaty, there is not an opportunity to earn additional contingent ceding commissions under this treaty. Under the 2017/2019 Treaty “net” treaty structure, catastrophe losses in excess of the $5,000,000 retention will fall outside of the quota share treaty and such losses will not have an impact on contingent ceding commissions. In Three Months 2018, catastrophe losses of $1,497,000 were ceded under our personal lines quota share treaty. These catastrophe losses resulted in the Loss Ratios for the period July 1, 2017 through June 30, 2018 (attributable to the 2017/2019 Treaty) being higher than the contractual Loss Ratio at which provisional ceding commissions were being earned. Effective July 1, 2018, the provisional ceding commission rate was a fixed rate with no downward adjustment required related to Loss Ratio; accordingly, in Three Months 2019, catastrophe losses of $808,000 that were ceded under our personal lines quota share treaty did not have an effect on contingent ceding commissions. See “Reinsurance” below for information as to our personal lines quota share treaty effective July 1, 2019, 2018 and 2017.</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51" w:name="page52"/>
    <w:bookmarkEnd w:id="51"/>
    <w:p>
      <w:pPr>
        <w:spacing w:after="0"/>
        <w:rPr>
          <w:sz w:val="20"/>
          <w:szCs w:val="20"/>
          <w:color w:val="auto"/>
        </w:rPr>
      </w:pPr>
      <w:r>
        <w:rPr>
          <w:rFonts w:ascii="Arial" w:cs="Arial" w:eastAsia="Arial" w:hAnsi="Arial"/>
          <w:sz w:val="16"/>
          <w:szCs w:val="16"/>
          <w:u w:val="single" w:color="auto"/>
          <w:color w:val="auto"/>
        </w:rPr>
        <w:t>Net Investment Income</w:t>
      </w:r>
    </w:p>
    <w:p>
      <w:pPr>
        <w:spacing w:after="0" w:line="158" w:lineRule="exact"/>
        <w:rPr>
          <w:sz w:val="20"/>
          <w:szCs w:val="20"/>
          <w:color w:val="auto"/>
        </w:rPr>
      </w:pPr>
    </w:p>
    <w:p>
      <w:pPr>
        <w:jc w:val="both"/>
        <w:ind w:firstLine="608"/>
        <w:spacing w:after="0" w:line="280" w:lineRule="auto"/>
        <w:rPr>
          <w:sz w:val="20"/>
          <w:szCs w:val="20"/>
          <w:color w:val="auto"/>
        </w:rPr>
      </w:pPr>
      <w:r>
        <w:rPr>
          <w:rFonts w:ascii="Arial" w:cs="Arial" w:eastAsia="Arial" w:hAnsi="Arial"/>
          <w:sz w:val="16"/>
          <w:szCs w:val="16"/>
          <w:color w:val="auto"/>
        </w:rPr>
        <w:t>Net investment income was $1,856,000 in Three Months 2019 compared to $1,602,000 in Three Months 2018. The increase of $254,000, or 15.9%, was due to an increase in average invested assets in Three Months 2019. The average yield on invested assets was 3.62% as of September 30, 2019 compared to 3.72% as of September 30, 2018. The pre-tax equivalent yield on invested assets was 3.37% and 3.44% as of September 30, 2019 and 2018, respectively.</w:t>
      </w:r>
    </w:p>
    <w:p>
      <w:pPr>
        <w:spacing w:after="0" w:line="103" w:lineRule="exact"/>
        <w:rPr>
          <w:sz w:val="20"/>
          <w:szCs w:val="20"/>
          <w:color w:val="auto"/>
        </w:rPr>
      </w:pPr>
    </w:p>
    <w:p>
      <w:pPr>
        <w:jc w:val="both"/>
        <w:ind w:firstLine="608"/>
        <w:spacing w:after="0" w:line="296" w:lineRule="auto"/>
        <w:rPr>
          <w:sz w:val="20"/>
          <w:szCs w:val="20"/>
          <w:color w:val="auto"/>
        </w:rPr>
      </w:pPr>
      <w:r>
        <w:rPr>
          <w:rFonts w:ascii="Arial" w:cs="Arial" w:eastAsia="Arial" w:hAnsi="Arial"/>
          <w:sz w:val="16"/>
          <w:szCs w:val="16"/>
          <w:color w:val="auto"/>
        </w:rPr>
        <w:t>Cash and invested assets were $221,610,000 as of September 30, 2019, compared to $196,595,000 as of September 30, 2018. The $25,015,000 increase in cash and invested assets resulted primarily from increased operating cash flows for the period after September 30, 2018.</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Net Gains and Losses on Investments</w:t>
      </w:r>
    </w:p>
    <w:p>
      <w:pPr>
        <w:spacing w:after="0" w:line="158" w:lineRule="exact"/>
        <w:rPr>
          <w:sz w:val="20"/>
          <w:szCs w:val="20"/>
          <w:color w:val="auto"/>
        </w:rPr>
      </w:pPr>
    </w:p>
    <w:p>
      <w:pPr>
        <w:jc w:val="both"/>
        <w:ind w:firstLine="608"/>
        <w:spacing w:after="0" w:line="280" w:lineRule="auto"/>
        <w:rPr>
          <w:sz w:val="20"/>
          <w:szCs w:val="20"/>
          <w:color w:val="auto"/>
        </w:rPr>
      </w:pPr>
      <w:r>
        <w:rPr>
          <w:rFonts w:ascii="Arial" w:cs="Arial" w:eastAsia="Arial" w:hAnsi="Arial"/>
          <w:sz w:val="16"/>
          <w:szCs w:val="16"/>
          <w:color w:val="auto"/>
        </w:rPr>
        <w:t>Net gains on investments were $998,000 and $352,000 in Three Months 2019 and Three Months 2018, respectively. Unrealized gains on our equity securities and other investments were $1,007,000 and $409,000 in Three Months 2019 and Three Months 2018, respectively. Realized losses on sales of investments were $8,000 and $57,000 in Three Months 2019 and Three Months 2018, respectively.</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Other Income</w:t>
      </w:r>
    </w:p>
    <w:p>
      <w:pPr>
        <w:spacing w:after="0" w:line="158" w:lineRule="exact"/>
        <w:rPr>
          <w:sz w:val="20"/>
          <w:szCs w:val="20"/>
          <w:color w:val="auto"/>
        </w:rPr>
      </w:pPr>
    </w:p>
    <w:p>
      <w:pPr>
        <w:jc w:val="both"/>
        <w:ind w:firstLine="608"/>
        <w:spacing w:after="0" w:line="296" w:lineRule="auto"/>
        <w:rPr>
          <w:sz w:val="20"/>
          <w:szCs w:val="20"/>
          <w:color w:val="auto"/>
        </w:rPr>
      </w:pPr>
      <w:r>
        <w:rPr>
          <w:rFonts w:ascii="Arial" w:cs="Arial" w:eastAsia="Arial" w:hAnsi="Arial"/>
          <w:sz w:val="16"/>
          <w:szCs w:val="16"/>
          <w:color w:val="auto"/>
        </w:rPr>
        <w:t>Other income was $496,000 in Three Months 2019 compared to $353,000 in Three Months 2018. The increase of $143,000, or 40.5%, was primarily due to commission revenue from Cosi and an increase in installment and other fees earned in our insurance underwriting business in Three Months 2019.</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Net Loss and LAE</w:t>
      </w:r>
    </w:p>
    <w:p>
      <w:pPr>
        <w:spacing w:after="0" w:line="158" w:lineRule="exact"/>
        <w:rPr>
          <w:sz w:val="20"/>
          <w:szCs w:val="20"/>
          <w:color w:val="auto"/>
        </w:rPr>
      </w:pPr>
    </w:p>
    <w:p>
      <w:pPr>
        <w:jc w:val="both"/>
        <w:ind w:firstLine="608"/>
        <w:spacing w:after="0" w:line="296" w:lineRule="auto"/>
        <w:rPr>
          <w:sz w:val="20"/>
          <w:szCs w:val="20"/>
          <w:color w:val="auto"/>
        </w:rPr>
      </w:pPr>
      <w:r>
        <w:rPr>
          <w:rFonts w:ascii="Arial" w:cs="Arial" w:eastAsia="Arial" w:hAnsi="Arial"/>
          <w:sz w:val="16"/>
          <w:szCs w:val="16"/>
          <w:color w:val="auto"/>
        </w:rPr>
        <w:t>Net loss and LAE was $24,781,000 in Three Months 2019 compared to $13,297,000 in Three Months 2018. The net loss ratio was 72.4% in Three Months 2019 compared to 48.3% in Three Months 2018, an increase of 24.1 percentage points.</w:t>
      </w:r>
    </w:p>
    <w:p>
      <w:pPr>
        <w:spacing w:after="0" w:line="154" w:lineRule="exact"/>
        <w:rPr>
          <w:sz w:val="20"/>
          <w:szCs w:val="20"/>
          <w:color w:val="auto"/>
        </w:rPr>
      </w:pPr>
    </w:p>
    <w:p>
      <w:pPr>
        <w:jc w:val="both"/>
        <w:ind w:firstLine="608"/>
        <w:spacing w:after="0" w:line="296" w:lineRule="auto"/>
        <w:rPr>
          <w:sz w:val="20"/>
          <w:szCs w:val="20"/>
          <w:color w:val="auto"/>
        </w:rPr>
      </w:pPr>
      <w:r>
        <w:rPr>
          <w:rFonts w:ascii="Arial" w:cs="Arial" w:eastAsia="Arial" w:hAnsi="Arial"/>
          <w:sz w:val="16"/>
          <w:szCs w:val="16"/>
          <w:color w:val="auto"/>
        </w:rPr>
        <w:t>The following graph summarizes the changes in the components of net loss ratio for the periods indicated, along with the comparable components excluding commercial lines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1183005</wp:posOffset>
            </wp:positionH>
            <wp:positionV relativeFrom="paragraph">
              <wp:posOffset>103505</wp:posOffset>
            </wp:positionV>
            <wp:extent cx="4898390" cy="38766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898390" cy="3876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(Percent components may not sum to totals due to rounding)</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52" w:name="page53"/>
    <w:bookmarkEnd w:id="52"/>
    <w:p>
      <w:pPr>
        <w:jc w:val="both"/>
        <w:ind w:firstLine="608"/>
        <w:spacing w:after="0" w:line="287" w:lineRule="auto"/>
        <w:rPr>
          <w:sz w:val="20"/>
          <w:szCs w:val="20"/>
          <w:color w:val="auto"/>
        </w:rPr>
      </w:pPr>
      <w:r>
        <w:rPr>
          <w:rFonts w:ascii="Arial" w:cs="Arial" w:eastAsia="Arial" w:hAnsi="Arial"/>
          <w:sz w:val="15"/>
          <w:szCs w:val="15"/>
          <w:color w:val="auto"/>
        </w:rPr>
        <w:t>During Three Months 2019, the net loss ratio increased by 24.1 points compared to Three Months 2018 for several reasons. First, a continued evaluation of case reserve levels resulted in an additional $5.0 million of prior year development for the quarter, impacting the quarterly loss ratio by 14.7 points. This compares to 0.4 points of favorable prior year loss development in Three Months 2018, or an increase in the impact of prior year loss development of 15.1 points. Prior year loss development for the quarter was primarily related to older liability claims, of which, $4.4 million were related to commercial lines liability claims. During the quarter, an external actuarial review was completed that was specific to those lines affected by liability case reserve adjustments made earlier in the year. The external review analyzed the adequacy of a sampling of individual case reserves after the case reserve adjustments. Following this external review, it was determined that additional adjustments to IBNR and expected ultimate losses for prior years were needed. This resulted in the additional prior year loss development recorded during the Three Months 2019. Excluding commercial lines, the impact of prior year development in Three Months 2019 was 2.0 points, compared to 1.5 points of favorable prior year development in Three Months 2018, or an increase in the impact of prior year development of 3.5 points. The impact from catastrophe losses during the Three Months 2019 was 1.3 points, compared to a 1.4 point impact from catastrophes for the Three Months 2018, or a reduction in the impact of catastrophes of 0.1 point.</w:t>
      </w:r>
    </w:p>
    <w:p>
      <w:pPr>
        <w:spacing w:after="0" w:line="167" w:lineRule="exact"/>
        <w:rPr>
          <w:sz w:val="20"/>
          <w:szCs w:val="20"/>
          <w:color w:val="auto"/>
        </w:rPr>
      </w:pPr>
    </w:p>
    <w:p>
      <w:pPr>
        <w:jc w:val="both"/>
        <w:ind w:firstLine="608"/>
        <w:spacing w:after="0" w:line="292" w:lineRule="auto"/>
        <w:rPr>
          <w:sz w:val="20"/>
          <w:szCs w:val="20"/>
          <w:color w:val="auto"/>
        </w:rPr>
      </w:pPr>
      <w:r>
        <w:rPr>
          <w:rFonts w:ascii="Arial" w:cs="Arial" w:eastAsia="Arial" w:hAnsi="Arial"/>
          <w:sz w:val="15"/>
          <w:szCs w:val="15"/>
          <w:color w:val="auto"/>
        </w:rPr>
        <w:t>The underlying loss ratio excluding the impact of catastrophes and prior year development was 56.4% in Three Months 2019, compared to 47.3% in Three Months 2018, an increase of 9.1 points. The underlying loss ratio increased for three reasons. First, continued higher claim severity was observed for personal lines related to non-weather related water claims. Second, fire claim activity was unusually high for Three Months 2019 in personal lines. Third, the external actuarial review of reserve levels resulted in a higher commercial lines loss ratio expectation for the current accident year than was recorded for Three Months 2018. Excluding commercial lines, the underlying loss ratio excluding the impact of catastrophes and prior year development was 51.4% in Three Months 2019, compared to 45.9% in Three Months 2018, or an increase of 5.5 points. See table below under “Additional Financial Information” summarizing net loss ratios by line of business.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Commission Expense</w:t>
      </w:r>
    </w:p>
    <w:p>
      <w:pPr>
        <w:spacing w:after="0" w:line="221" w:lineRule="exact"/>
        <w:rPr>
          <w:sz w:val="20"/>
          <w:szCs w:val="20"/>
          <w:color w:val="auto"/>
        </w:rPr>
      </w:pPr>
    </w:p>
    <w:p>
      <w:pPr>
        <w:jc w:val="both"/>
        <w:ind w:firstLine="608"/>
        <w:spacing w:after="0" w:line="275" w:lineRule="auto"/>
        <w:rPr>
          <w:sz w:val="20"/>
          <w:szCs w:val="20"/>
          <w:color w:val="auto"/>
        </w:rPr>
      </w:pPr>
      <w:r>
        <w:rPr>
          <w:rFonts w:ascii="Arial" w:cs="Arial" w:eastAsia="Arial" w:hAnsi="Arial"/>
          <w:sz w:val="16"/>
          <w:szCs w:val="16"/>
          <w:color w:val="auto"/>
        </w:rPr>
        <w:t>Commission expense was $7,779,000 in Three Months 2019 or 18.8% of direct earned premiums. Commission expense was $6,594,000 in Three Months 2018 or 19.2% of direct earned premiums. The increase of $1,185,000 is due to the increase in direct earned premiums in Three Months 2019 as compared to Three Months 2018. The decrease in commission rate was due to the decrease in commercial lines premiums related to our decision to stop writing theses lines beginning in July 2019. Commercial lines has a lower average commission rate than our other continuing lines of business.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53" w:name="page54"/>
    <w:bookmarkEnd w:id="53"/>
    <w:p>
      <w:pPr>
        <w:spacing w:after="0"/>
        <w:rPr>
          <w:sz w:val="20"/>
          <w:szCs w:val="20"/>
          <w:color w:val="auto"/>
        </w:rPr>
      </w:pPr>
      <w:r>
        <w:rPr>
          <w:rFonts w:ascii="Arial" w:cs="Arial" w:eastAsia="Arial" w:hAnsi="Arial"/>
          <w:sz w:val="16"/>
          <w:szCs w:val="16"/>
          <w:u w:val="single" w:color="auto"/>
          <w:color w:val="auto"/>
        </w:rPr>
        <w:t>Other Underwriting Expenses</w:t>
      </w:r>
    </w:p>
    <w:p>
      <w:pPr>
        <w:spacing w:after="0" w:line="158" w:lineRule="exact"/>
        <w:rPr>
          <w:sz w:val="20"/>
          <w:szCs w:val="20"/>
          <w:color w:val="auto"/>
        </w:rPr>
      </w:pPr>
    </w:p>
    <w:p>
      <w:pPr>
        <w:jc w:val="both"/>
        <w:ind w:firstLine="608"/>
        <w:spacing w:after="0" w:line="294" w:lineRule="auto"/>
        <w:rPr>
          <w:sz w:val="20"/>
          <w:szCs w:val="20"/>
          <w:color w:val="auto"/>
        </w:rPr>
      </w:pPr>
      <w:r>
        <w:rPr>
          <w:rFonts w:ascii="Arial" w:cs="Arial" w:eastAsia="Arial" w:hAnsi="Arial"/>
          <w:sz w:val="15"/>
          <w:szCs w:val="15"/>
          <w:color w:val="auto"/>
        </w:rPr>
        <w:t>Other underwriting expenses were $6,431,000 in Three Months 2019 compared to $5,194,000 in Three Months 2018. The increase of $1,237,000, or 23.8%, was primarily due to expenses related to growth in direct written premiums. Expenses directly related to the increase in direct written premiums primarily consist of underwriting expenses, software usage fees, and state premium taxes. Expenses indirectly related to the increase in direct written premiums primarily consist of salaries along with related other employment costs. The 23.8% increase in other underwriting expenses was greater than the 18.7% increase in total direct written premiums. The greater increase in other underwriting expenses compared to direct written premium growth is primarily due to the decline in commercial lines premiums written.</w:t>
      </w:r>
    </w:p>
    <w:p>
      <w:pPr>
        <w:spacing w:after="0" w:line="96" w:lineRule="exact"/>
        <w:rPr>
          <w:sz w:val="20"/>
          <w:szCs w:val="20"/>
          <w:color w:val="auto"/>
        </w:rPr>
      </w:pPr>
    </w:p>
    <w:p>
      <w:pPr>
        <w:jc w:val="both"/>
        <w:ind w:firstLine="608"/>
        <w:spacing w:after="0" w:line="307" w:lineRule="auto"/>
        <w:rPr>
          <w:sz w:val="20"/>
          <w:szCs w:val="20"/>
          <w:color w:val="auto"/>
        </w:rPr>
      </w:pPr>
      <w:r>
        <w:rPr>
          <w:rFonts w:ascii="Arial" w:cs="Arial" w:eastAsia="Arial" w:hAnsi="Arial"/>
          <w:sz w:val="15"/>
          <w:szCs w:val="15"/>
          <w:color w:val="auto"/>
        </w:rPr>
        <w:t>The largest single component of other underwriting expenses is salaries and employment costs, with costs of $2,737,000 in Three Months 2019 compared to $2,339,000 in Three Months 2018. The increase of $398,000, or 17.0%, was less than the 18.7% increase in total direct written premiums. The increase in employment costs was due to hiring of additional staff to service our current level of business and anticipated growth in volume, as well as annual increases in salaries.</w:t>
      </w:r>
    </w:p>
    <w:p>
      <w:pPr>
        <w:spacing w:after="0" w:line="85" w:lineRule="exact"/>
        <w:rPr>
          <w:sz w:val="20"/>
          <w:szCs w:val="20"/>
          <w:color w:val="auto"/>
        </w:rPr>
      </w:pPr>
    </w:p>
    <w:p>
      <w:pPr>
        <w:jc w:val="both"/>
        <w:ind w:firstLine="608"/>
        <w:spacing w:after="0" w:line="296" w:lineRule="auto"/>
        <w:rPr>
          <w:sz w:val="20"/>
          <w:szCs w:val="20"/>
          <w:color w:val="auto"/>
        </w:rPr>
      </w:pPr>
      <w:r>
        <w:rPr>
          <w:rFonts w:ascii="Arial" w:cs="Arial" w:eastAsia="Arial" w:hAnsi="Arial"/>
          <w:sz w:val="16"/>
          <w:szCs w:val="16"/>
          <w:color w:val="auto"/>
        </w:rPr>
        <w:t>Our net underwriting expense ratio in Three Months 2019 was 37.5% compared to 37.7% in Three Months 2018. The following table shows the individual components of our net underwriting expense ratio for the periods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60" w:type="dxa"/>
            <w:vAlign w:val="bottom"/>
          </w:tcPr>
          <w:p>
            <w:pPr>
              <w:spacing w:after="0"/>
              <w:rPr>
                <w:sz w:val="14"/>
                <w:szCs w:val="14"/>
                <w:color w:val="auto"/>
              </w:rPr>
            </w:pPr>
          </w:p>
        </w:tc>
        <w:tc>
          <w:tcPr>
            <w:tcW w:w="2740" w:type="dxa"/>
            <w:vAlign w:val="bottom"/>
            <w:gridSpan w:val="7"/>
          </w:tcPr>
          <w:p>
            <w:pPr>
              <w:jc w:val="right"/>
              <w:ind w:right="440"/>
              <w:spacing w:after="0"/>
              <w:rPr>
                <w:sz w:val="20"/>
                <w:szCs w:val="20"/>
                <w:color w:val="auto"/>
              </w:rPr>
            </w:pPr>
            <w:r>
              <w:rPr>
                <w:rFonts w:ascii="Arial" w:cs="Arial" w:eastAsia="Arial" w:hAnsi="Arial"/>
                <w:sz w:val="14"/>
                <w:szCs w:val="14"/>
                <w:b w:val="1"/>
                <w:bCs w:val="1"/>
                <w:color w:val="auto"/>
                <w:w w:val="96"/>
              </w:rPr>
              <w:t>Three months ended September 30,</w:t>
            </w:r>
          </w:p>
        </w:tc>
        <w:tc>
          <w:tcPr>
            <w:tcW w:w="122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0"/>
              </w:rPr>
              <w:t>Percentage Point</w:t>
            </w:r>
          </w:p>
        </w:tc>
        <w:tc>
          <w:tcPr>
            <w:tcW w:w="0" w:type="dxa"/>
            <w:vAlign w:val="bottom"/>
          </w:tcPr>
          <w:p>
            <w:pPr>
              <w:spacing w:after="0"/>
              <w:rPr>
                <w:sz w:val="1"/>
                <w:szCs w:val="1"/>
                <w:color w:val="auto"/>
              </w:rPr>
            </w:pPr>
          </w:p>
        </w:tc>
      </w:tr>
      <w:tr>
        <w:trPr>
          <w:trHeight w:val="139"/>
        </w:trPr>
        <w:tc>
          <w:tcPr>
            <w:tcW w:w="746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46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Change</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8220" w:type="dxa"/>
            <w:vAlign w:val="bottom"/>
            <w:gridSpan w:val="2"/>
          </w:tcPr>
          <w:p>
            <w:pPr>
              <w:spacing w:after="0"/>
              <w:rPr>
                <w:sz w:val="20"/>
                <w:szCs w:val="20"/>
                <w:color w:val="auto"/>
              </w:rPr>
            </w:pPr>
            <w:r>
              <w:rPr>
                <w:rFonts w:ascii="Arial" w:cs="Arial" w:eastAsia="Arial" w:hAnsi="Arial"/>
                <w:sz w:val="16"/>
                <w:szCs w:val="16"/>
                <w:color w:val="auto"/>
              </w:rPr>
              <w:t>Other underwriting expenses</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82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Employment costs</w:t>
            </w:r>
          </w:p>
        </w:tc>
        <w:tc>
          <w:tcPr>
            <w:tcW w:w="6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8.0%</w:t>
            </w:r>
          </w:p>
        </w:tc>
        <w:tc>
          <w:tcPr>
            <w:tcW w:w="13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8.5%</w:t>
            </w:r>
          </w:p>
        </w:tc>
        <w:tc>
          <w:tcPr>
            <w:tcW w:w="12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03"/>
        </w:trPr>
        <w:tc>
          <w:tcPr>
            <w:tcW w:w="8220" w:type="dxa"/>
            <w:vAlign w:val="bottom"/>
            <w:gridSpan w:val="2"/>
          </w:tcPr>
          <w:p>
            <w:pPr>
              <w:ind w:left="200"/>
              <w:spacing w:after="0"/>
              <w:rPr>
                <w:sz w:val="20"/>
                <w:szCs w:val="20"/>
                <w:color w:val="auto"/>
              </w:rPr>
            </w:pPr>
            <w:r>
              <w:rPr>
                <w:rFonts w:ascii="Arial" w:cs="Arial" w:eastAsia="Arial" w:hAnsi="Arial"/>
                <w:sz w:val="16"/>
                <w:szCs w:val="16"/>
                <w:color w:val="auto"/>
              </w:rPr>
              <w:t>Underwriting fees (inspections/data services)</w:t>
            </w:r>
          </w:p>
        </w:tc>
        <w:tc>
          <w:tcPr>
            <w:tcW w:w="600" w:type="dxa"/>
            <w:vAlign w:val="bottom"/>
            <w:gridSpan w:val="3"/>
          </w:tcPr>
          <w:p>
            <w:pPr>
              <w:jc w:val="right"/>
              <w:ind w:right="260"/>
              <w:spacing w:after="0"/>
              <w:rPr>
                <w:sz w:val="20"/>
                <w:szCs w:val="20"/>
                <w:color w:val="auto"/>
              </w:rPr>
            </w:pPr>
            <w:r>
              <w:rPr>
                <w:rFonts w:ascii="Arial" w:cs="Arial" w:eastAsia="Arial" w:hAnsi="Arial"/>
                <w:sz w:val="16"/>
                <w:szCs w:val="16"/>
                <w:color w:val="auto"/>
              </w:rPr>
              <w:t>2.3</w:t>
            </w:r>
          </w:p>
        </w:tc>
        <w:tc>
          <w:tcPr>
            <w:tcW w:w="1380" w:type="dxa"/>
            <w:vAlign w:val="bottom"/>
            <w:gridSpan w:val="3"/>
          </w:tcPr>
          <w:p>
            <w:pPr>
              <w:jc w:val="right"/>
              <w:ind w:right="280"/>
              <w:spacing w:after="0"/>
              <w:rPr>
                <w:sz w:val="20"/>
                <w:szCs w:val="20"/>
                <w:color w:val="auto"/>
              </w:rPr>
            </w:pPr>
            <w:r>
              <w:rPr>
                <w:rFonts w:ascii="Arial" w:cs="Arial" w:eastAsia="Arial" w:hAnsi="Arial"/>
                <w:sz w:val="16"/>
                <w:szCs w:val="16"/>
                <w:color w:val="auto"/>
              </w:rPr>
              <w:t>2.4</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(0.1)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Other expenses</w:t>
            </w:r>
          </w:p>
        </w:tc>
        <w:tc>
          <w:tcPr>
            <w:tcW w:w="7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2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220" w:type="dxa"/>
            <w:vAlign w:val="bottom"/>
            <w:gridSpan w:val="2"/>
          </w:tcPr>
          <w:p>
            <w:pPr>
              <w:ind w:left="40"/>
              <w:spacing w:after="0"/>
              <w:rPr>
                <w:sz w:val="20"/>
                <w:szCs w:val="20"/>
                <w:color w:val="auto"/>
              </w:rPr>
            </w:pPr>
            <w:r>
              <w:rPr>
                <w:rFonts w:ascii="Arial" w:cs="Arial" w:eastAsia="Arial" w:hAnsi="Arial"/>
                <w:sz w:val="16"/>
                <w:szCs w:val="16"/>
                <w:color w:val="auto"/>
              </w:rPr>
              <w:t>Total other underwriting expenses</w:t>
            </w:r>
          </w:p>
        </w:tc>
        <w:tc>
          <w:tcPr>
            <w:tcW w:w="600" w:type="dxa"/>
            <w:vAlign w:val="bottom"/>
            <w:gridSpan w:val="3"/>
          </w:tcPr>
          <w:p>
            <w:pPr>
              <w:jc w:val="right"/>
              <w:ind w:right="260"/>
              <w:spacing w:after="0"/>
              <w:rPr>
                <w:sz w:val="20"/>
                <w:szCs w:val="20"/>
                <w:color w:val="auto"/>
              </w:rPr>
            </w:pPr>
            <w:r>
              <w:rPr>
                <w:rFonts w:ascii="Arial" w:cs="Arial" w:eastAsia="Arial" w:hAnsi="Arial"/>
                <w:sz w:val="16"/>
                <w:szCs w:val="16"/>
                <w:color w:val="auto"/>
              </w:rPr>
              <w:t>18.9</w:t>
            </w:r>
          </w:p>
        </w:tc>
        <w:tc>
          <w:tcPr>
            <w:tcW w:w="1040" w:type="dxa"/>
            <w:vAlign w:val="bottom"/>
          </w:tcPr>
          <w:p>
            <w:pPr>
              <w:jc w:val="right"/>
              <w:spacing w:after="0"/>
              <w:rPr>
                <w:sz w:val="20"/>
                <w:szCs w:val="20"/>
                <w:color w:val="auto"/>
              </w:rPr>
            </w:pPr>
            <w:r>
              <w:rPr>
                <w:rFonts w:ascii="Arial" w:cs="Arial" w:eastAsia="Arial" w:hAnsi="Arial"/>
                <w:sz w:val="16"/>
                <w:szCs w:val="16"/>
                <w:color w:val="auto"/>
              </w:rPr>
              <w:t>18.8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46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20" w:type="dxa"/>
            <w:vAlign w:val="bottom"/>
            <w:gridSpan w:val="2"/>
          </w:tcPr>
          <w:p>
            <w:pPr>
              <w:ind w:left="40"/>
              <w:spacing w:after="0"/>
              <w:rPr>
                <w:sz w:val="20"/>
                <w:szCs w:val="20"/>
                <w:color w:val="auto"/>
              </w:rPr>
            </w:pPr>
            <w:r>
              <w:rPr>
                <w:rFonts w:ascii="Arial" w:cs="Arial" w:eastAsia="Arial" w:hAnsi="Arial"/>
                <w:sz w:val="16"/>
                <w:szCs w:val="16"/>
                <w:color w:val="auto"/>
              </w:rPr>
              <w:t>Ceding commission revenue</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Provisional</w:t>
            </w:r>
          </w:p>
        </w:tc>
        <w:tc>
          <w:tcPr>
            <w:tcW w:w="6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(3.9)</w:t>
            </w: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(4.6)</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460" w:type="dxa"/>
            <w:vAlign w:val="bottom"/>
          </w:tcPr>
          <w:p>
            <w:pPr>
              <w:ind w:left="200"/>
              <w:spacing w:after="0"/>
              <w:rPr>
                <w:sz w:val="20"/>
                <w:szCs w:val="20"/>
                <w:color w:val="auto"/>
              </w:rPr>
            </w:pPr>
            <w:r>
              <w:rPr>
                <w:rFonts w:ascii="Arial" w:cs="Arial" w:eastAsia="Arial" w:hAnsi="Arial"/>
                <w:sz w:val="16"/>
                <w:szCs w:val="16"/>
                <w:color w:val="auto"/>
              </w:rPr>
              <w:t>Contingent</w:t>
            </w:r>
          </w:p>
        </w:tc>
        <w:tc>
          <w:tcPr>
            <w:tcW w:w="7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2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Total ceding commission revene</w:t>
            </w:r>
          </w:p>
        </w:tc>
        <w:tc>
          <w:tcPr>
            <w:tcW w:w="6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(3.1)</w:t>
            </w: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(3.8)</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460" w:type="dxa"/>
            <w:vAlign w:val="bottom"/>
            <w:tcBorders>
              <w:top w:val="single" w:sz="8" w:color="CCEEFF"/>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Other income</w:t>
            </w:r>
          </w:p>
        </w:tc>
        <w:tc>
          <w:tcPr>
            <w:tcW w:w="6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(1.0)</w:t>
            </w: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(1.2)</w:t>
            </w: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8"/>
        </w:trPr>
        <w:tc>
          <w:tcPr>
            <w:tcW w:w="8220" w:type="dxa"/>
            <w:vAlign w:val="bottom"/>
            <w:gridSpan w:val="2"/>
          </w:tcPr>
          <w:p>
            <w:pPr>
              <w:ind w:left="80"/>
              <w:spacing w:after="0"/>
              <w:rPr>
                <w:sz w:val="20"/>
                <w:szCs w:val="20"/>
                <w:color w:val="auto"/>
              </w:rPr>
            </w:pPr>
            <w:r>
              <w:rPr>
                <w:rFonts w:ascii="Arial" w:cs="Arial" w:eastAsia="Arial" w:hAnsi="Arial"/>
                <w:sz w:val="16"/>
                <w:szCs w:val="16"/>
                <w:color w:val="auto"/>
              </w:rPr>
              <w:t>Commission expense</w:t>
            </w:r>
          </w:p>
        </w:tc>
        <w:tc>
          <w:tcPr>
            <w:tcW w:w="600" w:type="dxa"/>
            <w:vAlign w:val="bottom"/>
            <w:gridSpan w:val="3"/>
          </w:tcPr>
          <w:p>
            <w:pPr>
              <w:jc w:val="right"/>
              <w:ind w:right="260"/>
              <w:spacing w:after="0"/>
              <w:rPr>
                <w:sz w:val="20"/>
                <w:szCs w:val="20"/>
                <w:color w:val="auto"/>
              </w:rPr>
            </w:pPr>
            <w:r>
              <w:rPr>
                <w:rFonts w:ascii="Arial" w:cs="Arial" w:eastAsia="Arial" w:hAnsi="Arial"/>
                <w:sz w:val="16"/>
                <w:szCs w:val="16"/>
                <w:color w:val="auto"/>
              </w:rPr>
              <w:t>22.7</w:t>
            </w:r>
          </w:p>
        </w:tc>
        <w:tc>
          <w:tcPr>
            <w:tcW w:w="1380" w:type="dxa"/>
            <w:vAlign w:val="bottom"/>
            <w:gridSpan w:val="3"/>
          </w:tcPr>
          <w:p>
            <w:pPr>
              <w:jc w:val="right"/>
              <w:ind w:right="280"/>
              <w:spacing w:after="0"/>
              <w:rPr>
                <w:sz w:val="20"/>
                <w:szCs w:val="20"/>
                <w:color w:val="auto"/>
              </w:rPr>
            </w:pPr>
            <w:r>
              <w:rPr>
                <w:rFonts w:ascii="Arial" w:cs="Arial" w:eastAsia="Arial" w:hAnsi="Arial"/>
                <w:sz w:val="16"/>
                <w:szCs w:val="16"/>
                <w:color w:val="auto"/>
              </w:rPr>
              <w:t>23.9</w:t>
            </w:r>
          </w:p>
        </w:tc>
        <w:tc>
          <w:tcPr>
            <w:tcW w:w="1220" w:type="dxa"/>
            <w:vAlign w:val="bottom"/>
            <w:gridSpan w:val="3"/>
          </w:tcPr>
          <w:p>
            <w:pPr>
              <w:jc w:val="right"/>
              <w:ind w:right="8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3"/>
        </w:trPr>
        <w:tc>
          <w:tcPr>
            <w:tcW w:w="746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20" w:type="dxa"/>
            <w:vAlign w:val="bottom"/>
            <w:gridSpan w:val="2"/>
          </w:tcPr>
          <w:p>
            <w:pPr>
              <w:ind w:left="80"/>
              <w:spacing w:after="0"/>
              <w:rPr>
                <w:sz w:val="20"/>
                <w:szCs w:val="20"/>
                <w:color w:val="auto"/>
              </w:rPr>
            </w:pPr>
            <w:r>
              <w:rPr>
                <w:rFonts w:ascii="Arial" w:cs="Arial" w:eastAsia="Arial" w:hAnsi="Arial"/>
                <w:sz w:val="16"/>
                <w:szCs w:val="16"/>
                <w:color w:val="auto"/>
              </w:rPr>
              <w:t>Net underwriting expense ratio</w:t>
            </w:r>
          </w:p>
        </w:tc>
        <w:tc>
          <w:tcPr>
            <w:tcW w:w="600" w:type="dxa"/>
            <w:vAlign w:val="bottom"/>
            <w:gridSpan w:val="3"/>
          </w:tcPr>
          <w:p>
            <w:pPr>
              <w:jc w:val="right"/>
              <w:ind w:right="120"/>
              <w:spacing w:after="0"/>
              <w:rPr>
                <w:sz w:val="20"/>
                <w:szCs w:val="20"/>
                <w:color w:val="auto"/>
              </w:rPr>
            </w:pPr>
            <w:r>
              <w:rPr>
                <w:rFonts w:ascii="Arial" w:cs="Arial" w:eastAsia="Arial" w:hAnsi="Arial"/>
                <w:sz w:val="16"/>
                <w:szCs w:val="16"/>
                <w:color w:val="auto"/>
              </w:rPr>
              <w:t>37.5%</w:t>
            </w:r>
          </w:p>
        </w:tc>
        <w:tc>
          <w:tcPr>
            <w:tcW w:w="1380" w:type="dxa"/>
            <w:vAlign w:val="bottom"/>
            <w:gridSpan w:val="3"/>
          </w:tcPr>
          <w:p>
            <w:pPr>
              <w:jc w:val="right"/>
              <w:ind w:right="140"/>
              <w:spacing w:after="0"/>
              <w:rPr>
                <w:sz w:val="20"/>
                <w:szCs w:val="20"/>
                <w:color w:val="auto"/>
              </w:rPr>
            </w:pPr>
            <w:r>
              <w:rPr>
                <w:rFonts w:ascii="Arial" w:cs="Arial" w:eastAsia="Arial" w:hAnsi="Arial"/>
                <w:sz w:val="16"/>
                <w:szCs w:val="16"/>
                <w:color w:val="auto"/>
              </w:rPr>
              <w:t>37.7%</w:t>
            </w:r>
          </w:p>
        </w:tc>
        <w:tc>
          <w:tcPr>
            <w:tcW w:w="1220" w:type="dxa"/>
            <w:vAlign w:val="bottom"/>
            <w:gridSpan w:val="3"/>
          </w:tcPr>
          <w:p>
            <w:pPr>
              <w:jc w:val="right"/>
              <w:ind w:right="8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
        </w:trPr>
        <w:tc>
          <w:tcPr>
            <w:tcW w:w="7460" w:type="dxa"/>
            <w:vAlign w:val="bottom"/>
            <w:vMerge w:val="restart"/>
          </w:tcPr>
          <w:p>
            <w:pPr>
              <w:ind w:left="5640"/>
              <w:spacing w:after="0"/>
              <w:rPr>
                <w:sz w:val="20"/>
                <w:szCs w:val="20"/>
                <w:color w:val="auto"/>
              </w:rPr>
            </w:pPr>
            <w:r>
              <w:rPr>
                <w:rFonts w:ascii="Arial" w:cs="Arial" w:eastAsia="Arial" w:hAnsi="Arial"/>
                <w:sz w:val="16"/>
                <w:szCs w:val="16"/>
                <w:color w:val="auto"/>
              </w:rPr>
              <w:t>52</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7460" w:type="dxa"/>
            <w:vAlign w:val="bottom"/>
            <w:tcBorders>
              <w:bottom w:val="single" w:sz="8" w:color="auto"/>
            </w:tcBorders>
            <w:vMerge w:val="continue"/>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85" w:right="239" w:bottom="1440" w:gutter="0" w:footer="0" w:header="0"/>
        </w:sectPr>
      </w:pPr>
    </w:p>
    <w:bookmarkStart w:id="54" w:name="page55"/>
    <w:bookmarkEnd w:id="54"/>
    <w:p>
      <w:pPr>
        <w:jc w:val="both"/>
        <w:ind w:firstLine="608"/>
        <w:spacing w:after="0" w:line="275" w:lineRule="auto"/>
        <w:rPr>
          <w:sz w:val="20"/>
          <w:szCs w:val="20"/>
          <w:color w:val="auto"/>
        </w:rPr>
      </w:pPr>
      <w:r>
        <w:rPr>
          <w:rFonts w:ascii="Arial" w:cs="Arial" w:eastAsia="Arial" w:hAnsi="Arial"/>
          <w:sz w:val="16"/>
          <w:szCs w:val="16"/>
          <w:color w:val="auto"/>
        </w:rPr>
        <w:t>The overall 0.7 percentage point increase in provisional ceding commissions was driven entirely by the change in our quota share ceding rates and its impact on provisional ceding commission revenue due to the additional retention resulting from the cut-off to our quota share treaty on July 1, 2018 and run-off to our expired quota share treaty on July 1, 2019. The components of our net underwriting expense ratio related to other underwriting expenses, other income and commissions improved in nearly all categories, resulting in an overall 0.2 percentage point decrease in the net underwriting expense ratio.</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Other Operating Expenses</w:t>
      </w:r>
    </w:p>
    <w:p>
      <w:pPr>
        <w:spacing w:after="0" w:line="158" w:lineRule="exact"/>
        <w:rPr>
          <w:sz w:val="20"/>
          <w:szCs w:val="20"/>
          <w:color w:val="auto"/>
        </w:rPr>
      </w:pPr>
    </w:p>
    <w:p>
      <w:pPr>
        <w:jc w:val="both"/>
        <w:ind w:firstLine="608"/>
        <w:spacing w:after="0" w:line="269" w:lineRule="auto"/>
        <w:rPr>
          <w:sz w:val="20"/>
          <w:szCs w:val="20"/>
          <w:color w:val="auto"/>
        </w:rPr>
      </w:pPr>
      <w:r>
        <w:rPr>
          <w:rFonts w:ascii="Arial" w:cs="Arial" w:eastAsia="Arial" w:hAnsi="Arial"/>
          <w:sz w:val="16"/>
          <w:szCs w:val="16"/>
          <w:color w:val="auto"/>
        </w:rPr>
        <w:t>Other operating expenses, related to the expenses of our holding company and Cosi, were $705,000 for Three Months 2019 compared to $683,000 for Three Months 2018. The increase in Three Months 2019 of $22,000, or 3.2%, compared to Three Months 2018, was primarily due to increases in equity compensation, salaries, professional fees and Cosi commission expense, partially offset by a decrease in executive bonuses. The increase in salary was due to the initial hiring of staff for Cosi and the increase in equity compensation was due to 2019 annual restricted stock awards to directors and executives. Executive bonus compensation is accrued pursuant to the employment agreement effective January 1, 2017 with Barry B. Goldstein, our Executive Chairman and current Chief Executive Officer. The bonus is a one-time payment computed at the end of the three-year period ended December 31, 2019, and as of September 30, 2019 the three-year computation did not meet the required terms of profitability, resulting in the reversal of $698,000 previously accrued.</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Depreciation and Amortization</w:t>
      </w:r>
    </w:p>
    <w:p>
      <w:pPr>
        <w:spacing w:after="0" w:line="158" w:lineRule="exact"/>
        <w:rPr>
          <w:sz w:val="20"/>
          <w:szCs w:val="20"/>
          <w:color w:val="auto"/>
        </w:rPr>
      </w:pPr>
    </w:p>
    <w:p>
      <w:pPr>
        <w:jc w:val="both"/>
        <w:ind w:firstLine="608"/>
        <w:spacing w:after="0" w:line="337" w:lineRule="auto"/>
        <w:rPr>
          <w:sz w:val="20"/>
          <w:szCs w:val="20"/>
          <w:color w:val="auto"/>
        </w:rPr>
      </w:pPr>
      <w:r>
        <w:rPr>
          <w:rFonts w:ascii="Arial" w:cs="Arial" w:eastAsia="Arial" w:hAnsi="Arial"/>
          <w:sz w:val="14"/>
          <w:szCs w:val="14"/>
          <w:color w:val="auto"/>
        </w:rPr>
        <w:t>Depreciation and amortization was $646,000 in Three Months 2019 compared to $440,000 in Three Months 2018. The increase of $206,000, or 46.8%, in depreciation and amortization was primarily due to depreciation of our new system platform for processing business being written in Expansion states. The increase was also impacted by newly purchased assets used to upgrade our systems infrastructure and improvements to the Kingston, New York home office building from which we operate.</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Interest Expense</w:t>
      </w:r>
    </w:p>
    <w:p>
      <w:pPr>
        <w:spacing w:after="0" w:line="158" w:lineRule="exact"/>
        <w:rPr>
          <w:sz w:val="20"/>
          <w:szCs w:val="20"/>
          <w:color w:val="auto"/>
        </w:rPr>
      </w:pPr>
    </w:p>
    <w:p>
      <w:pPr>
        <w:jc w:val="both"/>
        <w:ind w:firstLine="608"/>
        <w:spacing w:after="0" w:line="296" w:lineRule="auto"/>
        <w:rPr>
          <w:sz w:val="20"/>
          <w:szCs w:val="20"/>
          <w:color w:val="auto"/>
        </w:rPr>
      </w:pPr>
      <w:r>
        <w:rPr>
          <w:rFonts w:ascii="Arial" w:cs="Arial" w:eastAsia="Arial" w:hAnsi="Arial"/>
          <w:sz w:val="16"/>
          <w:szCs w:val="16"/>
          <w:color w:val="auto"/>
        </w:rPr>
        <w:t>Interest expense in Three Months 2019 and Three Months 2018 was $457,000. We incurred interest expense in connection with our $30.0 million issuance of long-term debt in December 2017.</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Income Tax Benefit/Expense</w:t>
      </w:r>
    </w:p>
    <w:p>
      <w:pPr>
        <w:spacing w:after="0" w:line="158" w:lineRule="exact"/>
        <w:rPr>
          <w:sz w:val="20"/>
          <w:szCs w:val="20"/>
          <w:color w:val="auto"/>
        </w:rPr>
      </w:pPr>
    </w:p>
    <w:p>
      <w:pPr>
        <w:jc w:val="both"/>
        <w:ind w:firstLine="608"/>
        <w:spacing w:after="0" w:line="280" w:lineRule="auto"/>
        <w:rPr>
          <w:sz w:val="20"/>
          <w:szCs w:val="20"/>
          <w:color w:val="auto"/>
        </w:rPr>
      </w:pPr>
      <w:r>
        <w:rPr>
          <w:rFonts w:ascii="Arial" w:cs="Arial" w:eastAsia="Arial" w:hAnsi="Arial"/>
          <w:sz w:val="16"/>
          <w:szCs w:val="16"/>
          <w:color w:val="auto"/>
        </w:rPr>
        <w:t>Income tax benefit in Three Months 2019 was $474,000, which resulted in an effective tax rate of 21.6%. Income tax expense in Three Months 2018 was $287,000, which resulted in an effective tax rate of 6.8%. Loss before taxes was $2,199,000 in Three Months 2019 compared to income before taxes of $4,221,000 in Three Months 2018.</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Net Loss/Income</w:t>
      </w:r>
    </w:p>
    <w:p>
      <w:pPr>
        <w:spacing w:after="0" w:line="158" w:lineRule="exact"/>
        <w:rPr>
          <w:sz w:val="20"/>
          <w:szCs w:val="20"/>
          <w:color w:val="auto"/>
        </w:rPr>
      </w:pPr>
    </w:p>
    <w:p>
      <w:pPr>
        <w:jc w:val="both"/>
        <w:ind w:firstLine="608"/>
        <w:spacing w:after="0" w:line="275" w:lineRule="auto"/>
        <w:rPr>
          <w:sz w:val="20"/>
          <w:szCs w:val="20"/>
          <w:color w:val="auto"/>
        </w:rPr>
      </w:pPr>
      <w:r>
        <w:rPr>
          <w:rFonts w:ascii="Arial" w:cs="Arial" w:eastAsia="Arial" w:hAnsi="Arial"/>
          <w:sz w:val="16"/>
          <w:szCs w:val="16"/>
          <w:color w:val="auto"/>
        </w:rPr>
        <w:t>Net loss was $1,725,000 in Three Months 2019 compared to net income of $3,934,000 in Three Months 2018. The decrease in net income of $5,659,000, or 143.8%, was due to the circumstances described above, which caused the increase in our net loss ratio, decrease in ceding commission revenue, increases in other underwriting expenses, depreciation and amortization and interest expense, partially offset by the increase in our net premiums earned, net investment income and gains on investments.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55" w:name="page56"/>
    <w:bookmarkEnd w:id="55"/>
    <w:p>
      <w:pPr>
        <w:spacing w:after="0"/>
        <w:rPr>
          <w:sz w:val="20"/>
          <w:szCs w:val="20"/>
          <w:color w:val="auto"/>
        </w:rPr>
      </w:pPr>
      <w:r>
        <w:rPr>
          <w:rFonts w:ascii="Arial" w:cs="Arial" w:eastAsia="Arial" w:hAnsi="Arial"/>
          <w:sz w:val="16"/>
          <w:szCs w:val="16"/>
          <w:b w:val="1"/>
          <w:bCs w:val="1"/>
          <w:color w:val="auto"/>
        </w:rPr>
        <w:t>Additional Financial Information</w:t>
      </w:r>
    </w:p>
    <w:p>
      <w:pPr>
        <w:spacing w:after="0" w:line="162" w:lineRule="exact"/>
        <w:rPr>
          <w:sz w:val="20"/>
          <w:szCs w:val="20"/>
          <w:color w:val="auto"/>
        </w:rPr>
      </w:pPr>
    </w:p>
    <w:p>
      <w:pPr>
        <w:jc w:val="both"/>
        <w:ind w:firstLine="608"/>
        <w:spacing w:after="0" w:line="280" w:lineRule="auto"/>
        <w:rPr>
          <w:sz w:val="20"/>
          <w:szCs w:val="20"/>
          <w:color w:val="auto"/>
        </w:rPr>
      </w:pPr>
      <w:r>
        <w:rPr>
          <w:rFonts w:ascii="Arial" w:cs="Arial" w:eastAsia="Arial" w:hAnsi="Arial"/>
          <w:sz w:val="16"/>
          <w:szCs w:val="16"/>
          <w:color w:val="auto"/>
        </w:rPr>
        <w:t>We operate our business as one segment, property and casualty insurance. Within this segment, we offer an array of property and casualty policies to our producers. The following table summarizes gross and net written premiums, net premiums earned, and net loss and loss adjustment expenses by major product type, which were determined based primarily on similar economic characteristics and risks of loss.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7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40" w:type="dxa"/>
            <w:vAlign w:val="bottom"/>
            <w:gridSpan w:val="7"/>
          </w:tcPr>
          <w:p>
            <w:pPr>
              <w:jc w:val="right"/>
              <w:ind w:right="520"/>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2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For the Nine Months Ended</w:t>
            </w:r>
          </w:p>
        </w:tc>
      </w:tr>
      <w:tr>
        <w:trPr>
          <w:trHeight w:val="217"/>
        </w:trPr>
        <w:tc>
          <w:tcPr>
            <w:tcW w:w="47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40" w:type="dxa"/>
            <w:vAlign w:val="bottom"/>
            <w:gridSpan w:val="7"/>
          </w:tcPr>
          <w:p>
            <w:pPr>
              <w:jc w:val="right"/>
              <w:ind w:right="96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2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September 30,</w:t>
            </w:r>
          </w:p>
        </w:tc>
      </w:tr>
      <w:tr>
        <w:trPr>
          <w:trHeight w:val="233"/>
        </w:trPr>
        <w:tc>
          <w:tcPr>
            <w:tcW w:w="47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20"/>
                <w:szCs w:val="20"/>
                <w:color w:val="auto"/>
              </w:rPr>
            </w:pPr>
          </w:p>
        </w:tc>
      </w:tr>
      <w:tr>
        <w:trPr>
          <w:trHeight w:val="227"/>
        </w:trPr>
        <w:tc>
          <w:tcPr>
            <w:tcW w:w="4780" w:type="dxa"/>
            <w:vAlign w:val="bottom"/>
          </w:tcPr>
          <w:p>
            <w:pPr>
              <w:ind w:left="40"/>
              <w:spacing w:after="0"/>
              <w:rPr>
                <w:sz w:val="20"/>
                <w:szCs w:val="20"/>
                <w:color w:val="auto"/>
              </w:rPr>
            </w:pPr>
            <w:r>
              <w:rPr>
                <w:rFonts w:ascii="Arial" w:cs="Arial" w:eastAsia="Arial" w:hAnsi="Arial"/>
                <w:sz w:val="16"/>
                <w:szCs w:val="16"/>
                <w:b w:val="1"/>
                <w:bCs w:val="1"/>
                <w:color w:val="auto"/>
              </w:rPr>
              <w:t>Gross premiums written:</w:t>
            </w: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04"/>
        </w:trPr>
        <w:tc>
          <w:tcPr>
            <w:tcW w:w="4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Personal lines</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40,996,459</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32,544,609</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109,143,415</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87,022,189</w:t>
            </w:r>
          </w:p>
        </w:tc>
      </w:tr>
      <w:tr>
        <w:trPr>
          <w:trHeight w:val="203"/>
        </w:trPr>
        <w:tc>
          <w:tcPr>
            <w:tcW w:w="4780" w:type="dxa"/>
            <w:vAlign w:val="bottom"/>
          </w:tcPr>
          <w:p>
            <w:pPr>
              <w:ind w:left="40"/>
              <w:spacing w:after="0"/>
              <w:rPr>
                <w:sz w:val="20"/>
                <w:szCs w:val="20"/>
                <w:color w:val="auto"/>
              </w:rPr>
            </w:pPr>
            <w:r>
              <w:rPr>
                <w:rFonts w:ascii="Arial" w:cs="Arial" w:eastAsia="Arial" w:hAnsi="Arial"/>
                <w:sz w:val="16"/>
                <w:szCs w:val="16"/>
                <w:color w:val="auto"/>
              </w:rPr>
              <w:t>Livery physical damage</w:t>
            </w: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2,590,434</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6"/>
                <w:szCs w:val="16"/>
                <w:color w:val="auto"/>
              </w:rPr>
              <w:t>2,363,844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8,199,269</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7,142,413</w:t>
            </w:r>
          </w:p>
        </w:tc>
      </w:tr>
      <w:tr>
        <w:trPr>
          <w:trHeight w:val="203"/>
        </w:trPr>
        <w:tc>
          <w:tcPr>
            <w:tcW w:w="4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Other(1)</w:t>
            </w:r>
          </w:p>
        </w:tc>
        <w:tc>
          <w:tcPr>
            <w:tcW w:w="1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401,073</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69,486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535,950</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186,285</w:t>
            </w:r>
          </w:p>
        </w:tc>
      </w:tr>
      <w:tr>
        <w:trPr>
          <w:trHeight w:val="25"/>
        </w:trPr>
        <w:tc>
          <w:tcPr>
            <w:tcW w:w="47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tcBorders>
              <w:right w:val="single" w:sz="8" w:color="auto"/>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03"/>
        </w:trPr>
        <w:tc>
          <w:tcPr>
            <w:tcW w:w="4780" w:type="dxa"/>
            <w:vAlign w:val="bottom"/>
          </w:tcPr>
          <w:p>
            <w:pPr>
              <w:ind w:left="200"/>
              <w:spacing w:after="0"/>
              <w:rPr>
                <w:sz w:val="20"/>
                <w:szCs w:val="20"/>
                <w:color w:val="auto"/>
              </w:rPr>
            </w:pPr>
            <w:r>
              <w:rPr>
                <w:rFonts w:ascii="Arial" w:cs="Arial" w:eastAsia="Arial" w:hAnsi="Arial"/>
                <w:sz w:val="16"/>
                <w:szCs w:val="16"/>
                <w:color w:val="auto"/>
              </w:rPr>
              <w:t>Total without commercial lines</w:t>
            </w: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43,987,966</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6"/>
                <w:szCs w:val="16"/>
                <w:color w:val="auto"/>
              </w:rPr>
              <w:t>34,977,939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117,878,634</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94,350,887</w:t>
            </w:r>
          </w:p>
        </w:tc>
      </w:tr>
      <w:tr>
        <w:trPr>
          <w:trHeight w:val="203"/>
        </w:trPr>
        <w:tc>
          <w:tcPr>
            <w:tcW w:w="4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Commercial lines (in run-off effective July 2019)(2)</w:t>
            </w:r>
          </w:p>
        </w:tc>
        <w:tc>
          <w:tcPr>
            <w:tcW w:w="1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2,036,185</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3,807,533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10,455,421</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12,825,369</w:t>
            </w:r>
          </w:p>
        </w:tc>
      </w:tr>
      <w:tr>
        <w:trPr>
          <w:trHeight w:val="25"/>
        </w:trPr>
        <w:tc>
          <w:tcPr>
            <w:tcW w:w="47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tcBorders>
              <w:right w:val="single" w:sz="8" w:color="auto"/>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03"/>
        </w:trPr>
        <w:tc>
          <w:tcPr>
            <w:tcW w:w="4780" w:type="dxa"/>
            <w:vAlign w:val="bottom"/>
          </w:tcPr>
          <w:p>
            <w:pPr>
              <w:ind w:left="200"/>
              <w:spacing w:after="0"/>
              <w:rPr>
                <w:sz w:val="20"/>
                <w:szCs w:val="20"/>
                <w:color w:val="auto"/>
              </w:rPr>
            </w:pPr>
            <w:r>
              <w:rPr>
                <w:rFonts w:ascii="Arial" w:cs="Arial" w:eastAsia="Arial" w:hAnsi="Arial"/>
                <w:sz w:val="16"/>
                <w:szCs w:val="16"/>
                <w:color w:val="auto"/>
              </w:rPr>
              <w:t>Total gross premiums written</w:t>
            </w:r>
          </w:p>
        </w:tc>
        <w:tc>
          <w:tcPr>
            <w:tcW w:w="15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46,024,151</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gridSpan w:val="3"/>
          </w:tcPr>
          <w:p>
            <w:pPr>
              <w:jc w:val="right"/>
              <w:ind w:right="160"/>
              <w:spacing w:after="0"/>
              <w:rPr>
                <w:sz w:val="20"/>
                <w:szCs w:val="20"/>
                <w:color w:val="auto"/>
              </w:rPr>
            </w:pPr>
            <w:r>
              <w:rPr>
                <w:rFonts w:ascii="Arial" w:cs="Arial" w:eastAsia="Arial" w:hAnsi="Arial"/>
                <w:sz w:val="16"/>
                <w:szCs w:val="16"/>
                <w:color w:val="auto"/>
              </w:rPr>
              <w:t>38,785,472</w:t>
            </w: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128,334,055</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w w:val="98"/>
              </w:rPr>
              <w:t>107,176,256</w:t>
            </w:r>
          </w:p>
        </w:tc>
      </w:tr>
      <w:tr>
        <w:trPr>
          <w:trHeight w:val="20"/>
        </w:trPr>
        <w:tc>
          <w:tcPr>
            <w:tcW w:w="4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3"/>
        </w:trPr>
        <w:tc>
          <w:tcPr>
            <w:tcW w:w="47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03"/>
        </w:trPr>
        <w:tc>
          <w:tcPr>
            <w:tcW w:w="4780" w:type="dxa"/>
            <w:vAlign w:val="bottom"/>
          </w:tcPr>
          <w:p>
            <w:pPr>
              <w:ind w:left="40"/>
              <w:spacing w:after="0"/>
              <w:rPr>
                <w:sz w:val="20"/>
                <w:szCs w:val="20"/>
                <w:color w:val="auto"/>
              </w:rPr>
            </w:pPr>
            <w:r>
              <w:rPr>
                <w:rFonts w:ascii="Arial" w:cs="Arial" w:eastAsia="Arial" w:hAnsi="Arial"/>
                <w:sz w:val="16"/>
                <w:szCs w:val="16"/>
                <w:b w:val="1"/>
                <w:bCs w:val="1"/>
                <w:color w:val="auto"/>
              </w:rPr>
              <w:t>Net premiums written:</w:t>
            </w: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4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Personal lines(3)</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35,442,970</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30,352,772</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89,287,063</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69,016,575</w:t>
            </w:r>
          </w:p>
        </w:tc>
      </w:tr>
      <w:tr>
        <w:trPr>
          <w:trHeight w:val="203"/>
        </w:trPr>
        <w:tc>
          <w:tcPr>
            <w:tcW w:w="4780" w:type="dxa"/>
            <w:vAlign w:val="bottom"/>
          </w:tcPr>
          <w:p>
            <w:pPr>
              <w:ind w:left="40"/>
              <w:spacing w:after="0"/>
              <w:rPr>
                <w:sz w:val="20"/>
                <w:szCs w:val="20"/>
                <w:color w:val="auto"/>
              </w:rPr>
            </w:pPr>
            <w:r>
              <w:rPr>
                <w:rFonts w:ascii="Arial" w:cs="Arial" w:eastAsia="Arial" w:hAnsi="Arial"/>
                <w:sz w:val="16"/>
                <w:szCs w:val="16"/>
                <w:color w:val="auto"/>
              </w:rPr>
              <w:t>Livery physical damage</w:t>
            </w: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2,590,434</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6"/>
                <w:szCs w:val="16"/>
                <w:color w:val="auto"/>
              </w:rPr>
              <w:t>2,363,844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8,199,269</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7,142,413</w:t>
            </w:r>
          </w:p>
        </w:tc>
      </w:tr>
      <w:tr>
        <w:trPr>
          <w:trHeight w:val="203"/>
        </w:trPr>
        <w:tc>
          <w:tcPr>
            <w:tcW w:w="4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Other(1)</w:t>
            </w:r>
          </w:p>
        </w:tc>
        <w:tc>
          <w:tcPr>
            <w:tcW w:w="1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400,317</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73,449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522,596</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169,709</w:t>
            </w:r>
          </w:p>
        </w:tc>
      </w:tr>
      <w:tr>
        <w:trPr>
          <w:trHeight w:val="25"/>
        </w:trPr>
        <w:tc>
          <w:tcPr>
            <w:tcW w:w="47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03"/>
        </w:trPr>
        <w:tc>
          <w:tcPr>
            <w:tcW w:w="4780" w:type="dxa"/>
            <w:vAlign w:val="bottom"/>
          </w:tcPr>
          <w:p>
            <w:pPr>
              <w:ind w:left="200"/>
              <w:spacing w:after="0"/>
              <w:rPr>
                <w:sz w:val="20"/>
                <w:szCs w:val="20"/>
                <w:color w:val="auto"/>
              </w:rPr>
            </w:pPr>
            <w:r>
              <w:rPr>
                <w:rFonts w:ascii="Arial" w:cs="Arial" w:eastAsia="Arial" w:hAnsi="Arial"/>
                <w:sz w:val="16"/>
                <w:szCs w:val="16"/>
                <w:color w:val="auto"/>
              </w:rPr>
              <w:t>Total without commercial lines</w:t>
            </w: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38,433,721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32,790,065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98,008,928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76,328,697</w:t>
            </w:r>
          </w:p>
        </w:tc>
      </w:tr>
      <w:tr>
        <w:trPr>
          <w:trHeight w:val="203"/>
        </w:trPr>
        <w:tc>
          <w:tcPr>
            <w:tcW w:w="4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Commercial lines (in run-off effective July 2019)(2)</w:t>
            </w:r>
          </w:p>
        </w:tc>
        <w:tc>
          <w:tcPr>
            <w:tcW w:w="1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2,004,152</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3,311,707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9,411,053</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11,438,135</w:t>
            </w:r>
          </w:p>
        </w:tc>
      </w:tr>
      <w:tr>
        <w:trPr>
          <w:trHeight w:val="25"/>
        </w:trPr>
        <w:tc>
          <w:tcPr>
            <w:tcW w:w="47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tcBorders>
              <w:right w:val="single" w:sz="8" w:color="auto"/>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03"/>
        </w:trPr>
        <w:tc>
          <w:tcPr>
            <w:tcW w:w="4780" w:type="dxa"/>
            <w:vAlign w:val="bottom"/>
          </w:tcPr>
          <w:p>
            <w:pPr>
              <w:ind w:left="200"/>
              <w:spacing w:after="0"/>
              <w:rPr>
                <w:sz w:val="20"/>
                <w:szCs w:val="20"/>
                <w:color w:val="auto"/>
              </w:rPr>
            </w:pPr>
            <w:r>
              <w:rPr>
                <w:rFonts w:ascii="Arial" w:cs="Arial" w:eastAsia="Arial" w:hAnsi="Arial"/>
                <w:sz w:val="16"/>
                <w:szCs w:val="16"/>
                <w:color w:val="auto"/>
              </w:rPr>
              <w:t>Total net premiums written</w:t>
            </w:r>
          </w:p>
        </w:tc>
        <w:tc>
          <w:tcPr>
            <w:tcW w:w="15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40,437,873</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gridSpan w:val="3"/>
          </w:tcPr>
          <w:p>
            <w:pPr>
              <w:jc w:val="right"/>
              <w:ind w:right="160"/>
              <w:spacing w:after="0"/>
              <w:rPr>
                <w:sz w:val="20"/>
                <w:szCs w:val="20"/>
                <w:color w:val="auto"/>
              </w:rPr>
            </w:pPr>
            <w:r>
              <w:rPr>
                <w:rFonts w:ascii="Arial" w:cs="Arial" w:eastAsia="Arial" w:hAnsi="Arial"/>
                <w:sz w:val="16"/>
                <w:szCs w:val="16"/>
                <w:color w:val="auto"/>
              </w:rPr>
              <w:t>36,101,772</w:t>
            </w: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107,419,981</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87,766,832</w:t>
            </w:r>
          </w:p>
        </w:tc>
      </w:tr>
      <w:tr>
        <w:trPr>
          <w:trHeight w:val="20"/>
        </w:trPr>
        <w:tc>
          <w:tcPr>
            <w:tcW w:w="4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3"/>
        </w:trPr>
        <w:tc>
          <w:tcPr>
            <w:tcW w:w="47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03"/>
        </w:trPr>
        <w:tc>
          <w:tcPr>
            <w:tcW w:w="4780" w:type="dxa"/>
            <w:vAlign w:val="bottom"/>
          </w:tcPr>
          <w:p>
            <w:pPr>
              <w:ind w:left="40"/>
              <w:spacing w:after="0"/>
              <w:rPr>
                <w:sz w:val="20"/>
                <w:szCs w:val="20"/>
                <w:color w:val="auto"/>
              </w:rPr>
            </w:pPr>
            <w:r>
              <w:rPr>
                <w:rFonts w:ascii="Arial" w:cs="Arial" w:eastAsia="Arial" w:hAnsi="Arial"/>
                <w:sz w:val="16"/>
                <w:szCs w:val="16"/>
                <w:b w:val="1"/>
                <w:bCs w:val="1"/>
                <w:color w:val="auto"/>
              </w:rPr>
              <w:t>Net premiums earned:</w:t>
            </w: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4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Personal lines(3)</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27,487,526</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21,537,581</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75,737,374</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56,809,219</w:t>
            </w:r>
          </w:p>
        </w:tc>
      </w:tr>
      <w:tr>
        <w:trPr>
          <w:trHeight w:val="203"/>
        </w:trPr>
        <w:tc>
          <w:tcPr>
            <w:tcW w:w="4780" w:type="dxa"/>
            <w:vAlign w:val="bottom"/>
          </w:tcPr>
          <w:p>
            <w:pPr>
              <w:ind w:left="40"/>
              <w:spacing w:after="0"/>
              <w:rPr>
                <w:sz w:val="20"/>
                <w:szCs w:val="20"/>
                <w:color w:val="auto"/>
              </w:rPr>
            </w:pPr>
            <w:r>
              <w:rPr>
                <w:rFonts w:ascii="Arial" w:cs="Arial" w:eastAsia="Arial" w:hAnsi="Arial"/>
                <w:sz w:val="16"/>
                <w:szCs w:val="16"/>
                <w:color w:val="auto"/>
              </w:rPr>
              <w:t>Livery physical damage</w:t>
            </w: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2,712,283</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6"/>
                <w:szCs w:val="16"/>
                <w:color w:val="auto"/>
              </w:rPr>
              <w:t>2,398,005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7,850,822</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7,320,065</w:t>
            </w:r>
          </w:p>
        </w:tc>
      </w:tr>
      <w:tr>
        <w:trPr>
          <w:trHeight w:val="203"/>
        </w:trPr>
        <w:tc>
          <w:tcPr>
            <w:tcW w:w="4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Other(1)</w:t>
            </w:r>
          </w:p>
        </w:tc>
        <w:tc>
          <w:tcPr>
            <w:tcW w:w="1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275,324</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56,091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392,745</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150,942</w:t>
            </w:r>
          </w:p>
        </w:tc>
      </w:tr>
      <w:tr>
        <w:trPr>
          <w:trHeight w:val="25"/>
        </w:trPr>
        <w:tc>
          <w:tcPr>
            <w:tcW w:w="47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tcBorders>
              <w:right w:val="single" w:sz="8" w:color="auto"/>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03"/>
        </w:trPr>
        <w:tc>
          <w:tcPr>
            <w:tcW w:w="4780" w:type="dxa"/>
            <w:vAlign w:val="bottom"/>
          </w:tcPr>
          <w:p>
            <w:pPr>
              <w:ind w:left="200"/>
              <w:spacing w:after="0"/>
              <w:rPr>
                <w:sz w:val="20"/>
                <w:szCs w:val="20"/>
                <w:color w:val="auto"/>
              </w:rPr>
            </w:pPr>
            <w:r>
              <w:rPr>
                <w:rFonts w:ascii="Arial" w:cs="Arial" w:eastAsia="Arial" w:hAnsi="Arial"/>
                <w:sz w:val="16"/>
                <w:szCs w:val="16"/>
                <w:color w:val="auto"/>
              </w:rPr>
              <w:t>Total without commercial lines</w:t>
            </w: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30,475,133</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6"/>
                <w:szCs w:val="16"/>
                <w:color w:val="auto"/>
              </w:rPr>
              <w:t>23,991,677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83,980,941</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64,280,226</w:t>
            </w:r>
          </w:p>
        </w:tc>
      </w:tr>
      <w:tr>
        <w:trPr>
          <w:trHeight w:val="203"/>
        </w:trPr>
        <w:tc>
          <w:tcPr>
            <w:tcW w:w="4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Commercial lines (in run-off effective July 2019)(2)</w:t>
            </w:r>
          </w:p>
        </w:tc>
        <w:tc>
          <w:tcPr>
            <w:tcW w:w="1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3,744,877</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3,542,230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11,036,237</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10,195,912</w:t>
            </w:r>
          </w:p>
        </w:tc>
      </w:tr>
      <w:tr>
        <w:trPr>
          <w:trHeight w:val="25"/>
        </w:trPr>
        <w:tc>
          <w:tcPr>
            <w:tcW w:w="47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tcBorders>
              <w:right w:val="single" w:sz="8" w:color="auto"/>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03"/>
        </w:trPr>
        <w:tc>
          <w:tcPr>
            <w:tcW w:w="4780" w:type="dxa"/>
            <w:vAlign w:val="bottom"/>
          </w:tcPr>
          <w:p>
            <w:pPr>
              <w:ind w:left="200"/>
              <w:spacing w:after="0"/>
              <w:rPr>
                <w:sz w:val="20"/>
                <w:szCs w:val="20"/>
                <w:color w:val="auto"/>
              </w:rPr>
            </w:pPr>
            <w:r>
              <w:rPr>
                <w:rFonts w:ascii="Arial" w:cs="Arial" w:eastAsia="Arial" w:hAnsi="Arial"/>
                <w:sz w:val="16"/>
                <w:szCs w:val="16"/>
                <w:color w:val="auto"/>
              </w:rPr>
              <w:t>Total net premiums earned</w:t>
            </w:r>
          </w:p>
        </w:tc>
        <w:tc>
          <w:tcPr>
            <w:tcW w:w="15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34,220,010</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gridSpan w:val="3"/>
          </w:tcPr>
          <w:p>
            <w:pPr>
              <w:jc w:val="right"/>
              <w:ind w:right="160"/>
              <w:spacing w:after="0"/>
              <w:rPr>
                <w:sz w:val="20"/>
                <w:szCs w:val="20"/>
                <w:color w:val="auto"/>
              </w:rPr>
            </w:pPr>
            <w:r>
              <w:rPr>
                <w:rFonts w:ascii="Arial" w:cs="Arial" w:eastAsia="Arial" w:hAnsi="Arial"/>
                <w:sz w:val="16"/>
                <w:szCs w:val="16"/>
                <w:color w:val="auto"/>
              </w:rPr>
              <w:t>27,533,907</w:t>
            </w: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95,017,178</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74,476,138</w:t>
            </w:r>
          </w:p>
        </w:tc>
      </w:tr>
      <w:tr>
        <w:trPr>
          <w:trHeight w:val="20"/>
        </w:trPr>
        <w:tc>
          <w:tcPr>
            <w:tcW w:w="4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3"/>
        </w:trPr>
        <w:tc>
          <w:tcPr>
            <w:tcW w:w="47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27"/>
        </w:trPr>
        <w:tc>
          <w:tcPr>
            <w:tcW w:w="4780" w:type="dxa"/>
            <w:vAlign w:val="bottom"/>
          </w:tcPr>
          <w:p>
            <w:pPr>
              <w:ind w:left="60"/>
              <w:spacing w:after="0"/>
              <w:rPr>
                <w:sz w:val="20"/>
                <w:szCs w:val="20"/>
                <w:color w:val="auto"/>
              </w:rPr>
            </w:pPr>
            <w:r>
              <w:rPr>
                <w:rFonts w:ascii="Arial" w:cs="Arial" w:eastAsia="Arial" w:hAnsi="Arial"/>
                <w:sz w:val="16"/>
                <w:szCs w:val="16"/>
                <w:b w:val="1"/>
                <w:bCs w:val="1"/>
                <w:color w:val="auto"/>
              </w:rPr>
              <w:t>Net loss and loss adjustment expenses(4):</w:t>
            </w: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04"/>
        </w:trPr>
        <w:tc>
          <w:tcPr>
            <w:tcW w:w="4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Personal lines</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14,389,168</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9,652,796</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46,666,275</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31,096,528</w:t>
            </w:r>
          </w:p>
        </w:tc>
      </w:tr>
      <w:tr>
        <w:trPr>
          <w:trHeight w:val="203"/>
        </w:trPr>
        <w:tc>
          <w:tcPr>
            <w:tcW w:w="4780" w:type="dxa"/>
            <w:vAlign w:val="bottom"/>
          </w:tcPr>
          <w:p>
            <w:pPr>
              <w:ind w:left="40"/>
              <w:spacing w:after="0"/>
              <w:rPr>
                <w:sz w:val="20"/>
                <w:szCs w:val="20"/>
                <w:color w:val="auto"/>
              </w:rPr>
            </w:pPr>
            <w:r>
              <w:rPr>
                <w:rFonts w:ascii="Arial" w:cs="Arial" w:eastAsia="Arial" w:hAnsi="Arial"/>
                <w:sz w:val="16"/>
                <w:szCs w:val="16"/>
                <w:color w:val="auto"/>
              </w:rPr>
              <w:t>Livery physical damage</w:t>
            </w: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1,395,630</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6"/>
                <w:szCs w:val="16"/>
                <w:color w:val="auto"/>
              </w:rPr>
              <w:t>894,874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3,816,390</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3,160,670</w:t>
            </w:r>
          </w:p>
        </w:tc>
      </w:tr>
      <w:tr>
        <w:trPr>
          <w:trHeight w:val="203"/>
        </w:trPr>
        <w:tc>
          <w:tcPr>
            <w:tcW w:w="4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Other(1)</w:t>
            </w:r>
          </w:p>
        </w:tc>
        <w:tc>
          <w:tcPr>
            <w:tcW w:w="1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246,811</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(63,570)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573,376</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313,408</w:t>
            </w:r>
          </w:p>
        </w:tc>
      </w:tr>
      <w:tr>
        <w:trPr>
          <w:trHeight w:val="203"/>
        </w:trPr>
        <w:tc>
          <w:tcPr>
            <w:tcW w:w="4780" w:type="dxa"/>
            <w:vAlign w:val="bottom"/>
          </w:tcPr>
          <w:p>
            <w:pPr>
              <w:ind w:left="40"/>
              <w:spacing w:after="0"/>
              <w:rPr>
                <w:sz w:val="20"/>
                <w:szCs w:val="20"/>
                <w:color w:val="auto"/>
              </w:rPr>
            </w:pPr>
            <w:r>
              <w:rPr>
                <w:rFonts w:ascii="Arial" w:cs="Arial" w:eastAsia="Arial" w:hAnsi="Arial"/>
                <w:sz w:val="16"/>
                <w:szCs w:val="16"/>
                <w:color w:val="auto"/>
              </w:rPr>
              <w:t>Unallocated loss adjustment expenses</w:t>
            </w: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726,778</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6"/>
                <w:szCs w:val="16"/>
                <w:color w:val="auto"/>
              </w:rPr>
              <w:t>548,819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2,072,570</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1,654,466</w:t>
            </w:r>
          </w:p>
        </w:tc>
      </w:tr>
      <w:tr>
        <w:trPr>
          <w:trHeight w:val="25"/>
        </w:trPr>
        <w:tc>
          <w:tcPr>
            <w:tcW w:w="47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03"/>
        </w:trPr>
        <w:tc>
          <w:tcPr>
            <w:tcW w:w="4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without commercial lines</w:t>
            </w:r>
          </w:p>
        </w:tc>
        <w:tc>
          <w:tcPr>
            <w:tcW w:w="1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16,758,387</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11,032,919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53,128,611</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36,225,072</w:t>
            </w:r>
          </w:p>
        </w:tc>
      </w:tr>
      <w:tr>
        <w:trPr>
          <w:trHeight w:val="203"/>
        </w:trPr>
        <w:tc>
          <w:tcPr>
            <w:tcW w:w="4780" w:type="dxa"/>
            <w:vAlign w:val="bottom"/>
          </w:tcPr>
          <w:p>
            <w:pPr>
              <w:ind w:left="40"/>
              <w:spacing w:after="0"/>
              <w:rPr>
                <w:sz w:val="20"/>
                <w:szCs w:val="20"/>
                <w:color w:val="auto"/>
              </w:rPr>
            </w:pPr>
            <w:r>
              <w:rPr>
                <w:rFonts w:ascii="Arial" w:cs="Arial" w:eastAsia="Arial" w:hAnsi="Arial"/>
                <w:sz w:val="16"/>
                <w:szCs w:val="16"/>
                <w:color w:val="auto"/>
              </w:rPr>
              <w:t>Commercial lines (in run-off effective July 2019)(2)</w:t>
            </w: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8,022,931</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6"/>
                <w:szCs w:val="16"/>
                <w:color w:val="auto"/>
              </w:rPr>
              <w:t>2,263,789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18,459,239</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5,514,051</w:t>
            </w:r>
          </w:p>
        </w:tc>
      </w:tr>
      <w:tr>
        <w:trPr>
          <w:trHeight w:val="25"/>
        </w:trPr>
        <w:tc>
          <w:tcPr>
            <w:tcW w:w="47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4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net loss and loss adjustment expenses</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24,781,318</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13,296,708</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71,587,850</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41,739,123</w:t>
            </w:r>
          </w:p>
        </w:tc>
      </w:tr>
      <w:tr>
        <w:trPr>
          <w:trHeight w:val="20"/>
        </w:trPr>
        <w:tc>
          <w:tcPr>
            <w:tcW w:w="47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loss ratio(4):</w:t>
            </w:r>
          </w:p>
        </w:tc>
        <w:tc>
          <w:tcPr>
            <w:tcW w:w="25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tcPr>
          <w:p>
            <w:pPr>
              <w:spacing w:after="0"/>
              <w:rPr>
                <w:sz w:val="20"/>
                <w:szCs w:val="20"/>
                <w:color w:val="auto"/>
              </w:rPr>
            </w:pPr>
            <w:r>
              <w:rPr>
                <w:rFonts w:ascii="Arial" w:cs="Arial" w:eastAsia="Arial" w:hAnsi="Arial"/>
                <w:sz w:val="16"/>
                <w:szCs w:val="16"/>
                <w:color w:val="auto"/>
              </w:rPr>
              <w:t>Personal lines</w:t>
            </w:r>
          </w:p>
        </w:tc>
        <w:tc>
          <w:tcPr>
            <w:tcW w:w="2580" w:type="dxa"/>
            <w:vAlign w:val="bottom"/>
          </w:tcPr>
          <w:p>
            <w:pPr>
              <w:jc w:val="right"/>
              <w:ind w:right="318"/>
              <w:spacing w:after="0"/>
              <w:rPr>
                <w:sz w:val="20"/>
                <w:szCs w:val="20"/>
                <w:color w:val="auto"/>
              </w:rPr>
            </w:pPr>
            <w:r>
              <w:rPr>
                <w:rFonts w:ascii="Arial" w:cs="Arial" w:eastAsia="Arial" w:hAnsi="Arial"/>
                <w:sz w:val="16"/>
                <w:szCs w:val="16"/>
                <w:color w:val="auto"/>
              </w:rPr>
              <w:t>52.3%</w:t>
            </w:r>
          </w:p>
        </w:tc>
        <w:tc>
          <w:tcPr>
            <w:tcW w:w="1400" w:type="dxa"/>
            <w:vAlign w:val="bottom"/>
          </w:tcPr>
          <w:p>
            <w:pPr>
              <w:jc w:val="right"/>
              <w:ind w:right="338"/>
              <w:spacing w:after="0"/>
              <w:rPr>
                <w:sz w:val="20"/>
                <w:szCs w:val="20"/>
                <w:color w:val="auto"/>
              </w:rPr>
            </w:pPr>
            <w:r>
              <w:rPr>
                <w:rFonts w:ascii="Arial" w:cs="Arial" w:eastAsia="Arial" w:hAnsi="Arial"/>
                <w:sz w:val="16"/>
                <w:szCs w:val="16"/>
                <w:color w:val="auto"/>
              </w:rPr>
              <w:t>44.8%</w:t>
            </w:r>
          </w:p>
        </w:tc>
        <w:tc>
          <w:tcPr>
            <w:tcW w:w="1360" w:type="dxa"/>
            <w:vAlign w:val="bottom"/>
          </w:tcPr>
          <w:p>
            <w:pPr>
              <w:jc w:val="right"/>
              <w:ind w:right="338"/>
              <w:spacing w:after="0"/>
              <w:rPr>
                <w:sz w:val="20"/>
                <w:szCs w:val="20"/>
                <w:color w:val="auto"/>
              </w:rPr>
            </w:pPr>
            <w:r>
              <w:rPr>
                <w:rFonts w:ascii="Arial" w:cs="Arial" w:eastAsia="Arial" w:hAnsi="Arial"/>
                <w:sz w:val="16"/>
                <w:szCs w:val="16"/>
                <w:color w:val="auto"/>
              </w:rPr>
              <w:t>61.6%</w:t>
            </w:r>
          </w:p>
        </w:tc>
        <w:tc>
          <w:tcPr>
            <w:tcW w:w="940" w:type="dxa"/>
            <w:vAlign w:val="bottom"/>
          </w:tcPr>
          <w:p>
            <w:pPr>
              <w:jc w:val="right"/>
              <w:spacing w:after="0"/>
              <w:rPr>
                <w:sz w:val="20"/>
                <w:szCs w:val="20"/>
                <w:color w:val="auto"/>
              </w:rPr>
            </w:pPr>
            <w:r>
              <w:rPr>
                <w:rFonts w:ascii="Arial" w:cs="Arial" w:eastAsia="Arial" w:hAnsi="Arial"/>
                <w:sz w:val="16"/>
                <w:szCs w:val="16"/>
                <w:color w:val="auto"/>
              </w:rPr>
              <w:t>54.7%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Livery physical damage</w:t>
            </w:r>
          </w:p>
        </w:tc>
        <w:tc>
          <w:tcPr>
            <w:tcW w:w="2580" w:type="dxa"/>
            <w:vAlign w:val="bottom"/>
            <w:shd w:val="clear" w:color="auto" w:fill="CCEEFF"/>
          </w:tcPr>
          <w:p>
            <w:pPr>
              <w:jc w:val="right"/>
              <w:ind w:right="318"/>
              <w:spacing w:after="0"/>
              <w:rPr>
                <w:sz w:val="20"/>
                <w:szCs w:val="20"/>
                <w:color w:val="auto"/>
              </w:rPr>
            </w:pPr>
            <w:r>
              <w:rPr>
                <w:rFonts w:ascii="Arial" w:cs="Arial" w:eastAsia="Arial" w:hAnsi="Arial"/>
                <w:sz w:val="16"/>
                <w:szCs w:val="16"/>
                <w:color w:val="auto"/>
              </w:rPr>
              <w:t>51.5%</w:t>
            </w:r>
          </w:p>
        </w:tc>
        <w:tc>
          <w:tcPr>
            <w:tcW w:w="1400" w:type="dxa"/>
            <w:vAlign w:val="bottom"/>
            <w:shd w:val="clear" w:color="auto" w:fill="CCEEFF"/>
          </w:tcPr>
          <w:p>
            <w:pPr>
              <w:jc w:val="right"/>
              <w:ind w:right="338"/>
              <w:spacing w:after="0"/>
              <w:rPr>
                <w:sz w:val="20"/>
                <w:szCs w:val="20"/>
                <w:color w:val="auto"/>
              </w:rPr>
            </w:pPr>
            <w:r>
              <w:rPr>
                <w:rFonts w:ascii="Arial" w:cs="Arial" w:eastAsia="Arial" w:hAnsi="Arial"/>
                <w:sz w:val="16"/>
                <w:szCs w:val="16"/>
                <w:color w:val="auto"/>
              </w:rPr>
              <w:t>37.3%</w:t>
            </w:r>
          </w:p>
        </w:tc>
        <w:tc>
          <w:tcPr>
            <w:tcW w:w="1360" w:type="dxa"/>
            <w:vAlign w:val="bottom"/>
            <w:shd w:val="clear" w:color="auto" w:fill="CCEEFF"/>
          </w:tcPr>
          <w:p>
            <w:pPr>
              <w:jc w:val="right"/>
              <w:ind w:right="338"/>
              <w:spacing w:after="0"/>
              <w:rPr>
                <w:sz w:val="20"/>
                <w:szCs w:val="20"/>
                <w:color w:val="auto"/>
              </w:rPr>
            </w:pPr>
            <w:r>
              <w:rPr>
                <w:rFonts w:ascii="Arial" w:cs="Arial" w:eastAsia="Arial" w:hAnsi="Arial"/>
                <w:sz w:val="16"/>
                <w:szCs w:val="16"/>
                <w:color w:val="auto"/>
              </w:rPr>
              <w:t>48.6%</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tcPr>
          <w:p>
            <w:pPr>
              <w:spacing w:after="0"/>
              <w:rPr>
                <w:sz w:val="20"/>
                <w:szCs w:val="20"/>
                <w:color w:val="auto"/>
              </w:rPr>
            </w:pPr>
            <w:r>
              <w:rPr>
                <w:rFonts w:ascii="Arial" w:cs="Arial" w:eastAsia="Arial" w:hAnsi="Arial"/>
                <w:sz w:val="16"/>
                <w:szCs w:val="16"/>
                <w:color w:val="auto"/>
              </w:rPr>
              <w:t>Other(1)</w:t>
            </w:r>
          </w:p>
        </w:tc>
        <w:tc>
          <w:tcPr>
            <w:tcW w:w="2580" w:type="dxa"/>
            <w:vAlign w:val="bottom"/>
          </w:tcPr>
          <w:p>
            <w:pPr>
              <w:jc w:val="right"/>
              <w:ind w:right="318"/>
              <w:spacing w:after="0"/>
              <w:rPr>
                <w:sz w:val="20"/>
                <w:szCs w:val="20"/>
                <w:color w:val="auto"/>
              </w:rPr>
            </w:pPr>
            <w:r>
              <w:rPr>
                <w:rFonts w:ascii="Arial" w:cs="Arial" w:eastAsia="Arial" w:hAnsi="Arial"/>
                <w:sz w:val="16"/>
                <w:szCs w:val="16"/>
                <w:color w:val="auto"/>
              </w:rPr>
              <w:t>89.6%</w:t>
            </w:r>
          </w:p>
        </w:tc>
        <w:tc>
          <w:tcPr>
            <w:tcW w:w="1400" w:type="dxa"/>
            <w:vAlign w:val="bottom"/>
          </w:tcPr>
          <w:p>
            <w:pPr>
              <w:jc w:val="right"/>
              <w:ind w:right="338"/>
              <w:spacing w:after="0"/>
              <w:rPr>
                <w:sz w:val="20"/>
                <w:szCs w:val="20"/>
                <w:color w:val="auto"/>
              </w:rPr>
            </w:pPr>
            <w:r>
              <w:rPr>
                <w:rFonts w:ascii="Arial" w:cs="Arial" w:eastAsia="Arial" w:hAnsi="Arial"/>
                <w:sz w:val="16"/>
                <w:szCs w:val="16"/>
                <w:color w:val="auto"/>
              </w:rPr>
              <w:t>-113.3%</w:t>
            </w:r>
          </w:p>
        </w:tc>
        <w:tc>
          <w:tcPr>
            <w:tcW w:w="1360" w:type="dxa"/>
            <w:vAlign w:val="bottom"/>
          </w:tcPr>
          <w:p>
            <w:pPr>
              <w:jc w:val="right"/>
              <w:ind w:right="338"/>
              <w:spacing w:after="0"/>
              <w:rPr>
                <w:sz w:val="20"/>
                <w:szCs w:val="20"/>
                <w:color w:val="auto"/>
              </w:rPr>
            </w:pPr>
            <w:r>
              <w:rPr>
                <w:rFonts w:ascii="Arial" w:cs="Arial" w:eastAsia="Arial" w:hAnsi="Arial"/>
                <w:sz w:val="16"/>
                <w:szCs w:val="16"/>
                <w:color w:val="auto"/>
              </w:rPr>
              <w:t>146.0%</w:t>
            </w:r>
          </w:p>
        </w:tc>
        <w:tc>
          <w:tcPr>
            <w:tcW w:w="940" w:type="dxa"/>
            <w:vAlign w:val="bottom"/>
          </w:tcPr>
          <w:p>
            <w:pPr>
              <w:jc w:val="right"/>
              <w:spacing w:after="0"/>
              <w:rPr>
                <w:sz w:val="20"/>
                <w:szCs w:val="20"/>
                <w:color w:val="auto"/>
              </w:rPr>
            </w:pPr>
            <w:r>
              <w:rPr>
                <w:rFonts w:ascii="Arial" w:cs="Arial" w:eastAsia="Arial" w:hAnsi="Arial"/>
                <w:sz w:val="16"/>
                <w:szCs w:val="16"/>
                <w:color w:val="auto"/>
              </w:rPr>
              <w:t>207.6%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Total without commercial lines</w:t>
            </w:r>
          </w:p>
        </w:tc>
        <w:tc>
          <w:tcPr>
            <w:tcW w:w="2580" w:type="dxa"/>
            <w:vAlign w:val="bottom"/>
            <w:shd w:val="clear" w:color="auto" w:fill="CCEEFF"/>
          </w:tcPr>
          <w:p>
            <w:pPr>
              <w:jc w:val="right"/>
              <w:ind w:right="318"/>
              <w:spacing w:after="0"/>
              <w:rPr>
                <w:sz w:val="20"/>
                <w:szCs w:val="20"/>
                <w:color w:val="auto"/>
              </w:rPr>
            </w:pPr>
            <w:r>
              <w:rPr>
                <w:rFonts w:ascii="Arial" w:cs="Arial" w:eastAsia="Arial" w:hAnsi="Arial"/>
                <w:sz w:val="16"/>
                <w:szCs w:val="16"/>
                <w:color w:val="auto"/>
              </w:rPr>
              <w:t>55.0%</w:t>
            </w:r>
          </w:p>
        </w:tc>
        <w:tc>
          <w:tcPr>
            <w:tcW w:w="1400" w:type="dxa"/>
            <w:vAlign w:val="bottom"/>
            <w:shd w:val="clear" w:color="auto" w:fill="CCEEFF"/>
          </w:tcPr>
          <w:p>
            <w:pPr>
              <w:jc w:val="right"/>
              <w:ind w:right="338"/>
              <w:spacing w:after="0"/>
              <w:rPr>
                <w:sz w:val="20"/>
                <w:szCs w:val="20"/>
                <w:color w:val="auto"/>
              </w:rPr>
            </w:pPr>
            <w:r>
              <w:rPr>
                <w:rFonts w:ascii="Arial" w:cs="Arial" w:eastAsia="Arial" w:hAnsi="Arial"/>
                <w:sz w:val="16"/>
                <w:szCs w:val="16"/>
                <w:color w:val="auto"/>
              </w:rPr>
              <w:t>46.0%</w:t>
            </w:r>
          </w:p>
        </w:tc>
        <w:tc>
          <w:tcPr>
            <w:tcW w:w="1360" w:type="dxa"/>
            <w:vAlign w:val="bottom"/>
            <w:shd w:val="clear" w:color="auto" w:fill="CCEEFF"/>
          </w:tcPr>
          <w:p>
            <w:pPr>
              <w:jc w:val="right"/>
              <w:ind w:right="338"/>
              <w:spacing w:after="0"/>
              <w:rPr>
                <w:sz w:val="20"/>
                <w:szCs w:val="20"/>
                <w:color w:val="auto"/>
              </w:rPr>
            </w:pPr>
            <w:r>
              <w:rPr>
                <w:rFonts w:ascii="Arial" w:cs="Arial" w:eastAsia="Arial" w:hAnsi="Arial"/>
                <w:sz w:val="16"/>
                <w:szCs w:val="16"/>
                <w:color w:val="auto"/>
              </w:rPr>
              <w:t>63.3%</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Commercial lines (in run-off effective July 2019)(2)</w:t>
            </w:r>
          </w:p>
        </w:tc>
        <w:tc>
          <w:tcPr>
            <w:tcW w:w="2580" w:type="dxa"/>
            <w:vAlign w:val="bottom"/>
            <w:shd w:val="clear" w:color="auto" w:fill="CCEEFF"/>
          </w:tcPr>
          <w:p>
            <w:pPr>
              <w:jc w:val="right"/>
              <w:ind w:right="318"/>
              <w:spacing w:after="0"/>
              <w:rPr>
                <w:sz w:val="20"/>
                <w:szCs w:val="20"/>
                <w:color w:val="auto"/>
              </w:rPr>
            </w:pPr>
            <w:r>
              <w:rPr>
                <w:rFonts w:ascii="Arial" w:cs="Arial" w:eastAsia="Arial" w:hAnsi="Arial"/>
                <w:sz w:val="16"/>
                <w:szCs w:val="16"/>
                <w:color w:val="auto"/>
              </w:rPr>
              <w:t>214.2%</w:t>
            </w:r>
          </w:p>
        </w:tc>
        <w:tc>
          <w:tcPr>
            <w:tcW w:w="1400" w:type="dxa"/>
            <w:vAlign w:val="bottom"/>
            <w:shd w:val="clear" w:color="auto" w:fill="CCEEFF"/>
          </w:tcPr>
          <w:p>
            <w:pPr>
              <w:jc w:val="right"/>
              <w:ind w:right="338"/>
              <w:spacing w:after="0"/>
              <w:rPr>
                <w:sz w:val="20"/>
                <w:szCs w:val="20"/>
                <w:color w:val="auto"/>
              </w:rPr>
            </w:pPr>
            <w:r>
              <w:rPr>
                <w:rFonts w:ascii="Arial" w:cs="Arial" w:eastAsia="Arial" w:hAnsi="Arial"/>
                <w:sz w:val="16"/>
                <w:szCs w:val="16"/>
                <w:color w:val="auto"/>
              </w:rPr>
              <w:t>63.9%</w:t>
            </w:r>
          </w:p>
        </w:tc>
        <w:tc>
          <w:tcPr>
            <w:tcW w:w="1360" w:type="dxa"/>
            <w:vAlign w:val="bottom"/>
            <w:shd w:val="clear" w:color="auto" w:fill="CCEEFF"/>
          </w:tcPr>
          <w:p>
            <w:pPr>
              <w:jc w:val="right"/>
              <w:ind w:right="338"/>
              <w:spacing w:after="0"/>
              <w:rPr>
                <w:sz w:val="20"/>
                <w:szCs w:val="20"/>
                <w:color w:val="auto"/>
              </w:rPr>
            </w:pPr>
            <w:r>
              <w:rPr>
                <w:rFonts w:ascii="Arial" w:cs="Arial" w:eastAsia="Arial" w:hAnsi="Arial"/>
                <w:sz w:val="16"/>
                <w:szCs w:val="16"/>
                <w:color w:val="auto"/>
              </w:rPr>
              <w:t>167.3%</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140" w:type="dxa"/>
            <w:vAlign w:val="bottom"/>
          </w:tcPr>
          <w:p>
            <w:pPr>
              <w:ind w:left="200"/>
              <w:spacing w:after="0"/>
              <w:rPr>
                <w:sz w:val="20"/>
                <w:szCs w:val="20"/>
                <w:color w:val="auto"/>
              </w:rPr>
            </w:pPr>
            <w:r>
              <w:rPr>
                <w:rFonts w:ascii="Arial" w:cs="Arial" w:eastAsia="Arial" w:hAnsi="Arial"/>
                <w:sz w:val="16"/>
                <w:szCs w:val="16"/>
                <w:color w:val="auto"/>
              </w:rPr>
              <w:t>Total</w:t>
            </w:r>
          </w:p>
        </w:tc>
        <w:tc>
          <w:tcPr>
            <w:tcW w:w="2580" w:type="dxa"/>
            <w:vAlign w:val="bottom"/>
          </w:tcPr>
          <w:p>
            <w:pPr>
              <w:jc w:val="right"/>
              <w:ind w:right="318"/>
              <w:spacing w:after="0"/>
              <w:rPr>
                <w:sz w:val="20"/>
                <w:szCs w:val="20"/>
                <w:color w:val="auto"/>
              </w:rPr>
            </w:pPr>
            <w:r>
              <w:rPr>
                <w:rFonts w:ascii="Arial" w:cs="Arial" w:eastAsia="Arial" w:hAnsi="Arial"/>
                <w:sz w:val="16"/>
                <w:szCs w:val="16"/>
                <w:color w:val="auto"/>
              </w:rPr>
              <w:t>72.4%</w:t>
            </w:r>
          </w:p>
        </w:tc>
        <w:tc>
          <w:tcPr>
            <w:tcW w:w="1400" w:type="dxa"/>
            <w:vAlign w:val="bottom"/>
          </w:tcPr>
          <w:p>
            <w:pPr>
              <w:jc w:val="right"/>
              <w:ind w:right="338"/>
              <w:spacing w:after="0"/>
              <w:rPr>
                <w:sz w:val="20"/>
                <w:szCs w:val="20"/>
                <w:color w:val="auto"/>
              </w:rPr>
            </w:pPr>
            <w:r>
              <w:rPr>
                <w:rFonts w:ascii="Arial" w:cs="Arial" w:eastAsia="Arial" w:hAnsi="Arial"/>
                <w:sz w:val="16"/>
                <w:szCs w:val="16"/>
                <w:color w:val="auto"/>
              </w:rPr>
              <w:t>48.3%</w:t>
            </w:r>
          </w:p>
        </w:tc>
        <w:tc>
          <w:tcPr>
            <w:tcW w:w="1360" w:type="dxa"/>
            <w:vAlign w:val="bottom"/>
          </w:tcPr>
          <w:p>
            <w:pPr>
              <w:jc w:val="right"/>
              <w:ind w:right="338"/>
              <w:spacing w:after="0"/>
              <w:rPr>
                <w:sz w:val="20"/>
                <w:szCs w:val="20"/>
                <w:color w:val="auto"/>
              </w:rPr>
            </w:pPr>
            <w:r>
              <w:rPr>
                <w:rFonts w:ascii="Arial" w:cs="Arial" w:eastAsia="Arial" w:hAnsi="Arial"/>
                <w:sz w:val="16"/>
                <w:szCs w:val="16"/>
                <w:color w:val="auto"/>
              </w:rPr>
              <w:t>75.3%</w:t>
            </w:r>
          </w:p>
        </w:tc>
        <w:tc>
          <w:tcPr>
            <w:tcW w:w="940" w:type="dxa"/>
            <w:vAlign w:val="bottom"/>
          </w:tcPr>
          <w:p>
            <w:pPr>
              <w:jc w:val="right"/>
              <w:spacing w:after="0"/>
              <w:rPr>
                <w:sz w:val="20"/>
                <w:szCs w:val="20"/>
                <w:color w:val="auto"/>
              </w:rPr>
            </w:pPr>
            <w:r>
              <w:rPr>
                <w:rFonts w:ascii="Arial" w:cs="Arial" w:eastAsia="Arial" w:hAnsi="Arial"/>
                <w:sz w:val="16"/>
                <w:szCs w:val="16"/>
                <w:color w:val="auto"/>
              </w:rPr>
              <w:t>56.0%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60" w:hanging="307"/>
        <w:spacing w:after="0" w:line="268"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“Other” includes, among other things, premiums and loss and loss adjustment expenses from our participation in a mandatory state joint underwriting association and loss and loss adjustment expenses from commercial auto.</w:t>
      </w:r>
    </w:p>
    <w:p>
      <w:pPr>
        <w:ind w:left="460" w:hanging="307"/>
        <w:spacing w:after="0"/>
        <w:tabs>
          <w:tab w:leader="none" w:pos="4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In July 2019, we decided that we will no longer underwrite Commercial Liability risks. See discussions above regarding the discontinuation of this line of business.</w:t>
      </w:r>
    </w:p>
    <w:p>
      <w:pPr>
        <w:spacing w:after="0" w:line="30" w:lineRule="exact"/>
        <w:rPr>
          <w:rFonts w:ascii="Arial" w:cs="Arial" w:eastAsia="Arial" w:hAnsi="Arial"/>
          <w:sz w:val="15"/>
          <w:szCs w:val="15"/>
          <w:color w:val="auto"/>
        </w:rPr>
      </w:pPr>
    </w:p>
    <w:p>
      <w:pPr>
        <w:ind w:left="460" w:hanging="307"/>
        <w:spacing w:after="0"/>
        <w:tabs>
          <w:tab w:leader="none" w:pos="4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See discussions above with regard to “Net Written Premiums and Net Premiums Earned”, as to changes in quota share ceding rates, effective July 1, 2018 and 2017.</w:t>
      </w:r>
    </w:p>
    <w:p>
      <w:pPr>
        <w:spacing w:after="0" w:line="41" w:lineRule="exact"/>
        <w:rPr>
          <w:rFonts w:ascii="Arial" w:cs="Arial" w:eastAsia="Arial" w:hAnsi="Arial"/>
          <w:sz w:val="14"/>
          <w:szCs w:val="14"/>
          <w:color w:val="auto"/>
        </w:rPr>
      </w:pPr>
    </w:p>
    <w:p>
      <w:pPr>
        <w:ind w:left="460" w:hanging="307"/>
        <w:spacing w:after="0"/>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See discussions above with regard to “Net Loss and LAE”, as to catastrophe losses in the three and nine months ended September 30, 2019 and 2018.</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532" w:right="239" w:bottom="1440" w:gutter="0" w:footer="0" w:header="0"/>
        </w:sectPr>
      </w:pPr>
    </w:p>
    <w:bookmarkStart w:id="56" w:name="page57"/>
    <w:bookmarkEnd w:id="56"/>
    <w:p>
      <w:pPr>
        <w:spacing w:after="0"/>
        <w:rPr>
          <w:sz w:val="20"/>
          <w:szCs w:val="20"/>
          <w:color w:val="auto"/>
        </w:rPr>
      </w:pPr>
      <w:r>
        <w:rPr>
          <w:rFonts w:ascii="Arial" w:cs="Arial" w:eastAsia="Arial" w:hAnsi="Arial"/>
          <w:sz w:val="16"/>
          <w:szCs w:val="16"/>
          <w:b w:val="1"/>
          <w:bCs w:val="1"/>
          <w:color w:val="auto"/>
        </w:rPr>
        <w:t>Insurance Underwriting Business on a Standalone Basis</w:t>
      </w:r>
    </w:p>
    <w:p>
      <w:pPr>
        <w:spacing w:after="0" w:line="29"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Our insurance underwriting business reported on a standalone basis for the periods indicated is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2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440" w:type="dxa"/>
            <w:vAlign w:val="bottom"/>
            <w:gridSpan w:val="7"/>
          </w:tcPr>
          <w:p>
            <w:pPr>
              <w:ind w:left="4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08"/>
        </w:trPr>
        <w:tc>
          <w:tcPr>
            <w:tcW w:w="45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top w:val="single" w:sz="8" w:color="auto"/>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5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4520" w:type="dxa"/>
            <w:vAlign w:val="bottom"/>
          </w:tcPr>
          <w:p>
            <w:pPr>
              <w:ind w:left="40"/>
              <w:spacing w:after="0"/>
              <w:rPr>
                <w:sz w:val="20"/>
                <w:szCs w:val="20"/>
                <w:color w:val="auto"/>
              </w:rPr>
            </w:pPr>
            <w:r>
              <w:rPr>
                <w:rFonts w:ascii="Arial" w:cs="Arial" w:eastAsia="Arial" w:hAnsi="Arial"/>
                <w:sz w:val="16"/>
                <w:szCs w:val="16"/>
                <w:b w:val="1"/>
                <w:bCs w:val="1"/>
                <w:color w:val="auto"/>
              </w:rPr>
              <w:t>Revenue</w:t>
            </w:r>
            <w:r>
              <w:rPr>
                <w:rFonts w:ascii="Arial" w:cs="Arial" w:eastAsia="Arial" w:hAnsi="Arial"/>
                <w:sz w:val="16"/>
                <w:szCs w:val="16"/>
                <w:color w:val="auto"/>
              </w:rPr>
              <w:t>s</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45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premiums earned</w:t>
            </w: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34,220,010</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4"/>
              </w:rPr>
              <w:t>27,533,907</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95,017,178</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2"/>
              </w:rPr>
              <w:t>74,476,138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tcPr>
          <w:p>
            <w:pPr>
              <w:ind w:left="200"/>
              <w:spacing w:after="0"/>
              <w:rPr>
                <w:sz w:val="20"/>
                <w:szCs w:val="20"/>
                <w:color w:val="auto"/>
              </w:rPr>
            </w:pPr>
            <w:r>
              <w:rPr>
                <w:rFonts w:ascii="Arial" w:cs="Arial" w:eastAsia="Arial" w:hAnsi="Arial"/>
                <w:sz w:val="16"/>
                <w:szCs w:val="16"/>
                <w:color w:val="auto"/>
              </w:rPr>
              <w:t>Ceding commission revenue</w:t>
            </w: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1,029,582</w:t>
            </w:r>
          </w:p>
        </w:tc>
        <w:tc>
          <w:tcPr>
            <w:tcW w:w="32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1,044,529</w:t>
            </w:r>
          </w:p>
        </w:tc>
        <w:tc>
          <w:tcPr>
            <w:tcW w:w="18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2,982,960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4,430,855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investment income</w:t>
            </w:r>
          </w:p>
        </w:tc>
        <w:tc>
          <w:tcPr>
            <w:tcW w:w="1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1,832,523</w:t>
            </w:r>
          </w:p>
        </w:tc>
        <w:tc>
          <w:tcPr>
            <w:tcW w:w="320" w:type="dxa"/>
            <w:vAlign w:val="bottom"/>
            <w:shd w:val="clear" w:color="auto" w:fill="CCEEFF"/>
          </w:tcPr>
          <w:p>
            <w:pPr>
              <w:spacing w:after="0"/>
              <w:rPr>
                <w:sz w:val="17"/>
                <w:szCs w:val="17"/>
                <w:color w:val="auto"/>
              </w:rPr>
            </w:pPr>
          </w:p>
        </w:tc>
        <w:tc>
          <w:tcPr>
            <w:tcW w:w="10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1,544,327</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5,129,947</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4,459,479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tcPr>
          <w:p>
            <w:pPr>
              <w:ind w:left="200"/>
              <w:spacing w:after="0"/>
              <w:rPr>
                <w:sz w:val="20"/>
                <w:szCs w:val="20"/>
                <w:color w:val="auto"/>
              </w:rPr>
            </w:pPr>
            <w:r>
              <w:rPr>
                <w:rFonts w:ascii="Arial" w:cs="Arial" w:eastAsia="Arial" w:hAnsi="Arial"/>
                <w:sz w:val="16"/>
                <w:szCs w:val="16"/>
                <w:color w:val="auto"/>
              </w:rPr>
              <w:t>Net gains (losses) on investments</w:t>
            </w: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995,040</w:t>
            </w:r>
          </w:p>
        </w:tc>
        <w:tc>
          <w:tcPr>
            <w:tcW w:w="32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346,300</w:t>
            </w:r>
          </w:p>
        </w:tc>
        <w:tc>
          <w:tcPr>
            <w:tcW w:w="18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3,652,189</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(283,061)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income</w:t>
            </w:r>
          </w:p>
        </w:tc>
        <w:tc>
          <w:tcPr>
            <w:tcW w:w="1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340,505</w:t>
            </w:r>
          </w:p>
        </w:tc>
        <w:tc>
          <w:tcPr>
            <w:tcW w:w="320" w:type="dxa"/>
            <w:vAlign w:val="bottom"/>
            <w:shd w:val="clear" w:color="auto" w:fill="CCEEFF"/>
          </w:tcPr>
          <w:p>
            <w:pPr>
              <w:spacing w:after="0"/>
              <w:rPr>
                <w:sz w:val="17"/>
                <w:szCs w:val="17"/>
                <w:color w:val="auto"/>
              </w:rPr>
            </w:pPr>
          </w:p>
        </w:tc>
        <w:tc>
          <w:tcPr>
            <w:tcW w:w="10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352,476</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992,097</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937,264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45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4520" w:type="dxa"/>
            <w:vAlign w:val="bottom"/>
          </w:tcPr>
          <w:p>
            <w:pPr>
              <w:ind w:left="340"/>
              <w:spacing w:after="0"/>
              <w:rPr>
                <w:sz w:val="20"/>
                <w:szCs w:val="20"/>
                <w:color w:val="auto"/>
              </w:rPr>
            </w:pPr>
            <w:r>
              <w:rPr>
                <w:rFonts w:ascii="Arial" w:cs="Arial" w:eastAsia="Arial" w:hAnsi="Arial"/>
                <w:sz w:val="16"/>
                <w:szCs w:val="16"/>
                <w:color w:val="auto"/>
              </w:rPr>
              <w:t>Total revenues</w:t>
            </w: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38,417,660</w:t>
            </w:r>
          </w:p>
        </w:tc>
        <w:tc>
          <w:tcPr>
            <w:tcW w:w="3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w w:val="94"/>
              </w:rPr>
              <w:t>30,821,539</w:t>
            </w:r>
          </w:p>
        </w:tc>
        <w:tc>
          <w:tcPr>
            <w:tcW w:w="18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107,774,371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w w:val="92"/>
              </w:rPr>
              <w:t>84,020,675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tcPr>
          <w:p>
            <w:pPr>
              <w:ind w:left="40"/>
              <w:spacing w:after="0"/>
              <w:rPr>
                <w:sz w:val="20"/>
                <w:szCs w:val="20"/>
                <w:color w:val="auto"/>
              </w:rPr>
            </w:pPr>
            <w:r>
              <w:rPr>
                <w:rFonts w:ascii="Arial" w:cs="Arial" w:eastAsia="Arial" w:hAnsi="Arial"/>
                <w:sz w:val="16"/>
                <w:szCs w:val="16"/>
                <w:b w:val="1"/>
                <w:bCs w:val="1"/>
                <w:color w:val="auto"/>
              </w:rPr>
              <w:t>Expense</w:t>
            </w:r>
            <w:r>
              <w:rPr>
                <w:rFonts w:ascii="Arial" w:cs="Arial" w:eastAsia="Arial" w:hAnsi="Arial"/>
                <w:sz w:val="16"/>
                <w:szCs w:val="16"/>
                <w:color w:val="auto"/>
              </w:rPr>
              <w:t>s</w:t>
            </w: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Loss and loss adjustment expenses</w:t>
            </w:r>
          </w:p>
        </w:tc>
        <w:tc>
          <w:tcPr>
            <w:tcW w:w="1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24,781,318</w:t>
            </w:r>
          </w:p>
        </w:tc>
        <w:tc>
          <w:tcPr>
            <w:tcW w:w="320" w:type="dxa"/>
            <w:vAlign w:val="bottom"/>
            <w:shd w:val="clear" w:color="auto" w:fill="CCEEFF"/>
          </w:tcPr>
          <w:p>
            <w:pPr>
              <w:spacing w:after="0"/>
              <w:rPr>
                <w:sz w:val="17"/>
                <w:szCs w:val="17"/>
                <w:color w:val="auto"/>
              </w:rPr>
            </w:pPr>
          </w:p>
        </w:tc>
        <w:tc>
          <w:tcPr>
            <w:tcW w:w="10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4"/>
              </w:rPr>
              <w:t>13,296,708</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71,587,850</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2"/>
              </w:rPr>
              <w:t>41,739,123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tcPr>
          <w:p>
            <w:pPr>
              <w:ind w:left="200"/>
              <w:spacing w:after="0"/>
              <w:rPr>
                <w:sz w:val="20"/>
                <w:szCs w:val="20"/>
                <w:color w:val="auto"/>
              </w:rPr>
            </w:pPr>
            <w:r>
              <w:rPr>
                <w:rFonts w:ascii="Arial" w:cs="Arial" w:eastAsia="Arial" w:hAnsi="Arial"/>
                <w:sz w:val="16"/>
                <w:szCs w:val="16"/>
                <w:color w:val="auto"/>
              </w:rPr>
              <w:t>Commission expense</w:t>
            </w: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7,779,344</w:t>
            </w:r>
          </w:p>
        </w:tc>
        <w:tc>
          <w:tcPr>
            <w:tcW w:w="32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6,594,323</w:t>
            </w:r>
          </w:p>
        </w:tc>
        <w:tc>
          <w:tcPr>
            <w:tcW w:w="18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21,931,933</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w w:val="92"/>
              </w:rPr>
              <w:t>18,411,460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underwriting expenses</w:t>
            </w:r>
          </w:p>
        </w:tc>
        <w:tc>
          <w:tcPr>
            <w:tcW w:w="1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6,430,734</w:t>
            </w:r>
          </w:p>
        </w:tc>
        <w:tc>
          <w:tcPr>
            <w:tcW w:w="320" w:type="dxa"/>
            <w:vAlign w:val="bottom"/>
            <w:shd w:val="clear" w:color="auto" w:fill="CCEEFF"/>
          </w:tcPr>
          <w:p>
            <w:pPr>
              <w:spacing w:after="0"/>
              <w:rPr>
                <w:sz w:val="17"/>
                <w:szCs w:val="17"/>
                <w:color w:val="auto"/>
              </w:rPr>
            </w:pPr>
          </w:p>
        </w:tc>
        <w:tc>
          <w:tcPr>
            <w:tcW w:w="10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5,193,679</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17,983,174</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2"/>
              </w:rPr>
              <w:t>15,301,168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622,222</w:t>
            </w:r>
          </w:p>
        </w:tc>
        <w:tc>
          <w:tcPr>
            <w:tcW w:w="32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440,383</w:t>
            </w:r>
          </w:p>
        </w:tc>
        <w:tc>
          <w:tcPr>
            <w:tcW w:w="18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1,804,265</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1,273,975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45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45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expenses</w:t>
            </w: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39,613,618</w:t>
            </w:r>
          </w:p>
        </w:tc>
        <w:tc>
          <w:tcPr>
            <w:tcW w:w="32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4"/>
              </w:rPr>
              <w:t>25,525,093</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113,307,222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2"/>
              </w:rPr>
              <w:t>76,725,726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20" w:type="dxa"/>
            <w:vAlign w:val="bottom"/>
            <w:tcBorders>
              <w:top w:val="single" w:sz="8" w:color="CCEEFF"/>
            </w:tcBorders>
          </w:tcPr>
          <w:p>
            <w:pPr>
              <w:spacing w:after="0"/>
              <w:rPr>
                <w:sz w:val="17"/>
                <w:szCs w:val="17"/>
                <w:color w:val="auto"/>
              </w:rPr>
            </w:pPr>
          </w:p>
        </w:tc>
        <w:tc>
          <w:tcPr>
            <w:tcW w:w="15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(Loss) income from operations</w:t>
            </w:r>
          </w:p>
        </w:tc>
        <w:tc>
          <w:tcPr>
            <w:tcW w:w="1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(1,195,958)</w:t>
            </w:r>
          </w:p>
        </w:tc>
        <w:tc>
          <w:tcPr>
            <w:tcW w:w="320" w:type="dxa"/>
            <w:vAlign w:val="bottom"/>
            <w:shd w:val="clear" w:color="auto" w:fill="CCEEFF"/>
          </w:tcPr>
          <w:p>
            <w:pPr>
              <w:spacing w:after="0"/>
              <w:rPr>
                <w:sz w:val="17"/>
                <w:szCs w:val="17"/>
                <w:color w:val="auto"/>
              </w:rPr>
            </w:pPr>
          </w:p>
        </w:tc>
        <w:tc>
          <w:tcPr>
            <w:tcW w:w="10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5,296,446</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(5,532,851)</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7,294,949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tcPr>
          <w:p>
            <w:pPr>
              <w:ind w:left="200"/>
              <w:spacing w:after="0"/>
              <w:rPr>
                <w:sz w:val="20"/>
                <w:szCs w:val="20"/>
                <w:color w:val="auto"/>
              </w:rPr>
            </w:pPr>
            <w:r>
              <w:rPr>
                <w:rFonts w:ascii="Arial" w:cs="Arial" w:eastAsia="Arial" w:hAnsi="Arial"/>
                <w:sz w:val="16"/>
                <w:szCs w:val="16"/>
                <w:color w:val="auto"/>
              </w:rPr>
              <w:t>Income tax (benefit) expense</w:t>
            </w: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(293,183)</w:t>
            </w:r>
          </w:p>
        </w:tc>
        <w:tc>
          <w:tcPr>
            <w:tcW w:w="32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1,075,104</w:t>
            </w:r>
          </w:p>
        </w:tc>
        <w:tc>
          <w:tcPr>
            <w:tcW w:w="18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(1,251,113)</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1,452,750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45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Net (loss) income</w:t>
            </w: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(902,775)</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4,221,342</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(4,281,738)</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5,842,199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4520" w:type="dxa"/>
            <w:vAlign w:val="bottom"/>
            <w:tcBorders>
              <w:top w:val="single" w:sz="8" w:color="CCEEFF"/>
            </w:tcBorders>
          </w:tcPr>
          <w:p>
            <w:pPr>
              <w:spacing w:after="0"/>
              <w:rPr>
                <w:sz w:val="16"/>
                <w:szCs w:val="16"/>
                <w:color w:val="auto"/>
              </w:rPr>
            </w:pPr>
          </w:p>
        </w:tc>
        <w:tc>
          <w:tcPr>
            <w:tcW w:w="158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tcPr>
          <w:p>
            <w:pPr>
              <w:ind w:left="40"/>
              <w:spacing w:after="0"/>
              <w:rPr>
                <w:sz w:val="20"/>
                <w:szCs w:val="20"/>
                <w:color w:val="auto"/>
              </w:rPr>
            </w:pPr>
            <w:r>
              <w:rPr>
                <w:rFonts w:ascii="Arial" w:cs="Arial" w:eastAsia="Arial" w:hAnsi="Arial"/>
                <w:sz w:val="16"/>
                <w:szCs w:val="16"/>
                <w:b w:val="1"/>
                <w:bCs w:val="1"/>
                <w:color w:val="auto"/>
              </w:rPr>
              <w:t>Key Measures:</w:t>
            </w: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loss ratio</w:t>
            </w:r>
          </w:p>
        </w:tc>
        <w:tc>
          <w:tcPr>
            <w:tcW w:w="1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72.4%</w:t>
            </w:r>
          </w:p>
        </w:tc>
        <w:tc>
          <w:tcPr>
            <w:tcW w:w="320" w:type="dxa"/>
            <w:vAlign w:val="bottom"/>
            <w:shd w:val="clear" w:color="auto" w:fill="CCEEFF"/>
          </w:tcPr>
          <w:p>
            <w:pPr>
              <w:spacing w:after="0"/>
              <w:rPr>
                <w:sz w:val="17"/>
                <w:szCs w:val="17"/>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48.3%</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75.3%</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tcPr>
          <w:p>
            <w:pPr>
              <w:ind w:left="200"/>
              <w:spacing w:after="0"/>
              <w:rPr>
                <w:sz w:val="20"/>
                <w:szCs w:val="20"/>
                <w:color w:val="auto"/>
              </w:rPr>
            </w:pPr>
            <w:r>
              <w:rPr>
                <w:rFonts w:ascii="Arial" w:cs="Arial" w:eastAsia="Arial" w:hAnsi="Arial"/>
                <w:sz w:val="16"/>
                <w:szCs w:val="16"/>
                <w:color w:val="auto"/>
              </w:rPr>
              <w:t>Net underwriting expense ratio</w:t>
            </w: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37.5%</w:t>
            </w:r>
          </w:p>
        </w:tc>
        <w:tc>
          <w:tcPr>
            <w:tcW w:w="32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37.7%</w:t>
            </w:r>
          </w:p>
        </w:tc>
        <w:tc>
          <w:tcPr>
            <w:tcW w:w="18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37.8%</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38.1%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45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combined ratio</w:t>
            </w:r>
          </w:p>
        </w:tc>
        <w:tc>
          <w:tcPr>
            <w:tcW w:w="15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109.9%</w:t>
            </w:r>
          </w:p>
        </w:tc>
        <w:tc>
          <w:tcPr>
            <w:tcW w:w="32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86.0%</w:t>
            </w: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113.1%</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94.1%</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4520" w:type="dxa"/>
            <w:vAlign w:val="bottom"/>
            <w:tcBorders>
              <w:top w:val="single" w:sz="8" w:color="CCEEFF"/>
            </w:tcBorders>
          </w:tcPr>
          <w:p>
            <w:pPr>
              <w:spacing w:after="0"/>
              <w:rPr>
                <w:sz w:val="16"/>
                <w:szCs w:val="16"/>
                <w:color w:val="auto"/>
              </w:rPr>
            </w:pPr>
          </w:p>
        </w:tc>
        <w:tc>
          <w:tcPr>
            <w:tcW w:w="158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Reconciliation of net underwriting expense ratio:</w:t>
            </w:r>
          </w:p>
        </w:tc>
        <w:tc>
          <w:tcPr>
            <w:tcW w:w="1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tcPr>
          <w:p>
            <w:pPr>
              <w:ind w:left="180"/>
              <w:spacing w:after="0"/>
              <w:rPr>
                <w:sz w:val="20"/>
                <w:szCs w:val="20"/>
                <w:color w:val="auto"/>
              </w:rPr>
            </w:pPr>
            <w:r>
              <w:rPr>
                <w:rFonts w:ascii="Arial" w:cs="Arial" w:eastAsia="Arial" w:hAnsi="Arial"/>
                <w:sz w:val="16"/>
                <w:szCs w:val="16"/>
                <w:color w:val="auto"/>
              </w:rPr>
              <w:t>Acquisition costs and other</w:t>
            </w: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underwriting expenses</w:t>
            </w: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14,210,078</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4"/>
              </w:rPr>
              <w:t>11,788,002</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39,915,107</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2"/>
              </w:rPr>
              <w:t>33,712,628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tcPr>
          <w:p>
            <w:pPr>
              <w:ind w:left="200"/>
              <w:spacing w:after="0"/>
              <w:rPr>
                <w:sz w:val="20"/>
                <w:szCs w:val="20"/>
                <w:color w:val="auto"/>
              </w:rPr>
            </w:pPr>
            <w:r>
              <w:rPr>
                <w:rFonts w:ascii="Arial" w:cs="Arial" w:eastAsia="Arial" w:hAnsi="Arial"/>
                <w:sz w:val="16"/>
                <w:szCs w:val="16"/>
                <w:color w:val="auto"/>
              </w:rPr>
              <w:t>Less: Ceding commission revenue</w:t>
            </w: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(1,029,582)</w:t>
            </w:r>
          </w:p>
        </w:tc>
        <w:tc>
          <w:tcPr>
            <w:tcW w:w="32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w w:val="97"/>
              </w:rPr>
              <w:t>(1,044,529)</w:t>
            </w:r>
          </w:p>
        </w:tc>
        <w:tc>
          <w:tcPr>
            <w:tcW w:w="18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(2,982,960)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w w:val="97"/>
              </w:rPr>
              <w:t>(4,430,855)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Less: Other income</w:t>
            </w:r>
          </w:p>
        </w:tc>
        <w:tc>
          <w:tcPr>
            <w:tcW w:w="1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(340,505)</w:t>
            </w:r>
          </w:p>
        </w:tc>
        <w:tc>
          <w:tcPr>
            <w:tcW w:w="320" w:type="dxa"/>
            <w:vAlign w:val="bottom"/>
            <w:shd w:val="clear" w:color="auto" w:fill="CCEEFF"/>
          </w:tcPr>
          <w:p>
            <w:pPr>
              <w:spacing w:after="0"/>
              <w:rPr>
                <w:sz w:val="17"/>
                <w:szCs w:val="17"/>
                <w:color w:val="auto"/>
              </w:rPr>
            </w:pPr>
          </w:p>
        </w:tc>
        <w:tc>
          <w:tcPr>
            <w:tcW w:w="10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(352,476)</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(992,097)</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(937,264)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45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520" w:type="dxa"/>
            <w:vAlign w:val="bottom"/>
          </w:tcPr>
          <w:p>
            <w:pPr>
              <w:ind w:left="200"/>
              <w:spacing w:after="0"/>
              <w:rPr>
                <w:sz w:val="20"/>
                <w:szCs w:val="20"/>
                <w:color w:val="auto"/>
              </w:rPr>
            </w:pPr>
            <w:r>
              <w:rPr>
                <w:rFonts w:ascii="Arial" w:cs="Arial" w:eastAsia="Arial" w:hAnsi="Arial"/>
                <w:sz w:val="16"/>
                <w:szCs w:val="16"/>
                <w:color w:val="auto"/>
              </w:rPr>
              <w:t>Net underwriting expenses</w:t>
            </w:r>
          </w:p>
        </w:tc>
        <w:tc>
          <w:tcPr>
            <w:tcW w:w="17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12,839,991</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w w:val="94"/>
              </w:rPr>
              <w:t>10,390,997</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35,940,050</w:t>
            </w:r>
          </w:p>
        </w:tc>
        <w:tc>
          <w:tcPr>
            <w:tcW w:w="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w w:val="92"/>
              </w:rPr>
              <w:t>28,344,509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52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20" w:type="dxa"/>
            <w:vAlign w:val="bottom"/>
          </w:tcPr>
          <w:p>
            <w:pPr>
              <w:ind w:left="200"/>
              <w:spacing w:after="0"/>
              <w:rPr>
                <w:sz w:val="20"/>
                <w:szCs w:val="20"/>
                <w:color w:val="auto"/>
              </w:rPr>
            </w:pPr>
            <w:r>
              <w:rPr>
                <w:rFonts w:ascii="Arial" w:cs="Arial" w:eastAsia="Arial" w:hAnsi="Arial"/>
                <w:sz w:val="16"/>
                <w:szCs w:val="16"/>
                <w:color w:val="auto"/>
              </w:rPr>
              <w:t>Net premiums earned</w:t>
            </w:r>
          </w:p>
        </w:tc>
        <w:tc>
          <w:tcPr>
            <w:tcW w:w="17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34,220,010</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w w:val="94"/>
              </w:rPr>
              <w:t>27,533,907</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95,017,178</w:t>
            </w:r>
          </w:p>
        </w:tc>
        <w:tc>
          <w:tcPr>
            <w:tcW w:w="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w w:val="92"/>
              </w:rPr>
              <w:t>74,476,138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52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20" w:type="dxa"/>
            <w:vAlign w:val="bottom"/>
          </w:tcPr>
          <w:p>
            <w:pPr>
              <w:ind w:left="200"/>
              <w:spacing w:after="0"/>
              <w:rPr>
                <w:sz w:val="20"/>
                <w:szCs w:val="20"/>
                <w:color w:val="auto"/>
              </w:rPr>
            </w:pPr>
            <w:r>
              <w:rPr>
                <w:rFonts w:ascii="Arial" w:cs="Arial" w:eastAsia="Arial" w:hAnsi="Arial"/>
                <w:sz w:val="16"/>
                <w:szCs w:val="16"/>
                <w:color w:val="auto"/>
              </w:rPr>
              <w:t>Net Underwriting Expense Ratio</w:t>
            </w: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37.5%</w:t>
            </w:r>
          </w:p>
        </w:tc>
        <w:tc>
          <w:tcPr>
            <w:tcW w:w="32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37.7%</w:t>
            </w:r>
          </w:p>
        </w:tc>
        <w:tc>
          <w:tcPr>
            <w:tcW w:w="18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37.8%</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38.1%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580" w:type="dxa"/>
            <w:vAlign w:val="bottom"/>
            <w:vMerge w:val="restart"/>
          </w:tcPr>
          <w:p>
            <w:pPr>
              <w:jc w:val="right"/>
              <w:ind w:right="218"/>
              <w:spacing w:after="0"/>
              <w:rPr>
                <w:sz w:val="20"/>
                <w:szCs w:val="20"/>
                <w:color w:val="auto"/>
              </w:rPr>
            </w:pPr>
            <w:r>
              <w:rPr>
                <w:rFonts w:ascii="Arial" w:cs="Arial" w:eastAsia="Arial" w:hAnsi="Arial"/>
                <w:sz w:val="16"/>
                <w:szCs w:val="16"/>
                <w:color w:val="auto"/>
              </w:rPr>
              <w:t>55</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45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81" w:right="239" w:bottom="1440" w:gutter="0" w:footer="0" w:header="0"/>
        </w:sectPr>
      </w:pPr>
    </w:p>
    <w:bookmarkStart w:id="57" w:name="page58"/>
    <w:bookmarkEnd w:id="57"/>
    <w:p>
      <w:pPr>
        <w:ind w:left="600"/>
        <w:spacing w:after="0"/>
        <w:rPr>
          <w:sz w:val="20"/>
          <w:szCs w:val="20"/>
          <w:color w:val="auto"/>
        </w:rPr>
      </w:pPr>
      <w:r>
        <w:rPr>
          <w:rFonts w:ascii="Arial" w:cs="Arial" w:eastAsia="Arial" w:hAnsi="Arial"/>
          <w:sz w:val="16"/>
          <w:szCs w:val="16"/>
          <w:color w:val="auto"/>
        </w:rPr>
        <w:t>An analysis of our direct, assumed and ceded earned premiums, loss and loss adjustment expenses, and loss ratios is shown below:</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Direct</w:t>
            </w:r>
          </w:p>
        </w:tc>
        <w:tc>
          <w:tcPr>
            <w:tcW w:w="180" w:type="dxa"/>
            <w:vAlign w:val="bottom"/>
          </w:tcPr>
          <w:p>
            <w:pPr>
              <w:spacing w:after="0"/>
              <w:rPr>
                <w:sz w:val="14"/>
                <w:szCs w:val="14"/>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Assumed</w:t>
            </w:r>
          </w:p>
        </w:tc>
        <w:tc>
          <w:tcPr>
            <w:tcW w:w="200" w:type="dxa"/>
            <w:vAlign w:val="bottom"/>
          </w:tcPr>
          <w:p>
            <w:pPr>
              <w:spacing w:after="0"/>
              <w:rPr>
                <w:sz w:val="14"/>
                <w:szCs w:val="14"/>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Ceded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3"/>
          </w:tcPr>
          <w:p>
            <w:pPr>
              <w:ind w:left="28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455"/>
        </w:trPr>
        <w:tc>
          <w:tcPr>
            <w:tcW w:w="4420" w:type="dxa"/>
            <w:vAlign w:val="bottom"/>
          </w:tcPr>
          <w:p>
            <w:pPr>
              <w:ind w:left="40"/>
              <w:spacing w:after="0"/>
              <w:rPr>
                <w:sz w:val="20"/>
                <w:szCs w:val="20"/>
                <w:color w:val="auto"/>
              </w:rPr>
            </w:pPr>
            <w:r>
              <w:rPr>
                <w:rFonts w:ascii="Arial" w:cs="Arial" w:eastAsia="Arial" w:hAnsi="Arial"/>
                <w:sz w:val="16"/>
                <w:szCs w:val="16"/>
                <w:b w:val="1"/>
                <w:bCs w:val="1"/>
                <w:color w:val="auto"/>
              </w:rPr>
              <w:t>Nine months ended September 30, 2019</w:t>
            </w:r>
          </w:p>
        </w:tc>
        <w:tc>
          <w:tcPr>
            <w:tcW w:w="16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4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Written premiums</w:t>
            </w:r>
          </w:p>
        </w:tc>
        <w:tc>
          <w:tcPr>
            <w:tcW w:w="1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128,333,117</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938</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(20,914,074)</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8"/>
              </w:rPr>
              <w:t>107,419,981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tcPr>
          <w:p>
            <w:pPr>
              <w:ind w:left="200"/>
              <w:spacing w:after="0"/>
              <w:rPr>
                <w:sz w:val="20"/>
                <w:szCs w:val="20"/>
                <w:color w:val="auto"/>
              </w:rPr>
            </w:pPr>
            <w:r>
              <w:rPr>
                <w:rFonts w:ascii="Arial" w:cs="Arial" w:eastAsia="Arial" w:hAnsi="Arial"/>
                <w:sz w:val="16"/>
                <w:szCs w:val="16"/>
                <w:color w:val="auto"/>
              </w:rPr>
              <w:t>Change in unearned premiums</w:t>
            </w: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(11,035,993)</w:t>
            </w: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(559)</w:t>
            </w:r>
          </w:p>
        </w:tc>
        <w:tc>
          <w:tcPr>
            <w:tcW w:w="2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(1,366,251)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(12,402,803)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44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Earned premiums</w:t>
            </w:r>
          </w:p>
        </w:tc>
        <w:tc>
          <w:tcPr>
            <w:tcW w:w="1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117,297,124</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379</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(22,280,325)</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95,017,178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4420" w:type="dxa"/>
            <w:vAlign w:val="bottom"/>
            <w:tcBorders>
              <w:top w:val="single" w:sz="8" w:color="CCEEFF"/>
            </w:tcBorders>
          </w:tcPr>
          <w:p>
            <w:pPr>
              <w:spacing w:after="0"/>
              <w:rPr>
                <w:sz w:val="16"/>
                <w:szCs w:val="16"/>
                <w:color w:val="auto"/>
              </w:rPr>
            </w:pPr>
          </w:p>
        </w:tc>
        <w:tc>
          <w:tcPr>
            <w:tcW w:w="168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Loss and loss adjustment expenses exluding</w:t>
            </w:r>
          </w:p>
        </w:tc>
        <w:tc>
          <w:tcPr>
            <w:tcW w:w="1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tcPr>
          <w:p>
            <w:pPr>
              <w:ind w:left="340"/>
              <w:spacing w:after="0"/>
              <w:rPr>
                <w:sz w:val="20"/>
                <w:szCs w:val="20"/>
                <w:color w:val="auto"/>
              </w:rPr>
            </w:pPr>
            <w:r>
              <w:rPr>
                <w:rFonts w:ascii="Arial" w:cs="Arial" w:eastAsia="Arial" w:hAnsi="Arial"/>
                <w:sz w:val="16"/>
                <w:szCs w:val="16"/>
                <w:color w:val="auto"/>
              </w:rPr>
              <w:t>the effect of catastrophes</w:t>
            </w:r>
          </w:p>
        </w:tc>
        <w:tc>
          <w:tcPr>
            <w:tcW w:w="1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6"/>
                <w:szCs w:val="16"/>
                <w:color w:val="auto"/>
              </w:rPr>
              <w:t>72,683,118</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(917)</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(8,041,028)</w:t>
            </w:r>
          </w:p>
        </w:tc>
        <w:tc>
          <w:tcPr>
            <w:tcW w:w="2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64,641,173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Catastrophe loss</w:t>
            </w:r>
          </w:p>
        </w:tc>
        <w:tc>
          <w:tcPr>
            <w:tcW w:w="1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7,755,089</w:t>
            </w:r>
          </w:p>
        </w:tc>
        <w:tc>
          <w:tcPr>
            <w:tcW w:w="180" w:type="dxa"/>
            <w:vAlign w:val="bottom"/>
            <w:shd w:val="clear" w:color="auto" w:fill="CCEEFF"/>
          </w:tcPr>
          <w:p>
            <w:pPr>
              <w:spacing w:after="0"/>
              <w:rPr>
                <w:sz w:val="17"/>
                <w:szCs w:val="17"/>
                <w:color w:val="auto"/>
              </w:rPr>
            </w:pPr>
          </w:p>
        </w:tc>
        <w:tc>
          <w:tcPr>
            <w:tcW w:w="11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(808,412)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6,946,677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44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420" w:type="dxa"/>
            <w:vAlign w:val="bottom"/>
          </w:tcPr>
          <w:p>
            <w:pPr>
              <w:ind w:left="200"/>
              <w:spacing w:after="0"/>
              <w:rPr>
                <w:sz w:val="20"/>
                <w:szCs w:val="20"/>
                <w:color w:val="auto"/>
              </w:rPr>
            </w:pPr>
            <w:r>
              <w:rPr>
                <w:rFonts w:ascii="Arial" w:cs="Arial" w:eastAsia="Arial" w:hAnsi="Arial"/>
                <w:sz w:val="16"/>
                <w:szCs w:val="16"/>
                <w:color w:val="auto"/>
              </w:rPr>
              <w:t>Loss and loss adjustment expenses</w:t>
            </w:r>
          </w:p>
        </w:tc>
        <w:tc>
          <w:tcPr>
            <w:tcW w:w="1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6"/>
                <w:szCs w:val="16"/>
                <w:color w:val="auto"/>
              </w:rPr>
              <w:t>80,438,207</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(917)</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(8,849,440)</w:t>
            </w:r>
          </w:p>
        </w:tc>
        <w:tc>
          <w:tcPr>
            <w:tcW w:w="2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71,587,850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4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20" w:type="dxa"/>
            <w:vAlign w:val="bottom"/>
          </w:tcPr>
          <w:p>
            <w:pPr>
              <w:ind w:left="200"/>
              <w:spacing w:after="0"/>
              <w:rPr>
                <w:sz w:val="20"/>
                <w:szCs w:val="20"/>
                <w:color w:val="auto"/>
              </w:rPr>
            </w:pPr>
            <w:r>
              <w:rPr>
                <w:rFonts w:ascii="Arial" w:cs="Arial" w:eastAsia="Arial" w:hAnsi="Arial"/>
                <w:sz w:val="16"/>
                <w:szCs w:val="16"/>
                <w:color w:val="auto"/>
              </w:rPr>
              <w:t>Loss ratio excluding the effect of catastrophes</w:t>
            </w: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62.0%</w:t>
            </w:r>
          </w:p>
        </w:tc>
        <w:tc>
          <w:tcPr>
            <w:tcW w:w="18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-242.0%</w:t>
            </w:r>
          </w:p>
        </w:tc>
        <w:tc>
          <w:tcPr>
            <w:tcW w:w="20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36.1%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68.0%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Catastrophe loss</w:t>
            </w:r>
          </w:p>
        </w:tc>
        <w:tc>
          <w:tcPr>
            <w:tcW w:w="1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6.6%</w:t>
            </w:r>
          </w:p>
        </w:tc>
        <w:tc>
          <w:tcPr>
            <w:tcW w:w="180" w:type="dxa"/>
            <w:vAlign w:val="bottom"/>
            <w:shd w:val="clear" w:color="auto" w:fill="CCEEFF"/>
          </w:tcPr>
          <w:p>
            <w:pPr>
              <w:spacing w:after="0"/>
              <w:rPr>
                <w:sz w:val="17"/>
                <w:szCs w:val="17"/>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0.0%</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44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420" w:type="dxa"/>
            <w:vAlign w:val="bottom"/>
          </w:tcPr>
          <w:p>
            <w:pPr>
              <w:ind w:left="200"/>
              <w:spacing w:after="0"/>
              <w:rPr>
                <w:sz w:val="20"/>
                <w:szCs w:val="20"/>
                <w:color w:val="auto"/>
              </w:rPr>
            </w:pPr>
            <w:r>
              <w:rPr>
                <w:rFonts w:ascii="Arial" w:cs="Arial" w:eastAsia="Arial" w:hAnsi="Arial"/>
                <w:sz w:val="16"/>
                <w:szCs w:val="16"/>
                <w:color w:val="auto"/>
              </w:rPr>
              <w:t>Loss ratio</w:t>
            </w: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68.6%</w:t>
            </w:r>
          </w:p>
        </w:tc>
        <w:tc>
          <w:tcPr>
            <w:tcW w:w="18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-242.0%</w:t>
            </w:r>
          </w:p>
        </w:tc>
        <w:tc>
          <w:tcPr>
            <w:tcW w:w="20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39.7%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75.3%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4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20" w:type="dxa"/>
            <w:vAlign w:val="bottom"/>
          </w:tcPr>
          <w:p>
            <w:pPr>
              <w:ind w:left="40"/>
              <w:spacing w:after="0"/>
              <w:rPr>
                <w:sz w:val="20"/>
                <w:szCs w:val="20"/>
                <w:color w:val="auto"/>
              </w:rPr>
            </w:pPr>
            <w:r>
              <w:rPr>
                <w:rFonts w:ascii="Arial" w:cs="Arial" w:eastAsia="Arial" w:hAnsi="Arial"/>
                <w:sz w:val="16"/>
                <w:szCs w:val="16"/>
                <w:b w:val="1"/>
                <w:bCs w:val="1"/>
                <w:color w:val="auto"/>
              </w:rPr>
              <w:t>Nine months ended September 30, 2018</w:t>
            </w: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Written premiums</w:t>
            </w:r>
          </w:p>
        </w:tc>
        <w:tc>
          <w:tcPr>
            <w:tcW w:w="1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107,175,413</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842</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(19,409,423)</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87,766,832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tcPr>
          <w:p>
            <w:pPr>
              <w:ind w:left="200"/>
              <w:spacing w:after="0"/>
              <w:rPr>
                <w:sz w:val="20"/>
                <w:szCs w:val="20"/>
                <w:color w:val="auto"/>
              </w:rPr>
            </w:pPr>
            <w:r>
              <w:rPr>
                <w:rFonts w:ascii="Arial" w:cs="Arial" w:eastAsia="Arial" w:hAnsi="Arial"/>
                <w:sz w:val="16"/>
                <w:szCs w:val="16"/>
                <w:color w:val="auto"/>
              </w:rPr>
              <w:t>Change in unearned premiums</w:t>
            </w: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(9,930,503)</w:t>
            </w:r>
          </w:p>
        </w:tc>
        <w:tc>
          <w:tcPr>
            <w:tcW w:w="18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3,762</w:t>
            </w:r>
          </w:p>
        </w:tc>
        <w:tc>
          <w:tcPr>
            <w:tcW w:w="2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(3,363,953)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(13,290,694)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44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Earned premiums</w:t>
            </w:r>
          </w:p>
        </w:tc>
        <w:tc>
          <w:tcPr>
            <w:tcW w:w="1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97,244,910</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4,604</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(22,773,376)</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74,476,138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4420" w:type="dxa"/>
            <w:vAlign w:val="bottom"/>
            <w:tcBorders>
              <w:top w:val="single" w:sz="8" w:color="CCEEFF"/>
            </w:tcBorders>
          </w:tcPr>
          <w:p>
            <w:pPr>
              <w:spacing w:after="0"/>
              <w:rPr>
                <w:sz w:val="16"/>
                <w:szCs w:val="16"/>
                <w:color w:val="auto"/>
              </w:rPr>
            </w:pPr>
          </w:p>
        </w:tc>
        <w:tc>
          <w:tcPr>
            <w:tcW w:w="168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Loss and loss adjustment expenses exluding</w:t>
            </w:r>
          </w:p>
        </w:tc>
        <w:tc>
          <w:tcPr>
            <w:tcW w:w="1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tcPr>
          <w:p>
            <w:pPr>
              <w:ind w:left="340"/>
              <w:spacing w:after="0"/>
              <w:rPr>
                <w:sz w:val="20"/>
                <w:szCs w:val="20"/>
                <w:color w:val="auto"/>
              </w:rPr>
            </w:pPr>
            <w:r>
              <w:rPr>
                <w:rFonts w:ascii="Arial" w:cs="Arial" w:eastAsia="Arial" w:hAnsi="Arial"/>
                <w:sz w:val="16"/>
                <w:szCs w:val="16"/>
                <w:color w:val="auto"/>
              </w:rPr>
              <w:t>the effect of catastrophes</w:t>
            </w:r>
          </w:p>
        </w:tc>
        <w:tc>
          <w:tcPr>
            <w:tcW w:w="1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6"/>
                <w:szCs w:val="16"/>
                <w:color w:val="auto"/>
              </w:rPr>
              <w:t>42,575,980</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27,037</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(6,983,566)</w:t>
            </w:r>
          </w:p>
        </w:tc>
        <w:tc>
          <w:tcPr>
            <w:tcW w:w="2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35,619,451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Catastrophe loss</w:t>
            </w:r>
          </w:p>
        </w:tc>
        <w:tc>
          <w:tcPr>
            <w:tcW w:w="1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10,804,633</w:t>
            </w:r>
          </w:p>
        </w:tc>
        <w:tc>
          <w:tcPr>
            <w:tcW w:w="180" w:type="dxa"/>
            <w:vAlign w:val="bottom"/>
            <w:shd w:val="clear" w:color="auto" w:fill="CCEEFF"/>
          </w:tcPr>
          <w:p>
            <w:pPr>
              <w:spacing w:after="0"/>
              <w:rPr>
                <w:sz w:val="17"/>
                <w:szCs w:val="17"/>
                <w:color w:val="auto"/>
              </w:rPr>
            </w:pPr>
          </w:p>
        </w:tc>
        <w:tc>
          <w:tcPr>
            <w:tcW w:w="11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(4,684,961)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6,119,672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44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420" w:type="dxa"/>
            <w:vAlign w:val="bottom"/>
          </w:tcPr>
          <w:p>
            <w:pPr>
              <w:ind w:left="200"/>
              <w:spacing w:after="0"/>
              <w:rPr>
                <w:sz w:val="20"/>
                <w:szCs w:val="20"/>
                <w:color w:val="auto"/>
              </w:rPr>
            </w:pPr>
            <w:r>
              <w:rPr>
                <w:rFonts w:ascii="Arial" w:cs="Arial" w:eastAsia="Arial" w:hAnsi="Arial"/>
                <w:sz w:val="16"/>
                <w:szCs w:val="16"/>
                <w:color w:val="auto"/>
              </w:rPr>
              <w:t>Loss and loss adjustment expenses</w:t>
            </w:r>
          </w:p>
        </w:tc>
        <w:tc>
          <w:tcPr>
            <w:tcW w:w="1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6"/>
                <w:szCs w:val="16"/>
                <w:color w:val="auto"/>
              </w:rPr>
              <w:t>53,380,613</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27,037</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(11,668,527)</w:t>
            </w:r>
          </w:p>
        </w:tc>
        <w:tc>
          <w:tcPr>
            <w:tcW w:w="2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41,739,123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4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20" w:type="dxa"/>
            <w:vAlign w:val="bottom"/>
          </w:tcPr>
          <w:p>
            <w:pPr>
              <w:ind w:left="200"/>
              <w:spacing w:after="0"/>
              <w:rPr>
                <w:sz w:val="20"/>
                <w:szCs w:val="20"/>
                <w:color w:val="auto"/>
              </w:rPr>
            </w:pPr>
            <w:r>
              <w:rPr>
                <w:rFonts w:ascii="Arial" w:cs="Arial" w:eastAsia="Arial" w:hAnsi="Arial"/>
                <w:sz w:val="16"/>
                <w:szCs w:val="16"/>
                <w:color w:val="auto"/>
              </w:rPr>
              <w:t>Loss ratio excluding the effect of catastrophes</w:t>
            </w: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43.8%</w:t>
            </w:r>
          </w:p>
        </w:tc>
        <w:tc>
          <w:tcPr>
            <w:tcW w:w="18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587.3%</w:t>
            </w:r>
          </w:p>
        </w:tc>
        <w:tc>
          <w:tcPr>
            <w:tcW w:w="20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30.7%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47.8%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Catastrophe loss</w:t>
            </w:r>
          </w:p>
        </w:tc>
        <w:tc>
          <w:tcPr>
            <w:tcW w:w="1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11.1%</w:t>
            </w:r>
          </w:p>
        </w:tc>
        <w:tc>
          <w:tcPr>
            <w:tcW w:w="180" w:type="dxa"/>
            <w:vAlign w:val="bottom"/>
            <w:shd w:val="clear" w:color="auto" w:fill="CCEEFF"/>
          </w:tcPr>
          <w:p>
            <w:pPr>
              <w:spacing w:after="0"/>
              <w:rPr>
                <w:sz w:val="17"/>
                <w:szCs w:val="17"/>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0.0%</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20.5%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44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420" w:type="dxa"/>
            <w:vAlign w:val="bottom"/>
          </w:tcPr>
          <w:p>
            <w:pPr>
              <w:ind w:left="200"/>
              <w:spacing w:after="0"/>
              <w:rPr>
                <w:sz w:val="20"/>
                <w:szCs w:val="20"/>
                <w:color w:val="auto"/>
              </w:rPr>
            </w:pPr>
            <w:r>
              <w:rPr>
                <w:rFonts w:ascii="Arial" w:cs="Arial" w:eastAsia="Arial" w:hAnsi="Arial"/>
                <w:sz w:val="16"/>
                <w:szCs w:val="16"/>
                <w:color w:val="auto"/>
              </w:rPr>
              <w:t>Loss ratio</w:t>
            </w: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54.9%</w:t>
            </w:r>
          </w:p>
        </w:tc>
        <w:tc>
          <w:tcPr>
            <w:tcW w:w="18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587.3%</w:t>
            </w:r>
          </w:p>
        </w:tc>
        <w:tc>
          <w:tcPr>
            <w:tcW w:w="20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51.2%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56.0%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4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20" w:type="dxa"/>
            <w:vAlign w:val="bottom"/>
          </w:tcPr>
          <w:p>
            <w:pPr>
              <w:ind w:left="40"/>
              <w:spacing w:after="0"/>
              <w:rPr>
                <w:sz w:val="20"/>
                <w:szCs w:val="20"/>
                <w:color w:val="auto"/>
              </w:rPr>
            </w:pPr>
            <w:r>
              <w:rPr>
                <w:rFonts w:ascii="Arial" w:cs="Arial" w:eastAsia="Arial" w:hAnsi="Arial"/>
                <w:sz w:val="16"/>
                <w:szCs w:val="16"/>
                <w:b w:val="1"/>
                <w:bCs w:val="1"/>
                <w:color w:val="auto"/>
              </w:rPr>
              <w:t>Three months ended September 30, 2019</w:t>
            </w: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Written premiums</w:t>
            </w:r>
          </w:p>
        </w:tc>
        <w:tc>
          <w:tcPr>
            <w:tcW w:w="1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46,023,290</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861</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(5,586,278)</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40,437,873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tcPr>
          <w:p>
            <w:pPr>
              <w:ind w:left="200"/>
              <w:spacing w:after="0"/>
              <w:rPr>
                <w:sz w:val="20"/>
                <w:szCs w:val="20"/>
                <w:color w:val="auto"/>
              </w:rPr>
            </w:pPr>
            <w:r>
              <w:rPr>
                <w:rFonts w:ascii="Arial" w:cs="Arial" w:eastAsia="Arial" w:hAnsi="Arial"/>
                <w:sz w:val="16"/>
                <w:szCs w:val="16"/>
                <w:color w:val="auto"/>
              </w:rPr>
              <w:t>Change in unearned premiums</w:t>
            </w: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(4,579,777)</w:t>
            </w: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(761)</w:t>
            </w:r>
          </w:p>
        </w:tc>
        <w:tc>
          <w:tcPr>
            <w:tcW w:w="2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(1,637,325)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(6,217,863)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44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Earned premiums</w:t>
            </w:r>
          </w:p>
        </w:tc>
        <w:tc>
          <w:tcPr>
            <w:tcW w:w="1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41,443,513</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100</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(7,223,603)</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34,220,010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4420" w:type="dxa"/>
            <w:vAlign w:val="bottom"/>
            <w:tcBorders>
              <w:top w:val="single" w:sz="8" w:color="CCEEFF"/>
            </w:tcBorders>
          </w:tcPr>
          <w:p>
            <w:pPr>
              <w:spacing w:after="0"/>
              <w:rPr>
                <w:sz w:val="16"/>
                <w:szCs w:val="16"/>
                <w:color w:val="auto"/>
              </w:rPr>
            </w:pPr>
          </w:p>
        </w:tc>
        <w:tc>
          <w:tcPr>
            <w:tcW w:w="168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Loss and loss adjustment expenses exluding</w:t>
            </w:r>
          </w:p>
        </w:tc>
        <w:tc>
          <w:tcPr>
            <w:tcW w:w="1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tcPr>
          <w:p>
            <w:pPr>
              <w:ind w:left="340"/>
              <w:spacing w:after="0"/>
              <w:rPr>
                <w:sz w:val="20"/>
                <w:szCs w:val="20"/>
                <w:color w:val="auto"/>
              </w:rPr>
            </w:pPr>
            <w:r>
              <w:rPr>
                <w:rFonts w:ascii="Arial" w:cs="Arial" w:eastAsia="Arial" w:hAnsi="Arial"/>
                <w:sz w:val="16"/>
                <w:szCs w:val="16"/>
                <w:color w:val="auto"/>
              </w:rPr>
              <w:t>the effect of catastrophes</w:t>
            </w:r>
          </w:p>
        </w:tc>
        <w:tc>
          <w:tcPr>
            <w:tcW w:w="1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6"/>
                <w:szCs w:val="16"/>
                <w:color w:val="auto"/>
              </w:rPr>
              <w:t>26,516,544</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1,164</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(2,182,511)</w:t>
            </w:r>
          </w:p>
        </w:tc>
        <w:tc>
          <w:tcPr>
            <w:tcW w:w="2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24,335,197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Catastrophe loss</w:t>
            </w:r>
          </w:p>
        </w:tc>
        <w:tc>
          <w:tcPr>
            <w:tcW w:w="1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491,362</w:t>
            </w:r>
          </w:p>
        </w:tc>
        <w:tc>
          <w:tcPr>
            <w:tcW w:w="180" w:type="dxa"/>
            <w:vAlign w:val="bottom"/>
            <w:shd w:val="clear" w:color="auto" w:fill="CCEEFF"/>
          </w:tcPr>
          <w:p>
            <w:pPr>
              <w:spacing w:after="0"/>
              <w:rPr>
                <w:sz w:val="17"/>
                <w:szCs w:val="17"/>
                <w:color w:val="auto"/>
              </w:rPr>
            </w:pPr>
          </w:p>
        </w:tc>
        <w:tc>
          <w:tcPr>
            <w:tcW w:w="11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(45,241)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446,121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44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420" w:type="dxa"/>
            <w:vAlign w:val="bottom"/>
          </w:tcPr>
          <w:p>
            <w:pPr>
              <w:ind w:left="200"/>
              <w:spacing w:after="0"/>
              <w:rPr>
                <w:sz w:val="20"/>
                <w:szCs w:val="20"/>
                <w:color w:val="auto"/>
              </w:rPr>
            </w:pPr>
            <w:r>
              <w:rPr>
                <w:rFonts w:ascii="Arial" w:cs="Arial" w:eastAsia="Arial" w:hAnsi="Arial"/>
                <w:sz w:val="16"/>
                <w:szCs w:val="16"/>
                <w:color w:val="auto"/>
              </w:rPr>
              <w:t>Loss and loss adjustment expenses</w:t>
            </w:r>
          </w:p>
        </w:tc>
        <w:tc>
          <w:tcPr>
            <w:tcW w:w="1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6"/>
                <w:szCs w:val="16"/>
                <w:color w:val="auto"/>
              </w:rPr>
              <w:t>27,007,906</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1,164</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(2,227,752)</w:t>
            </w:r>
          </w:p>
        </w:tc>
        <w:tc>
          <w:tcPr>
            <w:tcW w:w="2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24,781,318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4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20" w:type="dxa"/>
            <w:vAlign w:val="bottom"/>
          </w:tcPr>
          <w:p>
            <w:pPr>
              <w:ind w:left="200"/>
              <w:spacing w:after="0"/>
              <w:rPr>
                <w:sz w:val="20"/>
                <w:szCs w:val="20"/>
                <w:color w:val="auto"/>
              </w:rPr>
            </w:pPr>
            <w:r>
              <w:rPr>
                <w:rFonts w:ascii="Arial" w:cs="Arial" w:eastAsia="Arial" w:hAnsi="Arial"/>
                <w:sz w:val="16"/>
                <w:szCs w:val="16"/>
                <w:color w:val="auto"/>
              </w:rPr>
              <w:t>Loss ratio excluding the effect of catastrophes</w:t>
            </w: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64.0%</w:t>
            </w:r>
          </w:p>
        </w:tc>
        <w:tc>
          <w:tcPr>
            <w:tcW w:w="18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1164.0%</w:t>
            </w:r>
          </w:p>
        </w:tc>
        <w:tc>
          <w:tcPr>
            <w:tcW w:w="20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30.2%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71.1%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Catastrophe loss</w:t>
            </w:r>
          </w:p>
        </w:tc>
        <w:tc>
          <w:tcPr>
            <w:tcW w:w="1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1.2%</w:t>
            </w:r>
          </w:p>
        </w:tc>
        <w:tc>
          <w:tcPr>
            <w:tcW w:w="180" w:type="dxa"/>
            <w:vAlign w:val="bottom"/>
            <w:shd w:val="clear" w:color="auto" w:fill="CCEEFF"/>
          </w:tcPr>
          <w:p>
            <w:pPr>
              <w:spacing w:after="0"/>
              <w:rPr>
                <w:sz w:val="17"/>
                <w:szCs w:val="17"/>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0.0%</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44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420" w:type="dxa"/>
            <w:vAlign w:val="bottom"/>
          </w:tcPr>
          <w:p>
            <w:pPr>
              <w:ind w:left="200"/>
              <w:spacing w:after="0"/>
              <w:rPr>
                <w:sz w:val="20"/>
                <w:szCs w:val="20"/>
                <w:color w:val="auto"/>
              </w:rPr>
            </w:pPr>
            <w:r>
              <w:rPr>
                <w:rFonts w:ascii="Arial" w:cs="Arial" w:eastAsia="Arial" w:hAnsi="Arial"/>
                <w:sz w:val="16"/>
                <w:szCs w:val="16"/>
                <w:color w:val="auto"/>
              </w:rPr>
              <w:t>Loss ratio</w:t>
            </w: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65.2%</w:t>
            </w:r>
          </w:p>
        </w:tc>
        <w:tc>
          <w:tcPr>
            <w:tcW w:w="18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1164.0%</w:t>
            </w:r>
          </w:p>
        </w:tc>
        <w:tc>
          <w:tcPr>
            <w:tcW w:w="20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30.8%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72.4%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4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20" w:type="dxa"/>
            <w:vAlign w:val="bottom"/>
          </w:tcPr>
          <w:p>
            <w:pPr>
              <w:ind w:left="40"/>
              <w:spacing w:after="0"/>
              <w:rPr>
                <w:sz w:val="20"/>
                <w:szCs w:val="20"/>
                <w:color w:val="auto"/>
              </w:rPr>
            </w:pPr>
            <w:r>
              <w:rPr>
                <w:rFonts w:ascii="Arial" w:cs="Arial" w:eastAsia="Arial" w:hAnsi="Arial"/>
                <w:sz w:val="16"/>
                <w:szCs w:val="16"/>
                <w:b w:val="1"/>
                <w:bCs w:val="1"/>
                <w:color w:val="auto"/>
              </w:rPr>
              <w:t>Three months ended September 30, 2018</w:t>
            </w: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Written premiums</w:t>
            </w:r>
          </w:p>
        </w:tc>
        <w:tc>
          <w:tcPr>
            <w:tcW w:w="1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38,785,453</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18</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(2,683,699)</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36,101,772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tcPr>
          <w:p>
            <w:pPr>
              <w:ind w:left="200"/>
              <w:spacing w:after="0"/>
              <w:rPr>
                <w:sz w:val="20"/>
                <w:szCs w:val="20"/>
                <w:color w:val="auto"/>
              </w:rPr>
            </w:pPr>
            <w:r>
              <w:rPr>
                <w:rFonts w:ascii="Arial" w:cs="Arial" w:eastAsia="Arial" w:hAnsi="Arial"/>
                <w:sz w:val="16"/>
                <w:szCs w:val="16"/>
                <w:color w:val="auto"/>
              </w:rPr>
              <w:t>Change in unearned premiums</w:t>
            </w: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(4,435,174)</w:t>
            </w:r>
          </w:p>
        </w:tc>
        <w:tc>
          <w:tcPr>
            <w:tcW w:w="18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698</w:t>
            </w:r>
          </w:p>
        </w:tc>
        <w:tc>
          <w:tcPr>
            <w:tcW w:w="2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(4,133,389)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(8,567,865)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44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Earned premiums</w:t>
            </w:r>
          </w:p>
        </w:tc>
        <w:tc>
          <w:tcPr>
            <w:tcW w:w="1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34,350,279</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716</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(6,817,088)</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27,533,907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4420" w:type="dxa"/>
            <w:vAlign w:val="bottom"/>
            <w:tcBorders>
              <w:top w:val="single" w:sz="8" w:color="CCEEFF"/>
            </w:tcBorders>
          </w:tcPr>
          <w:p>
            <w:pPr>
              <w:spacing w:after="0"/>
              <w:rPr>
                <w:sz w:val="16"/>
                <w:szCs w:val="16"/>
                <w:color w:val="auto"/>
              </w:rPr>
            </w:pPr>
          </w:p>
        </w:tc>
        <w:tc>
          <w:tcPr>
            <w:tcW w:w="168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Loss and loss adjustment expenses exluding</w:t>
            </w:r>
          </w:p>
        </w:tc>
        <w:tc>
          <w:tcPr>
            <w:tcW w:w="1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tcPr>
          <w:p>
            <w:pPr>
              <w:ind w:left="340"/>
              <w:spacing w:after="0"/>
              <w:rPr>
                <w:sz w:val="20"/>
                <w:szCs w:val="20"/>
                <w:color w:val="auto"/>
              </w:rPr>
            </w:pPr>
            <w:r>
              <w:rPr>
                <w:rFonts w:ascii="Arial" w:cs="Arial" w:eastAsia="Arial" w:hAnsi="Arial"/>
                <w:sz w:val="16"/>
                <w:szCs w:val="16"/>
                <w:color w:val="auto"/>
              </w:rPr>
              <w:t>the effect of catastrophes</w:t>
            </w:r>
          </w:p>
        </w:tc>
        <w:tc>
          <w:tcPr>
            <w:tcW w:w="1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6"/>
                <w:szCs w:val="16"/>
                <w:color w:val="auto"/>
              </w:rPr>
              <w:t>16,700,865</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4,104</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(3,797,536)</w:t>
            </w:r>
          </w:p>
        </w:tc>
        <w:tc>
          <w:tcPr>
            <w:tcW w:w="2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12,907,433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Catastrophe loss</w:t>
            </w:r>
          </w:p>
        </w:tc>
        <w:tc>
          <w:tcPr>
            <w:tcW w:w="1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243,244</w:t>
            </w:r>
          </w:p>
        </w:tc>
        <w:tc>
          <w:tcPr>
            <w:tcW w:w="180" w:type="dxa"/>
            <w:vAlign w:val="bottom"/>
            <w:shd w:val="clear" w:color="auto" w:fill="CCEEFF"/>
          </w:tcPr>
          <w:p>
            <w:pPr>
              <w:spacing w:after="0"/>
              <w:rPr>
                <w:sz w:val="17"/>
                <w:szCs w:val="17"/>
                <w:color w:val="auto"/>
              </w:rPr>
            </w:pPr>
          </w:p>
        </w:tc>
        <w:tc>
          <w:tcPr>
            <w:tcW w:w="11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146,031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389,275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44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420" w:type="dxa"/>
            <w:vAlign w:val="bottom"/>
          </w:tcPr>
          <w:p>
            <w:pPr>
              <w:ind w:left="200"/>
              <w:spacing w:after="0"/>
              <w:rPr>
                <w:sz w:val="20"/>
                <w:szCs w:val="20"/>
                <w:color w:val="auto"/>
              </w:rPr>
            </w:pPr>
            <w:r>
              <w:rPr>
                <w:rFonts w:ascii="Arial" w:cs="Arial" w:eastAsia="Arial" w:hAnsi="Arial"/>
                <w:sz w:val="16"/>
                <w:szCs w:val="16"/>
                <w:color w:val="auto"/>
              </w:rPr>
              <w:t>Loss and loss adjustment expenses</w:t>
            </w:r>
          </w:p>
        </w:tc>
        <w:tc>
          <w:tcPr>
            <w:tcW w:w="1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6"/>
                <w:szCs w:val="16"/>
                <w:color w:val="auto"/>
              </w:rPr>
              <w:t>16,944,109</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4,104</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(3,651,505)</w:t>
            </w:r>
          </w:p>
        </w:tc>
        <w:tc>
          <w:tcPr>
            <w:tcW w:w="2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13,296,708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4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20" w:type="dxa"/>
            <w:vAlign w:val="bottom"/>
          </w:tcPr>
          <w:p>
            <w:pPr>
              <w:ind w:left="200"/>
              <w:spacing w:after="0"/>
              <w:rPr>
                <w:sz w:val="20"/>
                <w:szCs w:val="20"/>
                <w:color w:val="auto"/>
              </w:rPr>
            </w:pPr>
            <w:r>
              <w:rPr>
                <w:rFonts w:ascii="Arial" w:cs="Arial" w:eastAsia="Arial" w:hAnsi="Arial"/>
                <w:sz w:val="16"/>
                <w:szCs w:val="16"/>
                <w:color w:val="auto"/>
              </w:rPr>
              <w:t>Loss ratio excluding the effect of catastrophes</w:t>
            </w: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48.6%</w:t>
            </w:r>
          </w:p>
        </w:tc>
        <w:tc>
          <w:tcPr>
            <w:tcW w:w="18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573.2%</w:t>
            </w:r>
          </w:p>
        </w:tc>
        <w:tc>
          <w:tcPr>
            <w:tcW w:w="20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55.7%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46.9%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Catastrophe loss</w:t>
            </w:r>
          </w:p>
        </w:tc>
        <w:tc>
          <w:tcPr>
            <w:tcW w:w="1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0.7%</w:t>
            </w:r>
          </w:p>
        </w:tc>
        <w:tc>
          <w:tcPr>
            <w:tcW w:w="180" w:type="dxa"/>
            <w:vAlign w:val="bottom"/>
            <w:shd w:val="clear" w:color="auto" w:fill="CCEEFF"/>
          </w:tcPr>
          <w:p>
            <w:pPr>
              <w:spacing w:after="0"/>
              <w:rPr>
                <w:sz w:val="17"/>
                <w:szCs w:val="17"/>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0.0%</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44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420" w:type="dxa"/>
            <w:vAlign w:val="bottom"/>
          </w:tcPr>
          <w:p>
            <w:pPr>
              <w:ind w:left="200"/>
              <w:spacing w:after="0"/>
              <w:rPr>
                <w:sz w:val="20"/>
                <w:szCs w:val="20"/>
                <w:color w:val="auto"/>
              </w:rPr>
            </w:pPr>
            <w:r>
              <w:rPr>
                <w:rFonts w:ascii="Arial" w:cs="Arial" w:eastAsia="Arial" w:hAnsi="Arial"/>
                <w:sz w:val="16"/>
                <w:szCs w:val="16"/>
                <w:color w:val="auto"/>
              </w:rPr>
              <w:t>Loss ratio</w:t>
            </w: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49.3%</w:t>
            </w:r>
          </w:p>
        </w:tc>
        <w:tc>
          <w:tcPr>
            <w:tcW w:w="18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573.2%</w:t>
            </w:r>
          </w:p>
        </w:tc>
        <w:tc>
          <w:tcPr>
            <w:tcW w:w="20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53.6%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48.3%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680" w:type="dxa"/>
            <w:vAlign w:val="bottom"/>
            <w:vMerge w:val="restart"/>
          </w:tcPr>
          <w:p>
            <w:pPr>
              <w:jc w:val="right"/>
              <w:ind w:right="218"/>
              <w:spacing w:after="0"/>
              <w:rPr>
                <w:sz w:val="20"/>
                <w:szCs w:val="20"/>
                <w:color w:val="auto"/>
              </w:rPr>
            </w:pPr>
            <w:r>
              <w:rPr>
                <w:rFonts w:ascii="Arial" w:cs="Arial" w:eastAsia="Arial" w:hAnsi="Arial"/>
                <w:sz w:val="16"/>
                <w:szCs w:val="16"/>
                <w:color w:val="auto"/>
              </w:rPr>
              <w:t>56</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44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22" w:right="239" w:bottom="1440" w:gutter="0" w:footer="0" w:header="0"/>
        </w:sectPr>
      </w:pPr>
    </w:p>
    <w:bookmarkStart w:id="58" w:name="page59"/>
    <w:bookmarkEnd w:id="58"/>
    <w:p>
      <w:pPr>
        <w:ind w:left="600"/>
        <w:spacing w:after="0"/>
        <w:rPr>
          <w:sz w:val="20"/>
          <w:szCs w:val="20"/>
          <w:color w:val="auto"/>
        </w:rPr>
      </w:pPr>
      <w:r>
        <w:rPr>
          <w:rFonts w:ascii="Arial" w:cs="Arial" w:eastAsia="Arial" w:hAnsi="Arial"/>
          <w:sz w:val="16"/>
          <w:szCs w:val="16"/>
          <w:color w:val="auto"/>
        </w:rPr>
        <w:t>The key measures for our insurance underwriting business for the periods indicated are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7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0" w:type="dxa"/>
            <w:vAlign w:val="bottom"/>
            <w:gridSpan w:val="6"/>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Nine months ended</w:t>
            </w:r>
          </w:p>
        </w:tc>
      </w:tr>
      <w:tr>
        <w:trPr>
          <w:trHeight w:val="217"/>
        </w:trPr>
        <w:tc>
          <w:tcPr>
            <w:tcW w:w="4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33"/>
        </w:trPr>
        <w:tc>
          <w:tcPr>
            <w:tcW w:w="47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20"/>
                <w:szCs w:val="20"/>
                <w:color w:val="auto"/>
              </w:rPr>
            </w:pPr>
          </w:p>
        </w:tc>
      </w:tr>
      <w:tr>
        <w:trPr>
          <w:trHeight w:val="228"/>
        </w:trPr>
        <w:tc>
          <w:tcPr>
            <w:tcW w:w="47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03"/>
        </w:trPr>
        <w:tc>
          <w:tcPr>
            <w:tcW w:w="4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premiums earned</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34,220,010</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4"/>
              </w:rPr>
              <w:t>27,533,907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95,017,178</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2"/>
              </w:rPr>
              <w:t>74,476,138</w:t>
            </w:r>
          </w:p>
        </w:tc>
      </w:tr>
      <w:tr>
        <w:trPr>
          <w:trHeight w:val="203"/>
        </w:trPr>
        <w:tc>
          <w:tcPr>
            <w:tcW w:w="4740" w:type="dxa"/>
            <w:vAlign w:val="bottom"/>
          </w:tcPr>
          <w:p>
            <w:pPr>
              <w:ind w:left="40"/>
              <w:spacing w:after="0"/>
              <w:rPr>
                <w:sz w:val="20"/>
                <w:szCs w:val="20"/>
                <w:color w:val="auto"/>
              </w:rPr>
            </w:pPr>
            <w:r>
              <w:rPr>
                <w:rFonts w:ascii="Arial" w:cs="Arial" w:eastAsia="Arial" w:hAnsi="Arial"/>
                <w:sz w:val="16"/>
                <w:szCs w:val="16"/>
                <w:color w:val="auto"/>
              </w:rPr>
              <w:t>Ceding commission revenue</w:t>
            </w: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1,029,582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1,044,529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2,982,960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4,430,855</w:t>
            </w:r>
          </w:p>
        </w:tc>
      </w:tr>
      <w:tr>
        <w:trPr>
          <w:trHeight w:val="203"/>
        </w:trPr>
        <w:tc>
          <w:tcPr>
            <w:tcW w:w="4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income</w:t>
            </w:r>
          </w:p>
        </w:tc>
        <w:tc>
          <w:tcPr>
            <w:tcW w:w="1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340,505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352,476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992,097</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937,264</w:t>
            </w:r>
          </w:p>
        </w:tc>
      </w:tr>
      <w:tr>
        <w:trPr>
          <w:trHeight w:val="203"/>
        </w:trPr>
        <w:tc>
          <w:tcPr>
            <w:tcW w:w="4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4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Loss and loss adjustment expenses (1)</w:t>
            </w:r>
          </w:p>
        </w:tc>
        <w:tc>
          <w:tcPr>
            <w:tcW w:w="1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24,781,318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4"/>
              </w:rPr>
              <w:t>13,296,708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71,587,850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2"/>
              </w:rPr>
              <w:t>41,739,123</w:t>
            </w:r>
          </w:p>
        </w:tc>
      </w:tr>
      <w:tr>
        <w:trPr>
          <w:trHeight w:val="203"/>
        </w:trPr>
        <w:tc>
          <w:tcPr>
            <w:tcW w:w="4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28"/>
        </w:trPr>
        <w:tc>
          <w:tcPr>
            <w:tcW w:w="4740" w:type="dxa"/>
            <w:vAlign w:val="bottom"/>
            <w:shd w:val="clear" w:color="auto" w:fill="CCEEFF"/>
          </w:tcPr>
          <w:p>
            <w:pPr>
              <w:ind w:left="60"/>
              <w:spacing w:after="0"/>
              <w:rPr>
                <w:sz w:val="20"/>
                <w:szCs w:val="20"/>
                <w:color w:val="auto"/>
              </w:rPr>
            </w:pPr>
            <w:r>
              <w:rPr>
                <w:rFonts w:ascii="Arial" w:cs="Arial" w:eastAsia="Arial" w:hAnsi="Arial"/>
                <w:sz w:val="16"/>
                <w:szCs w:val="16"/>
                <w:color w:val="auto"/>
              </w:rPr>
              <w:t>Acquistion costs and other underwriting expenses:</w:t>
            </w:r>
          </w:p>
        </w:tc>
        <w:tc>
          <w:tcPr>
            <w:tcW w:w="1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03"/>
        </w:trPr>
        <w:tc>
          <w:tcPr>
            <w:tcW w:w="4740" w:type="dxa"/>
            <w:vAlign w:val="bottom"/>
          </w:tcPr>
          <w:p>
            <w:pPr>
              <w:ind w:left="200"/>
              <w:spacing w:after="0"/>
              <w:rPr>
                <w:sz w:val="20"/>
                <w:szCs w:val="20"/>
                <w:color w:val="auto"/>
              </w:rPr>
            </w:pPr>
            <w:r>
              <w:rPr>
                <w:rFonts w:ascii="Arial" w:cs="Arial" w:eastAsia="Arial" w:hAnsi="Arial"/>
                <w:sz w:val="16"/>
                <w:szCs w:val="16"/>
                <w:color w:val="auto"/>
              </w:rPr>
              <w:t>Commission expense</w:t>
            </w: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7,779,344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6,594,323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21,931,933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w w:val="92"/>
              </w:rPr>
              <w:t>18,411,460</w:t>
            </w:r>
          </w:p>
        </w:tc>
      </w:tr>
      <w:tr>
        <w:trPr>
          <w:trHeight w:val="208"/>
        </w:trPr>
        <w:tc>
          <w:tcPr>
            <w:tcW w:w="47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underwriting expenses</w:t>
            </w: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6,430,734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5,193,679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17,983,174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2"/>
              </w:rPr>
              <w:t>15,301,168</w:t>
            </w:r>
          </w:p>
        </w:tc>
      </w:tr>
      <w:tr>
        <w:trPr>
          <w:trHeight w:val="203"/>
        </w:trPr>
        <w:tc>
          <w:tcPr>
            <w:tcW w:w="4740" w:type="dxa"/>
            <w:vAlign w:val="bottom"/>
            <w:tcBorders>
              <w:top w:val="single" w:sz="8" w:color="CCEEFF"/>
            </w:tcBorders>
          </w:tcPr>
          <w:p>
            <w:pPr>
              <w:ind w:left="40"/>
              <w:spacing w:after="0"/>
              <w:rPr>
                <w:sz w:val="20"/>
                <w:szCs w:val="20"/>
                <w:color w:val="auto"/>
              </w:rPr>
            </w:pPr>
            <w:r>
              <w:rPr>
                <w:rFonts w:ascii="Arial" w:cs="Arial" w:eastAsia="Arial" w:hAnsi="Arial"/>
                <w:sz w:val="16"/>
                <w:szCs w:val="16"/>
                <w:color w:val="auto"/>
              </w:rPr>
              <w:t>Total acquistion costs and other</w:t>
            </w:r>
          </w:p>
        </w:tc>
        <w:tc>
          <w:tcPr>
            <w:tcW w:w="13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r>
      <w:tr>
        <w:trPr>
          <w:trHeight w:val="208"/>
        </w:trPr>
        <w:tc>
          <w:tcPr>
            <w:tcW w:w="47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underwriting expenses</w:t>
            </w: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14,210,078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4"/>
              </w:rPr>
              <w:t>11,788,002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39,915,107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2"/>
              </w:rPr>
              <w:t>33,712,628</w:t>
            </w:r>
          </w:p>
        </w:tc>
      </w:tr>
      <w:tr>
        <w:trPr>
          <w:trHeight w:val="203"/>
        </w:trPr>
        <w:tc>
          <w:tcPr>
            <w:tcW w:w="4740" w:type="dxa"/>
            <w:vAlign w:val="bottom"/>
            <w:tcBorders>
              <w:top w:val="single" w:sz="8" w:color="CCEEFF"/>
            </w:tcBorders>
          </w:tcPr>
          <w:p>
            <w:pPr>
              <w:spacing w:after="0"/>
              <w:rPr>
                <w:sz w:val="17"/>
                <w:szCs w:val="17"/>
                <w:color w:val="auto"/>
              </w:rPr>
            </w:pPr>
          </w:p>
        </w:tc>
        <w:tc>
          <w:tcPr>
            <w:tcW w:w="13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r>
      <w:tr>
        <w:trPr>
          <w:trHeight w:val="223"/>
        </w:trPr>
        <w:tc>
          <w:tcPr>
            <w:tcW w:w="4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Underwriting (loss) income</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(3,401,299)</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3,846,202</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(12,510,722)</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4,392,506</w:t>
            </w:r>
          </w:p>
        </w:tc>
      </w:tr>
      <w:tr>
        <w:trPr>
          <w:trHeight w:val="20"/>
        </w:trPr>
        <w:tc>
          <w:tcPr>
            <w:tcW w:w="47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Key Measures:</w:t>
            </w: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tcPr>
          <w:p>
            <w:pPr>
              <w:ind w:left="200"/>
              <w:spacing w:after="0"/>
              <w:rPr>
                <w:sz w:val="20"/>
                <w:szCs w:val="20"/>
                <w:color w:val="auto"/>
              </w:rPr>
            </w:pPr>
            <w:r>
              <w:rPr>
                <w:rFonts w:ascii="Arial" w:cs="Arial" w:eastAsia="Arial" w:hAnsi="Arial"/>
                <w:sz w:val="16"/>
                <w:szCs w:val="16"/>
                <w:color w:val="auto"/>
              </w:rPr>
              <w:t>Net loss ratio excluding the effect of catastrophes</w:t>
            </w: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71.1%</w:t>
            </w:r>
          </w:p>
        </w:tc>
        <w:tc>
          <w:tcPr>
            <w:tcW w:w="22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46.9%</w:t>
            </w:r>
          </w:p>
        </w:tc>
        <w:tc>
          <w:tcPr>
            <w:tcW w:w="22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68.0%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47.8%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Effect of catastrophe loss on net loss ratio (1)</w:t>
            </w: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w:t>
            </w:r>
          </w:p>
        </w:tc>
        <w:tc>
          <w:tcPr>
            <w:tcW w:w="220" w:type="dxa"/>
            <w:vAlign w:val="bottom"/>
            <w:shd w:val="clear" w:color="auto" w:fill="CCEEFF"/>
          </w:tcPr>
          <w:p>
            <w:pPr>
              <w:spacing w:after="0"/>
              <w:rPr>
                <w:sz w:val="17"/>
                <w:szCs w:val="17"/>
                <w:color w:val="auto"/>
              </w:rPr>
            </w:pP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47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4780" w:type="dxa"/>
            <w:vAlign w:val="bottom"/>
          </w:tcPr>
          <w:p>
            <w:pPr>
              <w:ind w:left="200"/>
              <w:spacing w:after="0"/>
              <w:rPr>
                <w:sz w:val="20"/>
                <w:szCs w:val="20"/>
                <w:color w:val="auto"/>
              </w:rPr>
            </w:pPr>
            <w:r>
              <w:rPr>
                <w:rFonts w:ascii="Arial" w:cs="Arial" w:eastAsia="Arial" w:hAnsi="Arial"/>
                <w:sz w:val="16"/>
                <w:szCs w:val="16"/>
                <w:color w:val="auto"/>
              </w:rPr>
              <w:t>Net loss ratio</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72.4%</w:t>
            </w:r>
          </w:p>
        </w:tc>
        <w:tc>
          <w:tcPr>
            <w:tcW w:w="2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48.3%</w:t>
            </w:r>
          </w:p>
        </w:tc>
        <w:tc>
          <w:tcPr>
            <w:tcW w:w="2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75.3%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56.0%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7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tcPr>
          <w:p>
            <w:pPr>
              <w:ind w:left="200"/>
              <w:spacing w:after="0"/>
              <w:rPr>
                <w:sz w:val="20"/>
                <w:szCs w:val="20"/>
                <w:color w:val="auto"/>
              </w:rPr>
            </w:pPr>
            <w:r>
              <w:rPr>
                <w:rFonts w:ascii="Arial" w:cs="Arial" w:eastAsia="Arial" w:hAnsi="Arial"/>
                <w:sz w:val="16"/>
                <w:szCs w:val="16"/>
                <w:color w:val="auto"/>
              </w:rPr>
              <w:t>Net underwriting expense ratio excluding the</w:t>
            </w: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effect of catastrophes</w:t>
            </w: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37.5%</w:t>
            </w:r>
          </w:p>
        </w:tc>
        <w:tc>
          <w:tcPr>
            <w:tcW w:w="220" w:type="dxa"/>
            <w:vAlign w:val="bottom"/>
            <w:shd w:val="clear" w:color="auto" w:fill="CCEEFF"/>
          </w:tcPr>
          <w:p>
            <w:pPr>
              <w:spacing w:after="0"/>
              <w:rPr>
                <w:sz w:val="17"/>
                <w:szCs w:val="17"/>
                <w:color w:val="auto"/>
              </w:rPr>
            </w:pP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37.7%</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37.8%</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780" w:type="dxa"/>
            <w:vAlign w:val="bottom"/>
          </w:tcPr>
          <w:p>
            <w:pPr>
              <w:ind w:left="260"/>
              <w:spacing w:after="0"/>
              <w:rPr>
                <w:sz w:val="20"/>
                <w:szCs w:val="20"/>
                <w:color w:val="auto"/>
              </w:rPr>
            </w:pPr>
            <w:r>
              <w:rPr>
                <w:rFonts w:ascii="Arial" w:cs="Arial" w:eastAsia="Arial" w:hAnsi="Arial"/>
                <w:sz w:val="16"/>
                <w:szCs w:val="16"/>
                <w:color w:val="auto"/>
              </w:rPr>
              <w:t>Effect of catastrophe loss on net underwriting</w:t>
            </w: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7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expense ratio (2)</w:t>
            </w: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0.0%</w:t>
            </w:r>
          </w:p>
        </w:tc>
        <w:tc>
          <w:tcPr>
            <w:tcW w:w="220" w:type="dxa"/>
            <w:vAlign w:val="bottom"/>
            <w:shd w:val="clear" w:color="auto" w:fill="CCEEFF"/>
          </w:tcPr>
          <w:p>
            <w:pPr>
              <w:spacing w:after="0"/>
              <w:rPr>
                <w:sz w:val="17"/>
                <w:szCs w:val="17"/>
                <w:color w:val="auto"/>
              </w:rPr>
            </w:pP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0.0%</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47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4780" w:type="dxa"/>
            <w:vAlign w:val="bottom"/>
          </w:tcPr>
          <w:p>
            <w:pPr>
              <w:ind w:left="200"/>
              <w:spacing w:after="0"/>
              <w:rPr>
                <w:sz w:val="20"/>
                <w:szCs w:val="20"/>
                <w:color w:val="auto"/>
              </w:rPr>
            </w:pPr>
            <w:r>
              <w:rPr>
                <w:rFonts w:ascii="Arial" w:cs="Arial" w:eastAsia="Arial" w:hAnsi="Arial"/>
                <w:sz w:val="16"/>
                <w:szCs w:val="16"/>
                <w:color w:val="auto"/>
              </w:rPr>
              <w:t>Net underwriting expense ratio</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37.5%</w:t>
            </w:r>
          </w:p>
        </w:tc>
        <w:tc>
          <w:tcPr>
            <w:tcW w:w="2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37.7%</w:t>
            </w:r>
          </w:p>
        </w:tc>
        <w:tc>
          <w:tcPr>
            <w:tcW w:w="2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37.8%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38.1%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7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tcPr>
          <w:p>
            <w:pPr>
              <w:ind w:left="200"/>
              <w:spacing w:after="0"/>
              <w:rPr>
                <w:sz w:val="20"/>
                <w:szCs w:val="20"/>
                <w:color w:val="auto"/>
              </w:rPr>
            </w:pPr>
            <w:r>
              <w:rPr>
                <w:rFonts w:ascii="Arial" w:cs="Arial" w:eastAsia="Arial" w:hAnsi="Arial"/>
                <w:sz w:val="16"/>
                <w:szCs w:val="16"/>
                <w:color w:val="auto"/>
              </w:rPr>
              <w:t>Net combined ratio excluding the effect</w:t>
            </w: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of catastrophes</w:t>
            </w: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108.6%</w:t>
            </w:r>
          </w:p>
        </w:tc>
        <w:tc>
          <w:tcPr>
            <w:tcW w:w="220" w:type="dxa"/>
            <w:vAlign w:val="bottom"/>
            <w:shd w:val="clear" w:color="auto" w:fill="CCEEFF"/>
          </w:tcPr>
          <w:p>
            <w:pPr>
              <w:spacing w:after="0"/>
              <w:rPr>
                <w:sz w:val="17"/>
                <w:szCs w:val="17"/>
                <w:color w:val="auto"/>
              </w:rPr>
            </w:pP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84.6%</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105.8%</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tcPr>
          <w:p>
            <w:pPr>
              <w:ind w:left="200"/>
              <w:spacing w:after="0"/>
              <w:rPr>
                <w:sz w:val="20"/>
                <w:szCs w:val="20"/>
                <w:color w:val="auto"/>
              </w:rPr>
            </w:pPr>
            <w:r>
              <w:rPr>
                <w:rFonts w:ascii="Arial" w:cs="Arial" w:eastAsia="Arial" w:hAnsi="Arial"/>
                <w:sz w:val="16"/>
                <w:szCs w:val="16"/>
                <w:color w:val="auto"/>
              </w:rPr>
              <w:t>Effect of catastrophe loss on net combined</w:t>
            </w: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ratio (1) (2)</w:t>
            </w: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w:t>
            </w:r>
          </w:p>
        </w:tc>
        <w:tc>
          <w:tcPr>
            <w:tcW w:w="220" w:type="dxa"/>
            <w:vAlign w:val="bottom"/>
            <w:shd w:val="clear" w:color="auto" w:fill="CCEEFF"/>
          </w:tcPr>
          <w:p>
            <w:pPr>
              <w:spacing w:after="0"/>
              <w:rPr>
                <w:sz w:val="17"/>
                <w:szCs w:val="17"/>
                <w:color w:val="auto"/>
              </w:rPr>
            </w:pP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47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780" w:type="dxa"/>
            <w:vAlign w:val="bottom"/>
          </w:tcPr>
          <w:p>
            <w:pPr>
              <w:ind w:left="200"/>
              <w:spacing w:after="0"/>
              <w:rPr>
                <w:sz w:val="20"/>
                <w:szCs w:val="20"/>
                <w:color w:val="auto"/>
              </w:rPr>
            </w:pPr>
            <w:r>
              <w:rPr>
                <w:rFonts w:ascii="Arial" w:cs="Arial" w:eastAsia="Arial" w:hAnsi="Arial"/>
                <w:sz w:val="16"/>
                <w:szCs w:val="16"/>
                <w:color w:val="auto"/>
              </w:rPr>
              <w:t>Net combined ratio</w:t>
            </w: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109.9%</w:t>
            </w:r>
          </w:p>
        </w:tc>
        <w:tc>
          <w:tcPr>
            <w:tcW w:w="22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86.0%</w:t>
            </w:r>
          </w:p>
        </w:tc>
        <w:tc>
          <w:tcPr>
            <w:tcW w:w="22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113.1%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94.1%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7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780" w:type="dxa"/>
            <w:vAlign w:val="bottom"/>
          </w:tcPr>
          <w:p>
            <w:pPr>
              <w:ind w:left="200"/>
              <w:spacing w:after="0"/>
              <w:rPr>
                <w:sz w:val="20"/>
                <w:szCs w:val="20"/>
                <w:color w:val="auto"/>
              </w:rPr>
            </w:pPr>
            <w:r>
              <w:rPr>
                <w:rFonts w:ascii="Arial" w:cs="Arial" w:eastAsia="Arial" w:hAnsi="Arial"/>
                <w:sz w:val="16"/>
                <w:szCs w:val="16"/>
                <w:color w:val="auto"/>
              </w:rPr>
              <w:t>Reconciliation of net underwriting expense ratio:</w:t>
            </w: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4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Acquisition costs and other</w:t>
            </w: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tcPr>
          <w:p>
            <w:pPr>
              <w:ind w:left="340"/>
              <w:spacing w:after="0"/>
              <w:rPr>
                <w:sz w:val="20"/>
                <w:szCs w:val="20"/>
                <w:color w:val="auto"/>
              </w:rPr>
            </w:pPr>
            <w:r>
              <w:rPr>
                <w:rFonts w:ascii="Arial" w:cs="Arial" w:eastAsia="Arial" w:hAnsi="Arial"/>
                <w:sz w:val="16"/>
                <w:szCs w:val="16"/>
                <w:color w:val="auto"/>
              </w:rPr>
              <w:t>underwriting expenses</w:t>
            </w:r>
          </w:p>
        </w:tc>
        <w:tc>
          <w:tcPr>
            <w:tcW w:w="15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14,210,078</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11,788,002</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39,915,107</w:t>
            </w: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33,712,628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Less: Ceding commission revenue (2)</w:t>
            </w: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(1,029,582)</w:t>
            </w:r>
          </w:p>
        </w:tc>
        <w:tc>
          <w:tcPr>
            <w:tcW w:w="220" w:type="dxa"/>
            <w:vAlign w:val="bottom"/>
            <w:shd w:val="clear" w:color="auto" w:fill="CCEEFF"/>
          </w:tcPr>
          <w:p>
            <w:pPr>
              <w:spacing w:after="0"/>
              <w:rPr>
                <w:sz w:val="17"/>
                <w:szCs w:val="17"/>
                <w:color w:val="auto"/>
              </w:rPr>
            </w:pP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(1,044,529)</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(2,982,960)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(4,430,855)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tcPr>
          <w:p>
            <w:pPr>
              <w:ind w:left="200"/>
              <w:spacing w:after="0"/>
              <w:rPr>
                <w:sz w:val="20"/>
                <w:szCs w:val="20"/>
                <w:color w:val="auto"/>
              </w:rPr>
            </w:pPr>
            <w:r>
              <w:rPr>
                <w:rFonts w:ascii="Arial" w:cs="Arial" w:eastAsia="Arial" w:hAnsi="Arial"/>
                <w:sz w:val="16"/>
                <w:szCs w:val="16"/>
                <w:color w:val="auto"/>
              </w:rPr>
              <w:t>Less: Other income</w:t>
            </w: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(340,505)</w:t>
            </w:r>
          </w:p>
        </w:tc>
        <w:tc>
          <w:tcPr>
            <w:tcW w:w="22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(352,476)</w:t>
            </w:r>
          </w:p>
        </w:tc>
        <w:tc>
          <w:tcPr>
            <w:tcW w:w="22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(992,097)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(937,264)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47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8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12,839,991</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1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10,390,997</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35,940,050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28,344,509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4780" w:type="dxa"/>
            <w:vAlign w:val="bottom"/>
            <w:tcBorders>
              <w:top w:val="single" w:sz="8" w:color="CCEEFF"/>
            </w:tcBorders>
          </w:tcPr>
          <w:p>
            <w:pPr>
              <w:spacing w:after="0"/>
              <w:rPr>
                <w:sz w:val="16"/>
                <w:szCs w:val="16"/>
                <w:color w:val="auto"/>
              </w:rPr>
            </w:pPr>
          </w:p>
        </w:tc>
        <w:tc>
          <w:tcPr>
            <w:tcW w:w="132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earned premium</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34,220,010</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1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27,533,907</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95,017,178</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74,476,138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4780" w:type="dxa"/>
            <w:vAlign w:val="bottom"/>
            <w:tcBorders>
              <w:top w:val="single" w:sz="8" w:color="CCEEFF"/>
            </w:tcBorders>
          </w:tcPr>
          <w:p>
            <w:pPr>
              <w:spacing w:after="0"/>
              <w:rPr>
                <w:sz w:val="16"/>
                <w:szCs w:val="16"/>
                <w:color w:val="auto"/>
              </w:rPr>
            </w:pPr>
          </w:p>
        </w:tc>
        <w:tc>
          <w:tcPr>
            <w:tcW w:w="132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Underwriting Expense Ratio</w:t>
            </w:r>
          </w:p>
        </w:tc>
        <w:tc>
          <w:tcPr>
            <w:tcW w:w="1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37.5%</w:t>
            </w:r>
          </w:p>
        </w:tc>
        <w:tc>
          <w:tcPr>
            <w:tcW w:w="220" w:type="dxa"/>
            <w:vAlign w:val="bottom"/>
            <w:shd w:val="clear" w:color="auto" w:fill="CCEEFF"/>
          </w:tcPr>
          <w:p>
            <w:pPr>
              <w:spacing w:after="0"/>
              <w:rPr>
                <w:sz w:val="19"/>
                <w:szCs w:val="19"/>
                <w:color w:val="auto"/>
              </w:rPr>
            </w:pP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37.7%</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37.8%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firstLine="1"/>
        <w:spacing w:after="0" w:line="280" w:lineRule="auto"/>
        <w:tabs>
          <w:tab w:leader="none" w:pos="266" w:val="left"/>
        </w:tabs>
        <w:numPr>
          <w:ilvl w:val="0"/>
          <w:numId w:val="19"/>
        </w:numPr>
        <w:rPr>
          <w:rFonts w:ascii="Arial" w:cs="Arial" w:eastAsia="Arial" w:hAnsi="Arial"/>
          <w:sz w:val="16"/>
          <w:szCs w:val="16"/>
          <w:color w:val="auto"/>
        </w:rPr>
      </w:pPr>
      <w:r>
        <w:rPr>
          <w:rFonts w:ascii="Arial" w:cs="Arial" w:eastAsia="Arial" w:hAnsi="Arial"/>
          <w:sz w:val="16"/>
          <w:szCs w:val="16"/>
          <w:color w:val="auto"/>
        </w:rPr>
        <w:t>For the three months ended September 30, 2019 and 2018, includes the sum of net catastrophe losses and loss adjustment expenses of $446,121and $389,276, respectively. For the nine months ended September 30, 2019 and 2018, includes the sum of net catastrophe losses and loss adjustment expenses of $6,946,677 and $6,119,672, respectively.</w:t>
      </w:r>
    </w:p>
    <w:p>
      <w:pPr>
        <w:spacing w:after="0" w:line="166" w:lineRule="exact"/>
        <w:rPr>
          <w:rFonts w:ascii="Arial" w:cs="Arial" w:eastAsia="Arial" w:hAnsi="Arial"/>
          <w:sz w:val="16"/>
          <w:szCs w:val="16"/>
          <w:color w:val="auto"/>
        </w:rPr>
      </w:pPr>
    </w:p>
    <w:p>
      <w:pPr>
        <w:ind w:firstLine="1"/>
        <w:spacing w:after="0" w:line="296" w:lineRule="auto"/>
        <w:tabs>
          <w:tab w:leader="none" w:pos="248" w:val="left"/>
        </w:tabs>
        <w:numPr>
          <w:ilvl w:val="0"/>
          <w:numId w:val="19"/>
        </w:numPr>
        <w:rPr>
          <w:rFonts w:ascii="Arial" w:cs="Arial" w:eastAsia="Arial" w:hAnsi="Arial"/>
          <w:sz w:val="16"/>
          <w:szCs w:val="16"/>
          <w:color w:val="auto"/>
        </w:rPr>
      </w:pPr>
      <w:r>
        <w:rPr>
          <w:rFonts w:ascii="Arial" w:cs="Arial" w:eastAsia="Arial" w:hAnsi="Arial"/>
          <w:sz w:val="16"/>
          <w:szCs w:val="16"/>
          <w:color w:val="auto"/>
        </w:rPr>
        <w:t>For the nine months ended September 30, 2018, the effect of catastrophe loss on our net underwriting expense ratio includes the effect of reduced contingent ceding commission revenue by $459,068 and does not include the indirect effects of a $267,508 decrease in other underwriting expenses.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59" w:name="page60"/>
    <w:bookmarkEnd w:id="59"/>
    <w:p>
      <w:pPr>
        <w:spacing w:after="0"/>
        <w:rPr>
          <w:sz w:val="20"/>
          <w:szCs w:val="20"/>
          <w:color w:val="auto"/>
        </w:rPr>
      </w:pPr>
      <w:r>
        <w:rPr>
          <w:rFonts w:ascii="Arial" w:cs="Arial" w:eastAsia="Arial" w:hAnsi="Arial"/>
          <w:sz w:val="16"/>
          <w:szCs w:val="16"/>
          <w:b w:val="1"/>
          <w:bCs w:val="1"/>
          <w:color w:val="auto"/>
        </w:rPr>
        <w:t>Investments</w:t>
      </w:r>
    </w:p>
    <w:p>
      <w:pPr>
        <w:spacing w:after="0" w:line="162" w:lineRule="exact"/>
        <w:rPr>
          <w:sz w:val="20"/>
          <w:szCs w:val="20"/>
          <w:color w:val="auto"/>
        </w:rPr>
      </w:pPr>
    </w:p>
    <w:p>
      <w:pPr>
        <w:ind w:left="600"/>
        <w:spacing w:after="0"/>
        <w:rPr>
          <w:sz w:val="20"/>
          <w:szCs w:val="20"/>
          <w:color w:val="auto"/>
        </w:rPr>
      </w:pPr>
      <w:r>
        <w:rPr>
          <w:rFonts w:ascii="Arial" w:cs="Arial" w:eastAsia="Arial" w:hAnsi="Arial"/>
          <w:sz w:val="16"/>
          <w:szCs w:val="16"/>
          <w:b w:val="1"/>
          <w:bCs w:val="1"/>
          <w:i w:val="1"/>
          <w:iCs w:val="1"/>
          <w:color w:val="auto"/>
        </w:rPr>
        <w:t>Portfolio Summary</w:t>
      </w:r>
    </w:p>
    <w:p>
      <w:pPr>
        <w:spacing w:after="0" w:line="158" w:lineRule="exact"/>
        <w:rPr>
          <w:sz w:val="20"/>
          <w:szCs w:val="20"/>
          <w:color w:val="auto"/>
        </w:rPr>
      </w:pPr>
    </w:p>
    <w:p>
      <w:pPr>
        <w:ind w:left="600"/>
        <w:spacing w:after="0"/>
        <w:rPr>
          <w:sz w:val="20"/>
          <w:szCs w:val="20"/>
          <w:color w:val="auto"/>
        </w:rPr>
      </w:pPr>
      <w:r>
        <w:rPr>
          <w:rFonts w:ascii="Arial" w:cs="Arial" w:eastAsia="Arial" w:hAnsi="Arial"/>
          <w:sz w:val="16"/>
          <w:szCs w:val="16"/>
          <w:u w:val="single" w:color="auto"/>
          <w:color w:val="auto"/>
        </w:rPr>
        <w:t>Fixed-Maturity Securities</w:t>
      </w:r>
    </w:p>
    <w:p>
      <w:pPr>
        <w:spacing w:after="0" w:line="221" w:lineRule="exact"/>
        <w:rPr>
          <w:sz w:val="20"/>
          <w:szCs w:val="20"/>
          <w:color w:val="auto"/>
        </w:rPr>
      </w:pPr>
    </w:p>
    <w:p>
      <w:pPr>
        <w:ind w:right="20" w:firstLine="608"/>
        <w:spacing w:after="0" w:line="296" w:lineRule="auto"/>
        <w:rPr>
          <w:sz w:val="20"/>
          <w:szCs w:val="20"/>
          <w:color w:val="auto"/>
        </w:rPr>
      </w:pPr>
      <w:r>
        <w:rPr>
          <w:rFonts w:ascii="Arial" w:cs="Arial" w:eastAsia="Arial" w:hAnsi="Arial"/>
          <w:sz w:val="16"/>
          <w:szCs w:val="16"/>
          <w:color w:val="auto"/>
        </w:rPr>
        <w:t>The following table presents a breakdown of the amortized cost, estimated fair value, and unrealized gains and losses of our investments in fixed-maturity securities classified as available-for-sale as of September 30, 2019 and December 31, 2018:</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88"/>
              </w:rPr>
              <w:t>September 30, 2019</w:t>
            </w: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4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center"/>
              <w:ind w:right="2"/>
              <w:spacing w:after="0"/>
              <w:rPr>
                <w:sz w:val="20"/>
                <w:szCs w:val="20"/>
                <w:color w:val="auto"/>
              </w:rPr>
            </w:pPr>
            <w:r>
              <w:rPr>
                <w:rFonts w:ascii="Arial" w:cs="Arial" w:eastAsia="Arial" w:hAnsi="Arial"/>
                <w:sz w:val="14"/>
                <w:szCs w:val="14"/>
                <w:b w:val="1"/>
                <w:bCs w:val="1"/>
                <w:color w:val="auto"/>
                <w:w w:val="89"/>
              </w:rPr>
              <w:t>Cost or</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center"/>
              <w:ind w:right="22"/>
              <w:spacing w:after="0"/>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b w:val="1"/>
                <w:bCs w:val="1"/>
                <w:color w:val="auto"/>
                <w:w w:val="99"/>
              </w:rPr>
              <w:t>Gross Unrealized Losses</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Estimated</w:t>
            </w:r>
          </w:p>
        </w:tc>
        <w:tc>
          <w:tcPr>
            <w:tcW w:w="220" w:type="dxa"/>
            <w:vAlign w:val="bottom"/>
          </w:tcPr>
          <w:p>
            <w:pPr>
              <w:spacing w:after="0"/>
              <w:rPr>
                <w:sz w:val="24"/>
                <w:szCs w:val="24"/>
                <w:color w:val="auto"/>
              </w:rPr>
            </w:pPr>
          </w:p>
        </w:tc>
        <w:tc>
          <w:tcPr>
            <w:tcW w:w="10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 of</w:t>
            </w:r>
          </w:p>
        </w:tc>
        <w:tc>
          <w:tcPr>
            <w:tcW w:w="0" w:type="dxa"/>
            <w:vAlign w:val="bottom"/>
          </w:tcPr>
          <w:p>
            <w:pPr>
              <w:spacing w:after="0"/>
              <w:rPr>
                <w:sz w:val="1"/>
                <w:szCs w:val="1"/>
                <w:color w:val="auto"/>
              </w:rPr>
            </w:pPr>
          </w:p>
        </w:tc>
      </w:tr>
      <w:tr>
        <w:trPr>
          <w:trHeight w:val="245"/>
        </w:trPr>
        <w:tc>
          <w:tcPr>
            <w:tcW w:w="46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Categor</w:t>
            </w:r>
            <w:r>
              <w:rPr>
                <w:rFonts w:ascii="Arial" w:cs="Arial" w:eastAsia="Arial" w:hAnsi="Arial"/>
                <w:sz w:val="16"/>
                <w:szCs w:val="16"/>
                <w:color w:val="auto"/>
              </w:rPr>
              <w:t>y</w:t>
            </w:r>
          </w:p>
        </w:tc>
        <w:tc>
          <w:tcPr>
            <w:tcW w:w="100" w:type="dxa"/>
            <w:vAlign w:val="bottom"/>
          </w:tcPr>
          <w:p>
            <w:pPr>
              <w:spacing w:after="0"/>
              <w:rPr>
                <w:sz w:val="21"/>
                <w:szCs w:val="21"/>
                <w:color w:val="auto"/>
              </w:rPr>
            </w:pPr>
          </w:p>
        </w:tc>
        <w:tc>
          <w:tcPr>
            <w:tcW w:w="840" w:type="dxa"/>
            <w:vAlign w:val="bottom"/>
          </w:tcPr>
          <w:p>
            <w:pPr>
              <w:jc w:val="center"/>
              <w:ind w:right="2"/>
              <w:spacing w:after="0"/>
              <w:rPr>
                <w:sz w:val="20"/>
                <w:szCs w:val="20"/>
                <w:color w:val="auto"/>
              </w:rPr>
            </w:pPr>
            <w:r>
              <w:rPr>
                <w:rFonts w:ascii="Arial" w:cs="Arial" w:eastAsia="Arial" w:hAnsi="Arial"/>
                <w:sz w:val="14"/>
                <w:szCs w:val="14"/>
                <w:b w:val="1"/>
                <w:bCs w:val="1"/>
                <w:color w:val="auto"/>
                <w:w w:val="93"/>
              </w:rPr>
              <w:t>Amortized</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center"/>
              <w:ind w:right="2"/>
              <w:spacing w:after="0"/>
              <w:rPr>
                <w:sz w:val="20"/>
                <w:szCs w:val="20"/>
                <w:color w:val="auto"/>
              </w:rPr>
            </w:pPr>
            <w:r>
              <w:rPr>
                <w:rFonts w:ascii="Arial" w:cs="Arial" w:eastAsia="Arial" w:hAnsi="Arial"/>
                <w:sz w:val="14"/>
                <w:szCs w:val="14"/>
                <w:b w:val="1"/>
                <w:bCs w:val="1"/>
                <w:color w:val="auto"/>
                <w:w w:val="90"/>
              </w:rPr>
              <w:t>Unrealized</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Less than 12</w:t>
            </w:r>
          </w:p>
        </w:tc>
        <w:tc>
          <w:tcPr>
            <w:tcW w:w="80" w:type="dxa"/>
            <w:vAlign w:val="bottom"/>
          </w:tcPr>
          <w:p>
            <w:pPr>
              <w:spacing w:after="0"/>
              <w:rPr>
                <w:sz w:val="21"/>
                <w:szCs w:val="21"/>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9"/>
              </w:rPr>
              <w:t>More than 12</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21"/>
                <w:szCs w:val="21"/>
                <w:color w:val="auto"/>
              </w:rPr>
            </w:pPr>
          </w:p>
        </w:tc>
        <w:tc>
          <w:tcPr>
            <w:tcW w:w="10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Estimated</w:t>
            </w:r>
          </w:p>
        </w:tc>
        <w:tc>
          <w:tcPr>
            <w:tcW w:w="0" w:type="dxa"/>
            <w:vAlign w:val="bottom"/>
          </w:tcPr>
          <w:p>
            <w:pPr>
              <w:spacing w:after="0"/>
              <w:rPr>
                <w:sz w:val="1"/>
                <w:szCs w:val="1"/>
                <w:color w:val="auto"/>
              </w:rPr>
            </w:pPr>
          </w:p>
        </w:tc>
      </w:tr>
      <w:tr>
        <w:trPr>
          <w:trHeight w:val="217"/>
        </w:trPr>
        <w:tc>
          <w:tcPr>
            <w:tcW w:w="4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5"/>
              </w:rPr>
              <w:t>Cos</w:t>
            </w:r>
            <w:r>
              <w:rPr>
                <w:rFonts w:ascii="Arial" w:cs="Arial" w:eastAsia="Arial" w:hAnsi="Arial"/>
                <w:sz w:val="14"/>
                <w:szCs w:val="14"/>
                <w:color w:val="auto"/>
                <w:w w:val="85"/>
              </w:rPr>
              <w:t>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right="22"/>
              <w:spacing w:after="0"/>
              <w:rPr>
                <w:sz w:val="20"/>
                <w:szCs w:val="20"/>
                <w:color w:val="auto"/>
              </w:rPr>
            </w:pPr>
            <w:r>
              <w:rPr>
                <w:rFonts w:ascii="Arial" w:cs="Arial" w:eastAsia="Arial" w:hAnsi="Arial"/>
                <w:sz w:val="14"/>
                <w:szCs w:val="14"/>
                <w:b w:val="1"/>
                <w:bCs w:val="1"/>
                <w:color w:val="auto"/>
                <w:w w:val="87"/>
              </w:rPr>
              <w:t>Gains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Months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Months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Pr>
          <w:p>
            <w:pPr>
              <w:spacing w:after="0"/>
              <w:rPr>
                <w:sz w:val="18"/>
                <w:szCs w:val="18"/>
                <w:color w:val="auto"/>
              </w:rPr>
            </w:pPr>
          </w:p>
        </w:tc>
        <w:tc>
          <w:tcPr>
            <w:tcW w:w="10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453"/>
        </w:trPr>
        <w:tc>
          <w:tcPr>
            <w:tcW w:w="4680" w:type="dxa"/>
            <w:vAlign w:val="bottom"/>
          </w:tcPr>
          <w:p>
            <w:pPr>
              <w:ind w:left="40"/>
              <w:spacing w:after="0"/>
              <w:rPr>
                <w:sz w:val="20"/>
                <w:szCs w:val="20"/>
                <w:color w:val="auto"/>
              </w:rPr>
            </w:pPr>
            <w:r>
              <w:rPr>
                <w:rFonts w:ascii="Arial" w:cs="Arial" w:eastAsia="Arial" w:hAnsi="Arial"/>
                <w:sz w:val="16"/>
                <w:szCs w:val="16"/>
                <w:color w:val="auto"/>
              </w:rPr>
              <w:t>U.S. Treasury securities and</w:t>
            </w: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680" w:type="dxa"/>
            <w:vAlign w:val="bottom"/>
          </w:tcPr>
          <w:p>
            <w:pPr>
              <w:ind w:left="40"/>
              <w:spacing w:after="0"/>
              <w:rPr>
                <w:sz w:val="20"/>
                <w:szCs w:val="20"/>
                <w:color w:val="auto"/>
              </w:rPr>
            </w:pPr>
            <w:r>
              <w:rPr>
                <w:rFonts w:ascii="Arial" w:cs="Arial" w:eastAsia="Arial" w:hAnsi="Arial"/>
                <w:sz w:val="16"/>
                <w:szCs w:val="16"/>
                <w:color w:val="auto"/>
              </w:rPr>
              <w:t>obligations of U.S. government</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68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corporations and agencies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8,243,486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156,066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3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8,399,552</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Political subdivisions of States,</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ind w:left="40"/>
              <w:spacing w:after="0"/>
              <w:rPr>
                <w:sz w:val="20"/>
                <w:szCs w:val="20"/>
                <w:color w:val="auto"/>
              </w:rPr>
            </w:pPr>
            <w:r>
              <w:rPr>
                <w:rFonts w:ascii="Arial" w:cs="Arial" w:eastAsia="Arial" w:hAnsi="Arial"/>
                <w:sz w:val="16"/>
                <w:szCs w:val="16"/>
                <w:color w:val="auto"/>
              </w:rPr>
              <w:t>Territories and Possessions</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5,662,999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187,006</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5,850,005</w:t>
            </w:r>
          </w:p>
        </w:tc>
        <w:tc>
          <w:tcPr>
            <w:tcW w:w="1240" w:type="dxa"/>
            <w:vAlign w:val="bottom"/>
            <w:gridSpan w:val="3"/>
          </w:tcPr>
          <w:p>
            <w:pPr>
              <w:jc w:val="right"/>
              <w:spacing w:after="0"/>
              <w:rPr>
                <w:sz w:val="20"/>
                <w:szCs w:val="20"/>
                <w:color w:val="auto"/>
              </w:rPr>
            </w:pPr>
            <w:r>
              <w:rPr>
                <w:rFonts w:ascii="Arial" w:cs="Arial" w:eastAsia="Arial" w:hAnsi="Arial"/>
                <w:sz w:val="16"/>
                <w:szCs w:val="16"/>
                <w:color w:val="auto"/>
              </w:rPr>
              <w:t>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ind w:left="40"/>
              <w:spacing w:after="0"/>
              <w:rPr>
                <w:sz w:val="20"/>
                <w:szCs w:val="20"/>
                <w:color w:val="auto"/>
              </w:rPr>
            </w:pPr>
            <w:r>
              <w:rPr>
                <w:rFonts w:ascii="Arial" w:cs="Arial" w:eastAsia="Arial" w:hAnsi="Arial"/>
                <w:sz w:val="16"/>
                <w:szCs w:val="16"/>
                <w:color w:val="auto"/>
              </w:rPr>
              <w:t>Corporate and other bonds</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Industrial and miscellaneous</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124,956,806</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5,365,954</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(33,073)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(20,893)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130,268,794</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78.3%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Residential mortgage and other</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ind w:left="40"/>
              <w:spacing w:after="0"/>
              <w:rPr>
                <w:sz w:val="20"/>
                <w:szCs w:val="20"/>
                <w:color w:val="auto"/>
              </w:rPr>
            </w:pPr>
            <w:r>
              <w:rPr>
                <w:rFonts w:ascii="Arial" w:cs="Arial" w:eastAsia="Arial" w:hAnsi="Arial"/>
                <w:sz w:val="16"/>
                <w:szCs w:val="16"/>
                <w:color w:val="auto"/>
              </w:rPr>
              <w:t>asset backed securities (1)</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21,737,713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297,257</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(19,924)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(312,685)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21,702,361</w:t>
            </w:r>
          </w:p>
        </w:tc>
        <w:tc>
          <w:tcPr>
            <w:tcW w:w="1240" w:type="dxa"/>
            <w:vAlign w:val="bottom"/>
            <w:gridSpan w:val="3"/>
          </w:tcPr>
          <w:p>
            <w:pPr>
              <w:jc w:val="right"/>
              <w:spacing w:after="0"/>
              <w:rPr>
                <w:sz w:val="20"/>
                <w:szCs w:val="20"/>
                <w:color w:val="auto"/>
              </w:rPr>
            </w:pPr>
            <w:r>
              <w:rPr>
                <w:rFonts w:ascii="Arial" w:cs="Arial" w:eastAsia="Arial" w:hAnsi="Arial"/>
                <w:sz w:val="16"/>
                <w:szCs w:val="16"/>
                <w:color w:val="auto"/>
              </w:rPr>
              <w:t>13.1%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4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6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fixed-maturity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u w:val="single" w:color="auto"/>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160,601,004</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6,006,283</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(52,997)</w:t>
            </w:r>
          </w:p>
        </w:tc>
        <w:tc>
          <w:tcPr>
            <w:tcW w:w="260" w:type="dxa"/>
            <w:vAlign w:val="bottom"/>
            <w:gridSpan w:val="2"/>
            <w:shd w:val="clear" w:color="auto" w:fill="CCEEFF"/>
          </w:tcPr>
          <w:p>
            <w:pPr>
              <w:jc w:val="right"/>
              <w:ind w:right="3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(333,578)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166,220,712</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jc w:val="both"/>
        <w:ind w:left="300" w:right="20" w:hanging="299"/>
        <w:spacing w:after="0" w:line="275" w:lineRule="auto"/>
        <w:tabs>
          <w:tab w:leader="none" w:pos="3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 2017, KICO placed certain residential mortgage backed securities as eligible collateral in a designated custodian account related to its membership in the Federal Home Loan Bank of New York ("FHLBNY"). The eligible collateral would be pledged to FHLBNY if KICO draws an advance from the FHLBNY credit line. As of September 30, 2019, the estimated fair value of the eligible investments was approximately $5,144,000. KICO will retain all rights regarding all securities if pledged as collateral. As of September 30, 2019, there was no outstanding balance on the FHLBNY credit line.</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1"/>
              </w:rPr>
              <w:t>December 31, 2018</w:t>
            </w:r>
          </w:p>
        </w:tc>
        <w:tc>
          <w:tcPr>
            <w:tcW w:w="7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4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center"/>
              <w:ind w:right="2"/>
              <w:spacing w:after="0"/>
              <w:rPr>
                <w:sz w:val="20"/>
                <w:szCs w:val="20"/>
                <w:color w:val="auto"/>
              </w:rPr>
            </w:pPr>
            <w:r>
              <w:rPr>
                <w:rFonts w:ascii="Arial" w:cs="Arial" w:eastAsia="Arial" w:hAnsi="Arial"/>
                <w:sz w:val="14"/>
                <w:szCs w:val="14"/>
                <w:b w:val="1"/>
                <w:bCs w:val="1"/>
                <w:color w:val="auto"/>
                <w:w w:val="89"/>
              </w:rPr>
              <w:t>Cost or</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center"/>
              <w:ind w:right="22"/>
              <w:spacing w:after="0"/>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b w:val="1"/>
                <w:bCs w:val="1"/>
                <w:color w:val="auto"/>
                <w:w w:val="98"/>
              </w:rPr>
              <w:t>Gross Unrealized Losses</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Estimated</w:t>
            </w:r>
          </w:p>
        </w:tc>
        <w:tc>
          <w:tcPr>
            <w:tcW w:w="220" w:type="dxa"/>
            <w:vAlign w:val="bottom"/>
          </w:tcPr>
          <w:p>
            <w:pPr>
              <w:spacing w:after="0"/>
              <w:rPr>
                <w:sz w:val="24"/>
                <w:szCs w:val="24"/>
                <w:color w:val="auto"/>
              </w:rPr>
            </w:pPr>
          </w:p>
        </w:tc>
        <w:tc>
          <w:tcPr>
            <w:tcW w:w="10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 of</w:t>
            </w:r>
          </w:p>
        </w:tc>
        <w:tc>
          <w:tcPr>
            <w:tcW w:w="0" w:type="dxa"/>
            <w:vAlign w:val="bottom"/>
          </w:tcPr>
          <w:p>
            <w:pPr>
              <w:spacing w:after="0"/>
              <w:rPr>
                <w:sz w:val="1"/>
                <w:szCs w:val="1"/>
                <w:color w:val="auto"/>
              </w:rPr>
            </w:pPr>
          </w:p>
        </w:tc>
      </w:tr>
      <w:tr>
        <w:trPr>
          <w:trHeight w:val="245"/>
        </w:trPr>
        <w:tc>
          <w:tcPr>
            <w:tcW w:w="46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Categor</w:t>
            </w:r>
            <w:r>
              <w:rPr>
                <w:rFonts w:ascii="Arial" w:cs="Arial" w:eastAsia="Arial" w:hAnsi="Arial"/>
                <w:sz w:val="16"/>
                <w:szCs w:val="16"/>
                <w:color w:val="auto"/>
              </w:rPr>
              <w:t>y</w:t>
            </w:r>
          </w:p>
        </w:tc>
        <w:tc>
          <w:tcPr>
            <w:tcW w:w="100" w:type="dxa"/>
            <w:vAlign w:val="bottom"/>
          </w:tcPr>
          <w:p>
            <w:pPr>
              <w:spacing w:after="0"/>
              <w:rPr>
                <w:sz w:val="21"/>
                <w:szCs w:val="21"/>
                <w:color w:val="auto"/>
              </w:rPr>
            </w:pPr>
          </w:p>
        </w:tc>
        <w:tc>
          <w:tcPr>
            <w:tcW w:w="840" w:type="dxa"/>
            <w:vAlign w:val="bottom"/>
          </w:tcPr>
          <w:p>
            <w:pPr>
              <w:jc w:val="center"/>
              <w:ind w:right="2"/>
              <w:spacing w:after="0"/>
              <w:rPr>
                <w:sz w:val="20"/>
                <w:szCs w:val="20"/>
                <w:color w:val="auto"/>
              </w:rPr>
            </w:pPr>
            <w:r>
              <w:rPr>
                <w:rFonts w:ascii="Arial" w:cs="Arial" w:eastAsia="Arial" w:hAnsi="Arial"/>
                <w:sz w:val="14"/>
                <w:szCs w:val="14"/>
                <w:b w:val="1"/>
                <w:bCs w:val="1"/>
                <w:color w:val="auto"/>
                <w:w w:val="93"/>
              </w:rPr>
              <w:t>Amortized</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center"/>
              <w:ind w:right="2"/>
              <w:spacing w:after="0"/>
              <w:rPr>
                <w:sz w:val="20"/>
                <w:szCs w:val="20"/>
                <w:color w:val="auto"/>
              </w:rPr>
            </w:pPr>
            <w:r>
              <w:rPr>
                <w:rFonts w:ascii="Arial" w:cs="Arial" w:eastAsia="Arial" w:hAnsi="Arial"/>
                <w:sz w:val="14"/>
                <w:szCs w:val="14"/>
                <w:b w:val="1"/>
                <w:bCs w:val="1"/>
                <w:color w:val="auto"/>
                <w:w w:val="90"/>
              </w:rPr>
              <w:t>Unrealized</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Less than 12</w:t>
            </w:r>
          </w:p>
        </w:tc>
        <w:tc>
          <w:tcPr>
            <w:tcW w:w="80" w:type="dxa"/>
            <w:vAlign w:val="bottom"/>
          </w:tcPr>
          <w:p>
            <w:pPr>
              <w:spacing w:after="0"/>
              <w:rPr>
                <w:sz w:val="21"/>
                <w:szCs w:val="21"/>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9"/>
              </w:rPr>
              <w:t>More than 12</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21"/>
                <w:szCs w:val="21"/>
                <w:color w:val="auto"/>
              </w:rPr>
            </w:pPr>
          </w:p>
        </w:tc>
        <w:tc>
          <w:tcPr>
            <w:tcW w:w="10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Estimated</w:t>
            </w:r>
          </w:p>
        </w:tc>
        <w:tc>
          <w:tcPr>
            <w:tcW w:w="0" w:type="dxa"/>
            <w:vAlign w:val="bottom"/>
          </w:tcPr>
          <w:p>
            <w:pPr>
              <w:spacing w:after="0"/>
              <w:rPr>
                <w:sz w:val="1"/>
                <w:szCs w:val="1"/>
                <w:color w:val="auto"/>
              </w:rPr>
            </w:pPr>
          </w:p>
        </w:tc>
      </w:tr>
      <w:tr>
        <w:trPr>
          <w:trHeight w:val="217"/>
        </w:trPr>
        <w:tc>
          <w:tcPr>
            <w:tcW w:w="4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5"/>
              </w:rPr>
              <w:t>Cos</w:t>
            </w:r>
            <w:r>
              <w:rPr>
                <w:rFonts w:ascii="Arial" w:cs="Arial" w:eastAsia="Arial" w:hAnsi="Arial"/>
                <w:sz w:val="14"/>
                <w:szCs w:val="14"/>
                <w:color w:val="auto"/>
                <w:w w:val="85"/>
              </w:rPr>
              <w:t>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right="22"/>
              <w:spacing w:after="0"/>
              <w:rPr>
                <w:sz w:val="20"/>
                <w:szCs w:val="20"/>
                <w:color w:val="auto"/>
              </w:rPr>
            </w:pPr>
            <w:r>
              <w:rPr>
                <w:rFonts w:ascii="Arial" w:cs="Arial" w:eastAsia="Arial" w:hAnsi="Arial"/>
                <w:sz w:val="14"/>
                <w:szCs w:val="14"/>
                <w:b w:val="1"/>
                <w:bCs w:val="1"/>
                <w:color w:val="auto"/>
                <w:w w:val="87"/>
              </w:rPr>
              <w:t>Gains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Months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Months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Pr>
          <w:p>
            <w:pPr>
              <w:spacing w:after="0"/>
              <w:rPr>
                <w:sz w:val="18"/>
                <w:szCs w:val="18"/>
                <w:color w:val="auto"/>
              </w:rPr>
            </w:pPr>
          </w:p>
        </w:tc>
        <w:tc>
          <w:tcPr>
            <w:tcW w:w="10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453"/>
        </w:trPr>
        <w:tc>
          <w:tcPr>
            <w:tcW w:w="4680" w:type="dxa"/>
            <w:vAlign w:val="bottom"/>
          </w:tcPr>
          <w:p>
            <w:pPr>
              <w:ind w:left="40"/>
              <w:spacing w:after="0"/>
              <w:rPr>
                <w:sz w:val="20"/>
                <w:szCs w:val="20"/>
                <w:color w:val="auto"/>
              </w:rPr>
            </w:pPr>
            <w:r>
              <w:rPr>
                <w:rFonts w:ascii="Arial" w:cs="Arial" w:eastAsia="Arial" w:hAnsi="Arial"/>
                <w:sz w:val="16"/>
                <w:szCs w:val="16"/>
                <w:color w:val="auto"/>
              </w:rPr>
              <w:t>U.S. Treasury securities and</w:t>
            </w: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680" w:type="dxa"/>
            <w:vAlign w:val="bottom"/>
          </w:tcPr>
          <w:p>
            <w:pPr>
              <w:ind w:left="40"/>
              <w:spacing w:after="0"/>
              <w:rPr>
                <w:sz w:val="20"/>
                <w:szCs w:val="20"/>
                <w:color w:val="auto"/>
              </w:rPr>
            </w:pPr>
            <w:r>
              <w:rPr>
                <w:rFonts w:ascii="Arial" w:cs="Arial" w:eastAsia="Arial" w:hAnsi="Arial"/>
                <w:sz w:val="16"/>
                <w:szCs w:val="16"/>
                <w:color w:val="auto"/>
              </w:rPr>
              <w:t>obligations of U.S. government</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68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corporations and agencies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8,222,050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26,331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(28,000)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8,220,381</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68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Political subdivisions of States,</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tcBorders>
              <w:left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680" w:type="dxa"/>
            <w:vAlign w:val="bottom"/>
          </w:tcPr>
          <w:p>
            <w:pPr>
              <w:ind w:left="40"/>
              <w:spacing w:after="0"/>
              <w:rPr>
                <w:sz w:val="20"/>
                <w:szCs w:val="20"/>
                <w:color w:val="auto"/>
              </w:rPr>
            </w:pPr>
            <w:r>
              <w:rPr>
                <w:rFonts w:ascii="Arial" w:cs="Arial" w:eastAsia="Arial" w:hAnsi="Arial"/>
                <w:sz w:val="16"/>
                <w:szCs w:val="16"/>
                <w:color w:val="auto"/>
              </w:rPr>
              <w:t>Territories and Possessions</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6,339,540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50,903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(12,327)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(36,508)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6,341,608</w:t>
            </w:r>
          </w:p>
        </w:tc>
        <w:tc>
          <w:tcPr>
            <w:tcW w:w="1240" w:type="dxa"/>
            <w:vAlign w:val="bottom"/>
            <w:gridSpan w:val="3"/>
          </w:tcPr>
          <w:p>
            <w:pPr>
              <w:jc w:val="right"/>
              <w:spacing w:after="0"/>
              <w:rPr>
                <w:sz w:val="20"/>
                <w:szCs w:val="20"/>
                <w:color w:val="auto"/>
              </w:rPr>
            </w:pPr>
            <w:r>
              <w:rPr>
                <w:rFonts w:ascii="Arial" w:cs="Arial" w:eastAsia="Arial" w:hAnsi="Arial"/>
                <w:sz w:val="16"/>
                <w:szCs w:val="16"/>
                <w:color w:val="auto"/>
              </w:rPr>
              <w:t>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ind w:left="40"/>
              <w:spacing w:after="0"/>
              <w:rPr>
                <w:sz w:val="20"/>
                <w:szCs w:val="20"/>
                <w:color w:val="auto"/>
              </w:rPr>
            </w:pPr>
            <w:r>
              <w:rPr>
                <w:rFonts w:ascii="Arial" w:cs="Arial" w:eastAsia="Arial" w:hAnsi="Arial"/>
                <w:sz w:val="16"/>
                <w:szCs w:val="16"/>
                <w:color w:val="auto"/>
              </w:rPr>
              <w:t>Corporate and other bonds</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Industrial and miscellaneous</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119,078,698</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123,740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(2,775,540)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(676,605)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115,750,293</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76.3%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68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Residential mortgage and other</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tcBorders>
              <w:left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680" w:type="dxa"/>
            <w:vAlign w:val="bottom"/>
          </w:tcPr>
          <w:p>
            <w:pPr>
              <w:ind w:left="40"/>
              <w:spacing w:after="0"/>
              <w:rPr>
                <w:sz w:val="20"/>
                <w:szCs w:val="20"/>
                <w:color w:val="auto"/>
              </w:rPr>
            </w:pPr>
            <w:r>
              <w:rPr>
                <w:rFonts w:ascii="Arial" w:cs="Arial" w:eastAsia="Arial" w:hAnsi="Arial"/>
                <w:sz w:val="16"/>
                <w:szCs w:val="16"/>
                <w:color w:val="auto"/>
              </w:rPr>
              <w:t>asset backed securities (1)</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21,790,973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236,502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(231,229)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(331,012)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21,465,234</w:t>
            </w:r>
          </w:p>
        </w:tc>
        <w:tc>
          <w:tcPr>
            <w:tcW w:w="1240" w:type="dxa"/>
            <w:vAlign w:val="bottom"/>
            <w:gridSpan w:val="3"/>
          </w:tcPr>
          <w:p>
            <w:pPr>
              <w:jc w:val="right"/>
              <w:spacing w:after="0"/>
              <w:rPr>
                <w:sz w:val="20"/>
                <w:szCs w:val="20"/>
                <w:color w:val="auto"/>
              </w:rPr>
            </w:pPr>
            <w:r>
              <w:rPr>
                <w:rFonts w:ascii="Arial" w:cs="Arial" w:eastAsia="Arial" w:hAnsi="Arial"/>
                <w:sz w:val="16"/>
                <w:szCs w:val="16"/>
                <w:color w:val="auto"/>
              </w:rPr>
              <w:t>14.1%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4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6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fixed-maturity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u w:val="single" w:color="auto"/>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155,431,261</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437,476</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(3,047,096)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7"/>
              </w:rPr>
              <w:t>(1,044,125)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151,777,516</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jc w:val="both"/>
        <w:ind w:left="600" w:right="20" w:hanging="295"/>
        <w:spacing w:after="0" w:line="275" w:lineRule="auto"/>
        <w:tabs>
          <w:tab w:leader="none" w:pos="658"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 2017, KICO placed certain residential mortgage backed securities as eligible collateral in a designated custodian account related to its relationship with the Federal Home Loan Bank of New York ("FHLBNY"). The eligible collateral would be pledged to FHLBNY if KICO draws an advance from FHLBNY. As of December 31, 2018, the estimated fair value of the eligible investments was $5,116,000. KICO will retain all rights regarding all securities if pledged as collateral. As of December 31, 2018, there was no outstanding balance on the FHLBNY credit line.</w:t>
      </w:r>
    </w:p>
    <w:p>
      <w:pPr>
        <w:spacing w:after="0" w:line="32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40"/>
          </w:cols>
          <w:pgMar w:left="240" w:top="418" w:right="219" w:bottom="1440" w:gutter="0" w:footer="0" w:header="0"/>
        </w:sectPr>
      </w:pPr>
    </w:p>
    <w:bookmarkStart w:id="60" w:name="page61"/>
    <w:bookmarkEnd w:id="60"/>
    <w:p>
      <w:pPr>
        <w:ind w:left="600"/>
        <w:spacing w:after="0"/>
        <w:rPr>
          <w:sz w:val="20"/>
          <w:szCs w:val="20"/>
          <w:color w:val="auto"/>
        </w:rPr>
      </w:pPr>
      <w:r>
        <w:rPr>
          <w:rFonts w:ascii="Arial" w:cs="Arial" w:eastAsia="Arial" w:hAnsi="Arial"/>
          <w:sz w:val="16"/>
          <w:szCs w:val="16"/>
          <w:u w:val="single" w:color="auto"/>
          <w:color w:val="auto"/>
        </w:rPr>
        <w:t>Equity Securities</w:t>
      </w:r>
    </w:p>
    <w:p>
      <w:pPr>
        <w:spacing w:after="0" w:line="221" w:lineRule="exact"/>
        <w:rPr>
          <w:sz w:val="20"/>
          <w:szCs w:val="20"/>
          <w:color w:val="auto"/>
        </w:rPr>
      </w:pPr>
    </w:p>
    <w:p>
      <w:pPr>
        <w:ind w:right="140" w:firstLine="608"/>
        <w:spacing w:after="0" w:line="296" w:lineRule="auto"/>
        <w:rPr>
          <w:sz w:val="20"/>
          <w:szCs w:val="20"/>
          <w:color w:val="auto"/>
        </w:rPr>
      </w:pPr>
      <w:r>
        <w:rPr>
          <w:rFonts w:ascii="Arial" w:cs="Arial" w:eastAsia="Arial" w:hAnsi="Arial"/>
          <w:sz w:val="16"/>
          <w:szCs w:val="16"/>
          <w:color w:val="auto"/>
        </w:rPr>
        <w:t>The following table presents a breakdown of the cost, estimated fair value, and gross gains and losses of investments in equity securities as of September 30, 2019 and December 31, 2018:</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4"/>
                <w:szCs w:val="14"/>
                <w:b w:val="1"/>
                <w:bCs w:val="1"/>
                <w:color w:val="auto"/>
              </w:rPr>
              <w:t>September 30, 2019</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5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center"/>
              <w:ind w:right="44"/>
              <w:spacing w:after="0"/>
              <w:rPr>
                <w:sz w:val="20"/>
                <w:szCs w:val="20"/>
                <w:color w:val="auto"/>
              </w:rPr>
            </w:pPr>
            <w:r>
              <w:rPr>
                <w:rFonts w:ascii="Arial" w:cs="Arial" w:eastAsia="Arial" w:hAnsi="Arial"/>
                <w:sz w:val="14"/>
                <w:szCs w:val="14"/>
                <w:b w:val="1"/>
                <w:bCs w:val="1"/>
                <w:color w:val="auto"/>
                <w:w w:val="89"/>
              </w:rPr>
              <w:t>Estimated</w:t>
            </w:r>
          </w:p>
        </w:tc>
        <w:tc>
          <w:tcPr>
            <w:tcW w:w="220" w:type="dxa"/>
            <w:vAlign w:val="bottom"/>
          </w:tcPr>
          <w:p>
            <w:pPr>
              <w:spacing w:after="0"/>
              <w:rPr>
                <w:sz w:val="21"/>
                <w:szCs w:val="21"/>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228"/>
        </w:trPr>
        <w:tc>
          <w:tcPr>
            <w:tcW w:w="58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Categor</w:t>
            </w:r>
            <w:r>
              <w:rPr>
                <w:rFonts w:ascii="Arial" w:cs="Arial" w:eastAsia="Arial" w:hAnsi="Arial"/>
                <w:sz w:val="16"/>
                <w:szCs w:val="16"/>
                <w:color w:val="auto"/>
              </w:rPr>
              <w:t>y</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ind w:right="204"/>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Gross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center"/>
              <w:ind w:right="24"/>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9"/>
                <w:szCs w:val="19"/>
                <w:color w:val="auto"/>
              </w:rPr>
            </w:pPr>
          </w:p>
        </w:tc>
        <w:tc>
          <w:tcPr>
            <w:tcW w:w="10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Estimated</w:t>
            </w:r>
          </w:p>
        </w:tc>
        <w:tc>
          <w:tcPr>
            <w:tcW w:w="0" w:type="dxa"/>
            <w:vAlign w:val="bottom"/>
          </w:tcPr>
          <w:p>
            <w:pPr>
              <w:spacing w:after="0"/>
              <w:rPr>
                <w:sz w:val="1"/>
                <w:szCs w:val="1"/>
                <w:color w:val="auto"/>
              </w:rPr>
            </w:pPr>
          </w:p>
        </w:tc>
      </w:tr>
      <w:tr>
        <w:trPr>
          <w:trHeight w:val="217"/>
        </w:trPr>
        <w:tc>
          <w:tcPr>
            <w:tcW w:w="5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22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204"/>
              <w:spacing w:after="0"/>
              <w:rPr>
                <w:sz w:val="20"/>
                <w:szCs w:val="20"/>
                <w:color w:val="auto"/>
              </w:rPr>
            </w:pPr>
            <w:r>
              <w:rPr>
                <w:rFonts w:ascii="Arial" w:cs="Arial" w:eastAsia="Arial" w:hAnsi="Arial"/>
                <w:sz w:val="14"/>
                <w:szCs w:val="14"/>
                <w:b w:val="1"/>
                <w:bCs w:val="1"/>
                <w:color w:val="auto"/>
              </w:rPr>
              <w:t>Gains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78"/>
              </w:rPr>
              <w:t>Losses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right="24"/>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Pr>
          <w:p>
            <w:pPr>
              <w:spacing w:after="0"/>
              <w:rPr>
                <w:sz w:val="18"/>
                <w:szCs w:val="18"/>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453"/>
        </w:trPr>
        <w:tc>
          <w:tcPr>
            <w:tcW w:w="58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Equity Securities:</w:t>
            </w: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Preferred stocks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8,415,227</w:t>
            </w:r>
          </w:p>
        </w:tc>
        <w:tc>
          <w:tcPr>
            <w:tcW w:w="10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394,815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(16,042)</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8,794,000</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840" w:type="dxa"/>
            <w:vAlign w:val="bottom"/>
          </w:tcPr>
          <w:p>
            <w:pPr>
              <w:ind w:left="100"/>
              <w:spacing w:after="0"/>
              <w:rPr>
                <w:sz w:val="20"/>
                <w:szCs w:val="20"/>
                <w:color w:val="auto"/>
              </w:rPr>
            </w:pPr>
            <w:r>
              <w:rPr>
                <w:rFonts w:ascii="Arial" w:cs="Arial" w:eastAsia="Arial" w:hAnsi="Arial"/>
                <w:sz w:val="16"/>
                <w:szCs w:val="16"/>
                <w:color w:val="auto"/>
              </w:rPr>
              <w:t>Common stocks and exchange</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traded mutual funds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13,655,339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1,537,211</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(487,351)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14,705,199</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62.6%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58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840" w:type="dxa"/>
            <w:vAlign w:val="bottom"/>
          </w:tcPr>
          <w:p>
            <w:pPr>
              <w:ind w:left="200"/>
              <w:spacing w:after="0"/>
              <w:rPr>
                <w:sz w:val="20"/>
                <w:szCs w:val="20"/>
                <w:color w:val="auto"/>
              </w:rPr>
            </w:pPr>
            <w:r>
              <w:rPr>
                <w:rFonts w:ascii="Arial" w:cs="Arial" w:eastAsia="Arial" w:hAnsi="Arial"/>
                <w:sz w:val="16"/>
                <w:szCs w:val="16"/>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w w:val="97"/>
              </w:rPr>
              <w:t>22,070,566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1,932,026</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(503,393)</w:t>
            </w: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w w:val="97"/>
              </w:rPr>
              <w:t>23,499,199</w:t>
            </w:r>
          </w:p>
        </w:tc>
        <w:tc>
          <w:tcPr>
            <w:tcW w:w="1240" w:type="dxa"/>
            <w:vAlign w:val="bottom"/>
            <w:gridSpan w:val="3"/>
          </w:tcPr>
          <w:p>
            <w:pPr>
              <w:jc w:val="right"/>
              <w:spacing w:after="0"/>
              <w:rPr>
                <w:sz w:val="20"/>
                <w:szCs w:val="20"/>
                <w:color w:val="auto"/>
              </w:rPr>
            </w:pPr>
            <w:r>
              <w:rPr>
                <w:rFonts w:ascii="Arial" w:cs="Arial" w:eastAsia="Arial" w:hAnsi="Arial"/>
                <w:sz w:val="16"/>
                <w:szCs w:val="16"/>
                <w:color w:val="auto"/>
              </w:rPr>
              <w:t>100.0%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58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4"/>
                <w:szCs w:val="14"/>
                <w:b w:val="1"/>
                <w:bCs w:val="1"/>
                <w:color w:val="auto"/>
              </w:rPr>
              <w:t>December 31, 2018</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center"/>
              <w:ind w:right="44"/>
              <w:spacing w:after="0"/>
              <w:rPr>
                <w:sz w:val="20"/>
                <w:szCs w:val="20"/>
                <w:color w:val="auto"/>
              </w:rPr>
            </w:pPr>
            <w:r>
              <w:rPr>
                <w:rFonts w:ascii="Arial" w:cs="Arial" w:eastAsia="Arial" w:hAnsi="Arial"/>
                <w:sz w:val="14"/>
                <w:szCs w:val="14"/>
                <w:b w:val="1"/>
                <w:bCs w:val="1"/>
                <w:color w:val="auto"/>
                <w:w w:val="89"/>
              </w:rPr>
              <w:t>Estimated</w:t>
            </w:r>
          </w:p>
        </w:tc>
        <w:tc>
          <w:tcPr>
            <w:tcW w:w="220" w:type="dxa"/>
            <w:vAlign w:val="bottom"/>
          </w:tcPr>
          <w:p>
            <w:pPr>
              <w:spacing w:after="0"/>
              <w:rPr>
                <w:sz w:val="21"/>
                <w:szCs w:val="21"/>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228"/>
        </w:trPr>
        <w:tc>
          <w:tcPr>
            <w:tcW w:w="58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Categor</w:t>
            </w:r>
            <w:r>
              <w:rPr>
                <w:rFonts w:ascii="Arial" w:cs="Arial" w:eastAsia="Arial" w:hAnsi="Arial"/>
                <w:sz w:val="16"/>
                <w:szCs w:val="16"/>
                <w:color w:val="auto"/>
              </w:rPr>
              <w:t>y</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ind w:right="204"/>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Gross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center"/>
              <w:ind w:right="24"/>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9"/>
                <w:szCs w:val="19"/>
                <w:color w:val="auto"/>
              </w:rPr>
            </w:pPr>
          </w:p>
        </w:tc>
        <w:tc>
          <w:tcPr>
            <w:tcW w:w="10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Estimated</w:t>
            </w:r>
          </w:p>
        </w:tc>
        <w:tc>
          <w:tcPr>
            <w:tcW w:w="0" w:type="dxa"/>
            <w:vAlign w:val="bottom"/>
          </w:tcPr>
          <w:p>
            <w:pPr>
              <w:spacing w:after="0"/>
              <w:rPr>
                <w:sz w:val="1"/>
                <w:szCs w:val="1"/>
                <w:color w:val="auto"/>
              </w:rPr>
            </w:pPr>
          </w:p>
        </w:tc>
      </w:tr>
      <w:tr>
        <w:trPr>
          <w:trHeight w:val="217"/>
        </w:trPr>
        <w:tc>
          <w:tcPr>
            <w:tcW w:w="5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22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204"/>
              <w:spacing w:after="0"/>
              <w:rPr>
                <w:sz w:val="20"/>
                <w:szCs w:val="20"/>
                <w:color w:val="auto"/>
              </w:rPr>
            </w:pPr>
            <w:r>
              <w:rPr>
                <w:rFonts w:ascii="Arial" w:cs="Arial" w:eastAsia="Arial" w:hAnsi="Arial"/>
                <w:sz w:val="14"/>
                <w:szCs w:val="14"/>
                <w:b w:val="1"/>
                <w:bCs w:val="1"/>
                <w:color w:val="auto"/>
              </w:rPr>
              <w:t>Gains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78"/>
              </w:rPr>
              <w:t>Losses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right="24"/>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Pr>
          <w:p>
            <w:pPr>
              <w:spacing w:after="0"/>
              <w:rPr>
                <w:sz w:val="18"/>
                <w:szCs w:val="18"/>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453"/>
        </w:trPr>
        <w:tc>
          <w:tcPr>
            <w:tcW w:w="58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Equity Securities:</w:t>
            </w: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Preferred stocks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6,694,754</w:t>
            </w:r>
          </w:p>
        </w:tc>
        <w:tc>
          <w:tcPr>
            <w:tcW w:w="10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(541,798)</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6,152,956</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840" w:type="dxa"/>
            <w:vAlign w:val="bottom"/>
          </w:tcPr>
          <w:p>
            <w:pPr>
              <w:ind w:left="100"/>
              <w:spacing w:after="0"/>
              <w:rPr>
                <w:sz w:val="20"/>
                <w:szCs w:val="20"/>
                <w:color w:val="auto"/>
              </w:rPr>
            </w:pPr>
            <w:r>
              <w:rPr>
                <w:rFonts w:ascii="Arial" w:cs="Arial" w:eastAsia="Arial" w:hAnsi="Arial"/>
                <w:sz w:val="16"/>
                <w:szCs w:val="16"/>
                <w:color w:val="auto"/>
              </w:rPr>
              <w:t>Common stocks and exchange</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traded mutual funds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11,611,232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99,817</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7"/>
              </w:rPr>
              <w:t>(1,291,389)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10,419,660</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62.9%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58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840" w:type="dxa"/>
            <w:vAlign w:val="bottom"/>
          </w:tcPr>
          <w:p>
            <w:pPr>
              <w:ind w:left="200"/>
              <w:spacing w:after="0"/>
              <w:rPr>
                <w:sz w:val="20"/>
                <w:szCs w:val="20"/>
                <w:color w:val="auto"/>
              </w:rPr>
            </w:pPr>
            <w:r>
              <w:rPr>
                <w:rFonts w:ascii="Arial" w:cs="Arial" w:eastAsia="Arial" w:hAnsi="Arial"/>
                <w:sz w:val="16"/>
                <w:szCs w:val="16"/>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w w:val="97"/>
              </w:rPr>
              <w:t>18,305,986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99,817</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w w:val="97"/>
              </w:rPr>
              <w:t>(1,833,187)</w:t>
            </w: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w w:val="97"/>
              </w:rPr>
              <w:t>16,572,616</w:t>
            </w:r>
          </w:p>
        </w:tc>
        <w:tc>
          <w:tcPr>
            <w:tcW w:w="1240" w:type="dxa"/>
            <w:vAlign w:val="bottom"/>
            <w:gridSpan w:val="3"/>
          </w:tcPr>
          <w:p>
            <w:pPr>
              <w:jc w:val="right"/>
              <w:spacing w:after="0"/>
              <w:rPr>
                <w:sz w:val="20"/>
                <w:szCs w:val="20"/>
                <w:color w:val="auto"/>
              </w:rPr>
            </w:pPr>
            <w:r>
              <w:rPr>
                <w:rFonts w:ascii="Arial" w:cs="Arial" w:eastAsia="Arial" w:hAnsi="Arial"/>
                <w:sz w:val="16"/>
                <w:szCs w:val="16"/>
                <w:color w:val="auto"/>
              </w:rPr>
              <w:t>100.0%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0"/>
        <w:spacing w:after="0"/>
        <w:rPr>
          <w:sz w:val="20"/>
          <w:szCs w:val="20"/>
          <w:color w:val="auto"/>
        </w:rPr>
      </w:pPr>
      <w:r>
        <w:rPr>
          <w:rFonts w:ascii="Arial" w:cs="Arial" w:eastAsia="Arial" w:hAnsi="Arial"/>
          <w:sz w:val="16"/>
          <w:szCs w:val="16"/>
          <w:u w:val="single" w:color="auto"/>
          <w:color w:val="auto"/>
        </w:rPr>
        <w:t>Other Investments</w:t>
      </w:r>
    </w:p>
    <w:p>
      <w:pPr>
        <w:spacing w:after="0" w:line="221" w:lineRule="exact"/>
        <w:rPr>
          <w:sz w:val="20"/>
          <w:szCs w:val="20"/>
          <w:color w:val="auto"/>
        </w:rPr>
      </w:pPr>
    </w:p>
    <w:p>
      <w:pPr>
        <w:jc w:val="both"/>
        <w:ind w:right="20" w:firstLine="608"/>
        <w:spacing w:after="0" w:line="280" w:lineRule="auto"/>
        <w:rPr>
          <w:sz w:val="20"/>
          <w:szCs w:val="20"/>
          <w:color w:val="auto"/>
        </w:rPr>
      </w:pPr>
      <w:r>
        <w:rPr>
          <w:rFonts w:ascii="Arial" w:cs="Arial" w:eastAsia="Arial" w:hAnsi="Arial"/>
          <w:sz w:val="16"/>
          <w:szCs w:val="16"/>
          <w:color w:val="auto"/>
        </w:rPr>
        <w:t>Pursuant to ASC 820 “Fair Value Measurement,” an entity is permitted, as a practical expedient, to estimate the fair value of an investment within the scope of ASC 820 using the net asset value (“NAV”) per share (or its equivalent) of the investment. The following table presents a breakdown of the cost, estimated fair value, and gross unrealized gains and losses of our other investments as of September 30, 2019 and December 31, 2018:</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 2019</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4"/>
                <w:szCs w:val="14"/>
                <w:b w:val="1"/>
                <w:bCs w:val="1"/>
                <w:color w:val="auto"/>
              </w:rPr>
              <w:t>December 31, 2018</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6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Categor</w:t>
            </w:r>
            <w:r>
              <w:rPr>
                <w:rFonts w:ascii="Arial" w:cs="Arial" w:eastAsia="Arial" w:hAnsi="Arial"/>
                <w:sz w:val="16"/>
                <w:szCs w:val="16"/>
                <w:color w:val="auto"/>
              </w:rPr>
              <w:t>y</w:t>
            </w: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204"/>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64"/>
              <w:spacing w:after="0"/>
              <w:rPr>
                <w:sz w:val="20"/>
                <w:szCs w:val="20"/>
                <w:color w:val="auto"/>
              </w:rPr>
            </w:pPr>
            <w:r>
              <w:rPr>
                <w:rFonts w:ascii="Arial" w:cs="Arial" w:eastAsia="Arial" w:hAnsi="Arial"/>
                <w:sz w:val="14"/>
                <w:szCs w:val="14"/>
                <w:b w:val="1"/>
                <w:bCs w:val="1"/>
                <w:color w:val="auto"/>
                <w:w w:val="95"/>
              </w:rPr>
              <w:t>Estimated</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217"/>
        </w:trPr>
        <w:tc>
          <w:tcPr>
            <w:tcW w:w="468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Cost</w:t>
            </w: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Gains</w:t>
            </w: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w w:val="92"/>
              </w:rPr>
              <w:t>Fair Value</w:t>
            </w: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Cost</w:t>
            </w: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w w:val="95"/>
              </w:rPr>
              <w:t>Losses</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455"/>
        </w:trPr>
        <w:tc>
          <w:tcPr>
            <w:tcW w:w="4680" w:type="dxa"/>
            <w:vAlign w:val="bottom"/>
          </w:tcPr>
          <w:p>
            <w:pPr>
              <w:spacing w:after="0"/>
              <w:rPr>
                <w:sz w:val="20"/>
                <w:szCs w:val="20"/>
                <w:color w:val="auto"/>
              </w:rPr>
            </w:pPr>
            <w:r>
              <w:rPr>
                <w:rFonts w:ascii="Arial" w:cs="Arial" w:eastAsia="Arial" w:hAnsi="Arial"/>
                <w:sz w:val="16"/>
                <w:szCs w:val="16"/>
                <w:b w:val="1"/>
                <w:bCs w:val="1"/>
                <w:color w:val="auto"/>
              </w:rPr>
              <w:t>Other Investments:</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4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Hedge fund</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1,999,381</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426,523</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2,425,904</w:t>
            </w:r>
          </w:p>
        </w:tc>
        <w:tc>
          <w:tcPr>
            <w:tcW w:w="2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1,999,381</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(144,156)</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1,855,225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46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680" w:type="dxa"/>
            <w:vAlign w:val="bottom"/>
          </w:tcPr>
          <w:p>
            <w:pPr>
              <w:ind w:left="200"/>
              <w:spacing w:after="0"/>
              <w:rPr>
                <w:sz w:val="20"/>
                <w:szCs w:val="20"/>
                <w:color w:val="auto"/>
              </w:rPr>
            </w:pPr>
            <w:r>
              <w:rPr>
                <w:rFonts w:ascii="Arial" w:cs="Arial" w:eastAsia="Arial" w:hAnsi="Arial"/>
                <w:sz w:val="16"/>
                <w:szCs w:val="16"/>
                <w:color w:val="auto"/>
              </w:rPr>
              <w:t>Total</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1,999,381</w:t>
            </w:r>
          </w:p>
        </w:tc>
        <w:tc>
          <w:tcPr>
            <w:tcW w:w="220" w:type="dxa"/>
            <w:vAlign w:val="bottom"/>
          </w:tcPr>
          <w:p>
            <w:pPr>
              <w:spacing w:after="0"/>
              <w:rPr>
                <w:sz w:val="17"/>
                <w:szCs w:val="17"/>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426,523</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2,425,904</w:t>
            </w:r>
          </w:p>
        </w:tc>
        <w:tc>
          <w:tcPr>
            <w:tcW w:w="220" w:type="dxa"/>
            <w:vAlign w:val="bottom"/>
          </w:tcPr>
          <w:p>
            <w:pPr>
              <w:spacing w:after="0"/>
              <w:rPr>
                <w:sz w:val="17"/>
                <w:szCs w:val="17"/>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1,999,381</w:t>
            </w:r>
          </w:p>
        </w:tc>
        <w:tc>
          <w:tcPr>
            <w:tcW w:w="220" w:type="dxa"/>
            <w:vAlign w:val="bottom"/>
          </w:tcPr>
          <w:p>
            <w:pPr>
              <w:spacing w:after="0"/>
              <w:rPr>
                <w:sz w:val="17"/>
                <w:szCs w:val="17"/>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(144,156)</w:t>
            </w: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1,855,225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0"/>
        <w:spacing w:after="0"/>
        <w:rPr>
          <w:sz w:val="20"/>
          <w:szCs w:val="20"/>
          <w:color w:val="auto"/>
        </w:rPr>
      </w:pPr>
      <w:r>
        <w:rPr>
          <w:rFonts w:ascii="Arial" w:cs="Arial" w:eastAsia="Arial" w:hAnsi="Arial"/>
          <w:sz w:val="16"/>
          <w:szCs w:val="16"/>
          <w:u w:val="single" w:color="auto"/>
          <w:color w:val="auto"/>
        </w:rPr>
        <w:t>Held-to-Maturity Securities</w:t>
      </w:r>
    </w:p>
    <w:p>
      <w:pPr>
        <w:spacing w:after="0" w:line="221" w:lineRule="exact"/>
        <w:rPr>
          <w:sz w:val="20"/>
          <w:szCs w:val="20"/>
          <w:color w:val="auto"/>
        </w:rPr>
      </w:pPr>
    </w:p>
    <w:p>
      <w:pPr>
        <w:jc w:val="both"/>
        <w:ind w:right="20" w:firstLine="608"/>
        <w:spacing w:after="0" w:line="296" w:lineRule="auto"/>
        <w:rPr>
          <w:sz w:val="20"/>
          <w:szCs w:val="20"/>
          <w:color w:val="auto"/>
        </w:rPr>
      </w:pPr>
      <w:r>
        <w:rPr>
          <w:rFonts w:ascii="Arial" w:cs="Arial" w:eastAsia="Arial" w:hAnsi="Arial"/>
          <w:sz w:val="16"/>
          <w:szCs w:val="16"/>
          <w:color w:val="auto"/>
        </w:rPr>
        <w:t>The following table presents a breakdown of the amortized cost, estimated fair value, and unrealized gains and losses of investments in held-to-maturity securities as of September 30, 2019 and December 31, 2018:</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ind w:right="590"/>
              <w:spacing w:after="0"/>
              <w:rPr>
                <w:sz w:val="20"/>
                <w:szCs w:val="20"/>
                <w:color w:val="auto"/>
              </w:rPr>
            </w:pPr>
            <w:r>
              <w:rPr>
                <w:rFonts w:ascii="Arial" w:cs="Arial" w:eastAsia="Arial" w:hAnsi="Arial"/>
                <w:sz w:val="14"/>
                <w:szCs w:val="14"/>
                <w:b w:val="1"/>
                <w:bCs w:val="1"/>
                <w:color w:val="auto"/>
                <w:w w:val="88"/>
              </w:rPr>
              <w:t>September 30, 2019</w:t>
            </w: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4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center"/>
              <w:ind w:right="23"/>
              <w:spacing w:after="0"/>
              <w:rPr>
                <w:sz w:val="20"/>
                <w:szCs w:val="20"/>
                <w:color w:val="auto"/>
              </w:rPr>
            </w:pPr>
            <w:r>
              <w:rPr>
                <w:rFonts w:ascii="Arial" w:cs="Arial" w:eastAsia="Arial" w:hAnsi="Arial"/>
                <w:sz w:val="14"/>
                <w:szCs w:val="14"/>
                <w:b w:val="1"/>
                <w:bCs w:val="1"/>
                <w:color w:val="auto"/>
                <w:w w:val="89"/>
              </w:rPr>
              <w:t>Cost or</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center"/>
              <w:ind w:right="23"/>
              <w:spacing w:after="0"/>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w w:val="99"/>
              </w:rPr>
              <w:t>Gross Unrealized Losses</w:t>
            </w:r>
          </w:p>
        </w:tc>
        <w:tc>
          <w:tcPr>
            <w:tcW w:w="1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center"/>
              <w:ind w:right="3"/>
              <w:spacing w:after="0"/>
              <w:rPr>
                <w:sz w:val="20"/>
                <w:szCs w:val="20"/>
                <w:color w:val="auto"/>
              </w:rPr>
            </w:pPr>
            <w:r>
              <w:rPr>
                <w:rFonts w:ascii="Arial" w:cs="Arial" w:eastAsia="Arial" w:hAnsi="Arial"/>
                <w:sz w:val="14"/>
                <w:szCs w:val="14"/>
                <w:b w:val="1"/>
                <w:bCs w:val="1"/>
                <w:color w:val="auto"/>
                <w:w w:val="89"/>
              </w:rPr>
              <w:t>Estimated</w:t>
            </w:r>
          </w:p>
        </w:tc>
        <w:tc>
          <w:tcPr>
            <w:tcW w:w="220" w:type="dxa"/>
            <w:vAlign w:val="bottom"/>
          </w:tcPr>
          <w:p>
            <w:pPr>
              <w:spacing w:after="0"/>
              <w:rPr>
                <w:sz w:val="24"/>
                <w:szCs w:val="24"/>
                <w:color w:val="auto"/>
              </w:rPr>
            </w:pPr>
          </w:p>
        </w:tc>
        <w:tc>
          <w:tcPr>
            <w:tcW w:w="10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 of</w:t>
            </w:r>
          </w:p>
        </w:tc>
        <w:tc>
          <w:tcPr>
            <w:tcW w:w="0" w:type="dxa"/>
            <w:vAlign w:val="bottom"/>
          </w:tcPr>
          <w:p>
            <w:pPr>
              <w:spacing w:after="0"/>
              <w:rPr>
                <w:sz w:val="1"/>
                <w:szCs w:val="1"/>
                <w:color w:val="auto"/>
              </w:rPr>
            </w:pPr>
          </w:p>
        </w:tc>
      </w:tr>
      <w:tr>
        <w:trPr>
          <w:trHeight w:val="219"/>
        </w:trPr>
        <w:tc>
          <w:tcPr>
            <w:tcW w:w="46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Categor</w:t>
            </w:r>
            <w:r>
              <w:rPr>
                <w:rFonts w:ascii="Arial" w:cs="Arial" w:eastAsia="Arial" w:hAnsi="Arial"/>
                <w:sz w:val="16"/>
                <w:szCs w:val="16"/>
                <w:color w:val="auto"/>
              </w:rPr>
              <w:t>y</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center"/>
              <w:ind w:right="23"/>
              <w:spacing w:after="0"/>
              <w:rPr>
                <w:sz w:val="20"/>
                <w:szCs w:val="20"/>
                <w:color w:val="auto"/>
              </w:rPr>
            </w:pPr>
            <w:r>
              <w:rPr>
                <w:rFonts w:ascii="Arial" w:cs="Arial" w:eastAsia="Arial" w:hAnsi="Arial"/>
                <w:sz w:val="14"/>
                <w:szCs w:val="14"/>
                <w:b w:val="1"/>
                <w:bCs w:val="1"/>
                <w:color w:val="auto"/>
                <w:w w:val="93"/>
              </w:rPr>
              <w:t>Amortized</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center"/>
              <w:ind w:right="3"/>
              <w:spacing w:after="0"/>
              <w:rPr>
                <w:sz w:val="20"/>
                <w:szCs w:val="20"/>
                <w:color w:val="auto"/>
              </w:rPr>
            </w:pPr>
            <w:r>
              <w:rPr>
                <w:rFonts w:ascii="Arial" w:cs="Arial" w:eastAsia="Arial" w:hAnsi="Arial"/>
                <w:sz w:val="14"/>
                <w:szCs w:val="14"/>
                <w:b w:val="1"/>
                <w:bCs w:val="1"/>
                <w:color w:val="auto"/>
                <w:w w:val="90"/>
              </w:rPr>
              <w:t>Unrealized</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ind w:right="4"/>
              <w:spacing w:after="0"/>
              <w:rPr>
                <w:sz w:val="20"/>
                <w:szCs w:val="20"/>
                <w:color w:val="auto"/>
              </w:rPr>
            </w:pPr>
            <w:r>
              <w:rPr>
                <w:rFonts w:ascii="Arial" w:cs="Arial" w:eastAsia="Arial" w:hAnsi="Arial"/>
                <w:sz w:val="14"/>
                <w:szCs w:val="14"/>
                <w:b w:val="1"/>
                <w:bCs w:val="1"/>
                <w:color w:val="auto"/>
                <w:w w:val="87"/>
              </w:rPr>
              <w:t>Less than 12</w:t>
            </w:r>
          </w:p>
        </w:tc>
        <w:tc>
          <w:tcPr>
            <w:tcW w:w="2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More than 12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center"/>
              <w:ind w:right="23"/>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9"/>
                <w:szCs w:val="19"/>
                <w:color w:val="auto"/>
              </w:rPr>
            </w:pPr>
          </w:p>
        </w:tc>
        <w:tc>
          <w:tcPr>
            <w:tcW w:w="10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Estimated</w:t>
            </w:r>
          </w:p>
        </w:tc>
        <w:tc>
          <w:tcPr>
            <w:tcW w:w="0" w:type="dxa"/>
            <w:vAlign w:val="bottom"/>
          </w:tcPr>
          <w:p>
            <w:pPr>
              <w:spacing w:after="0"/>
              <w:rPr>
                <w:sz w:val="1"/>
                <w:szCs w:val="1"/>
                <w:color w:val="auto"/>
              </w:rPr>
            </w:pPr>
          </w:p>
        </w:tc>
      </w:tr>
      <w:tr>
        <w:trPr>
          <w:trHeight w:val="191"/>
        </w:trPr>
        <w:tc>
          <w:tcPr>
            <w:tcW w:w="46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center"/>
              <w:ind w:right="3"/>
              <w:spacing w:after="0"/>
              <w:rPr>
                <w:sz w:val="20"/>
                <w:szCs w:val="20"/>
                <w:color w:val="auto"/>
              </w:rPr>
            </w:pPr>
            <w:r>
              <w:rPr>
                <w:rFonts w:ascii="Arial" w:cs="Arial" w:eastAsia="Arial" w:hAnsi="Arial"/>
                <w:sz w:val="14"/>
                <w:szCs w:val="14"/>
                <w:b w:val="1"/>
                <w:bCs w:val="1"/>
                <w:color w:val="auto"/>
                <w:w w:val="85"/>
              </w:rPr>
              <w:t>Cos</w:t>
            </w:r>
            <w:r>
              <w:rPr>
                <w:rFonts w:ascii="Arial" w:cs="Arial" w:eastAsia="Arial" w:hAnsi="Arial"/>
                <w:sz w:val="14"/>
                <w:szCs w:val="14"/>
                <w:color w:val="auto"/>
                <w:w w:val="85"/>
              </w:rPr>
              <w:t>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center"/>
              <w:ind w:right="23"/>
              <w:spacing w:after="0"/>
              <w:rPr>
                <w:sz w:val="20"/>
                <w:szCs w:val="20"/>
                <w:color w:val="auto"/>
              </w:rPr>
            </w:pPr>
            <w:r>
              <w:rPr>
                <w:rFonts w:ascii="Arial" w:cs="Arial" w:eastAsia="Arial" w:hAnsi="Arial"/>
                <w:sz w:val="14"/>
                <w:szCs w:val="14"/>
                <w:b w:val="1"/>
                <w:bCs w:val="1"/>
                <w:color w:val="auto"/>
                <w:w w:val="87"/>
              </w:rPr>
              <w:t>Gains</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ind w:right="144"/>
              <w:spacing w:after="0"/>
              <w:rPr>
                <w:sz w:val="20"/>
                <w:szCs w:val="20"/>
                <w:color w:val="auto"/>
              </w:rPr>
            </w:pPr>
            <w:r>
              <w:rPr>
                <w:rFonts w:ascii="Arial" w:cs="Arial" w:eastAsia="Arial" w:hAnsi="Arial"/>
                <w:sz w:val="14"/>
                <w:szCs w:val="14"/>
                <w:b w:val="1"/>
                <w:bCs w:val="1"/>
                <w:color w:val="auto"/>
              </w:rPr>
              <w:t>Months</w:t>
            </w:r>
          </w:p>
        </w:tc>
        <w:tc>
          <w:tcPr>
            <w:tcW w:w="220" w:type="dxa"/>
            <w:vAlign w:val="bottom"/>
          </w:tcPr>
          <w:p>
            <w:pPr>
              <w:spacing w:after="0"/>
              <w:rPr>
                <w:sz w:val="16"/>
                <w:szCs w:val="16"/>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b w:val="1"/>
                <w:bCs w:val="1"/>
                <w:color w:val="auto"/>
              </w:rPr>
              <w:t>Months</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center"/>
              <w:ind w:right="23"/>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Pr>
          <w:p>
            <w:pPr>
              <w:spacing w:after="0"/>
              <w:rPr>
                <w:sz w:val="16"/>
                <w:szCs w:val="16"/>
                <w:color w:val="auto"/>
              </w:rPr>
            </w:pPr>
          </w:p>
        </w:tc>
        <w:tc>
          <w:tcPr>
            <w:tcW w:w="10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228"/>
        </w:trPr>
        <w:tc>
          <w:tcPr>
            <w:tcW w:w="46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U.S. Treasury securities</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729,539</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153,088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63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882,627</w:t>
            </w:r>
          </w:p>
        </w:tc>
        <w:tc>
          <w:tcPr>
            <w:tcW w:w="12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6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Political subdivisions of States,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640" w:type="dxa"/>
            <w:vAlign w:val="bottom"/>
          </w:tcPr>
          <w:p>
            <w:pPr>
              <w:ind w:left="40"/>
              <w:spacing w:after="0"/>
              <w:rPr>
                <w:sz w:val="20"/>
                <w:szCs w:val="20"/>
                <w:color w:val="auto"/>
              </w:rPr>
            </w:pPr>
            <w:r>
              <w:rPr>
                <w:rFonts w:ascii="Arial" w:cs="Arial" w:eastAsia="Arial" w:hAnsi="Arial"/>
                <w:sz w:val="16"/>
                <w:szCs w:val="16"/>
                <w:color w:val="auto"/>
              </w:rPr>
              <w:t>Territories and Possessions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998,668</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50,357</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1,049,025</w:t>
            </w:r>
          </w:p>
        </w:tc>
        <w:tc>
          <w:tcPr>
            <w:tcW w:w="1240" w:type="dxa"/>
            <w:vAlign w:val="bottom"/>
            <w:gridSpan w:val="3"/>
          </w:tcPr>
          <w:p>
            <w:pPr>
              <w:jc w:val="right"/>
              <w:spacing w:after="0"/>
              <w:rPr>
                <w:sz w:val="20"/>
                <w:szCs w:val="20"/>
                <w:color w:val="auto"/>
              </w:rPr>
            </w:pPr>
            <w:r>
              <w:rPr>
                <w:rFonts w:ascii="Arial" w:cs="Arial" w:eastAsia="Arial" w:hAnsi="Arial"/>
                <w:sz w:val="16"/>
                <w:szCs w:val="16"/>
                <w:color w:val="auto"/>
              </w:rPr>
              <w:t>25.4%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ind w:left="40"/>
              <w:spacing w:after="0"/>
              <w:rPr>
                <w:sz w:val="20"/>
                <w:szCs w:val="20"/>
                <w:color w:val="auto"/>
              </w:rPr>
            </w:pPr>
            <w:r>
              <w:rPr>
                <w:rFonts w:ascii="Arial" w:cs="Arial" w:eastAsia="Arial" w:hAnsi="Arial"/>
                <w:sz w:val="16"/>
                <w:szCs w:val="16"/>
                <w:color w:val="auto"/>
              </w:rPr>
              <w:t>Corporate and other bonds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Industrial and miscellaneous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2,097,298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98,434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2,195,732</w:t>
            </w:r>
          </w:p>
        </w:tc>
        <w:tc>
          <w:tcPr>
            <w:tcW w:w="12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53.2%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6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3,825,505</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301,879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63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4,127,384</w:t>
            </w:r>
          </w:p>
        </w:tc>
        <w:tc>
          <w:tcPr>
            <w:tcW w:w="12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547"/>
        </w:trPr>
        <w:tc>
          <w:tcPr>
            <w:tcW w:w="464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color w:val="auto"/>
                <w:w w:val="89"/>
              </w:rPr>
              <w:t>59</w:t>
            </w:r>
          </w:p>
        </w:tc>
        <w:tc>
          <w:tcPr>
            <w:tcW w:w="12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485" w:right="219" w:bottom="1440"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3"/>
              </w:rPr>
              <w:t>December 31, 2018</w:t>
            </w:r>
          </w:p>
        </w:tc>
        <w:tc>
          <w:tcPr>
            <w:tcW w:w="7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4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center"/>
              <w:ind w:right="23"/>
              <w:spacing w:after="0"/>
              <w:rPr>
                <w:sz w:val="20"/>
                <w:szCs w:val="20"/>
                <w:color w:val="auto"/>
              </w:rPr>
            </w:pPr>
            <w:r>
              <w:rPr>
                <w:rFonts w:ascii="Arial" w:cs="Arial" w:eastAsia="Arial" w:hAnsi="Arial"/>
                <w:sz w:val="14"/>
                <w:szCs w:val="14"/>
                <w:b w:val="1"/>
                <w:bCs w:val="1"/>
                <w:color w:val="auto"/>
                <w:w w:val="89"/>
              </w:rPr>
              <w:t>Cost or</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center"/>
              <w:ind w:right="23"/>
              <w:spacing w:after="0"/>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b w:val="1"/>
                <w:bCs w:val="1"/>
                <w:color w:val="auto"/>
                <w:w w:val="98"/>
              </w:rPr>
              <w:t>Gross Unrealized Losses</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center"/>
              <w:ind w:right="3"/>
              <w:spacing w:after="0"/>
              <w:rPr>
                <w:sz w:val="20"/>
                <w:szCs w:val="20"/>
                <w:color w:val="auto"/>
              </w:rPr>
            </w:pPr>
            <w:r>
              <w:rPr>
                <w:rFonts w:ascii="Arial" w:cs="Arial" w:eastAsia="Arial" w:hAnsi="Arial"/>
                <w:sz w:val="14"/>
                <w:szCs w:val="14"/>
                <w:b w:val="1"/>
                <w:bCs w:val="1"/>
                <w:color w:val="auto"/>
                <w:w w:val="89"/>
              </w:rPr>
              <w:t>Estimated</w:t>
            </w:r>
          </w:p>
        </w:tc>
        <w:tc>
          <w:tcPr>
            <w:tcW w:w="220" w:type="dxa"/>
            <w:vAlign w:val="bottom"/>
          </w:tcPr>
          <w:p>
            <w:pPr>
              <w:spacing w:after="0"/>
              <w:rPr>
                <w:sz w:val="24"/>
                <w:szCs w:val="2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 of</w:t>
            </w:r>
          </w:p>
        </w:tc>
        <w:tc>
          <w:tcPr>
            <w:tcW w:w="0" w:type="dxa"/>
            <w:vAlign w:val="bottom"/>
          </w:tcPr>
          <w:p>
            <w:pPr>
              <w:spacing w:after="0"/>
              <w:rPr>
                <w:sz w:val="1"/>
                <w:szCs w:val="1"/>
                <w:color w:val="auto"/>
              </w:rPr>
            </w:pPr>
          </w:p>
        </w:tc>
      </w:tr>
      <w:tr>
        <w:trPr>
          <w:trHeight w:val="245"/>
        </w:trPr>
        <w:tc>
          <w:tcPr>
            <w:tcW w:w="46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Categor</w:t>
            </w:r>
            <w:r>
              <w:rPr>
                <w:rFonts w:ascii="Arial" w:cs="Arial" w:eastAsia="Arial" w:hAnsi="Arial"/>
                <w:sz w:val="16"/>
                <w:szCs w:val="16"/>
                <w:color w:val="auto"/>
              </w:rPr>
              <w:t>y</w:t>
            </w:r>
          </w:p>
        </w:tc>
        <w:tc>
          <w:tcPr>
            <w:tcW w:w="120" w:type="dxa"/>
            <w:vAlign w:val="bottom"/>
          </w:tcPr>
          <w:p>
            <w:pPr>
              <w:spacing w:after="0"/>
              <w:rPr>
                <w:sz w:val="21"/>
                <w:szCs w:val="21"/>
                <w:color w:val="auto"/>
              </w:rPr>
            </w:pPr>
          </w:p>
        </w:tc>
        <w:tc>
          <w:tcPr>
            <w:tcW w:w="820" w:type="dxa"/>
            <w:vAlign w:val="bottom"/>
          </w:tcPr>
          <w:p>
            <w:pPr>
              <w:jc w:val="center"/>
              <w:ind w:right="23"/>
              <w:spacing w:after="0"/>
              <w:rPr>
                <w:sz w:val="20"/>
                <w:szCs w:val="20"/>
                <w:color w:val="auto"/>
              </w:rPr>
            </w:pPr>
            <w:r>
              <w:rPr>
                <w:rFonts w:ascii="Arial" w:cs="Arial" w:eastAsia="Arial" w:hAnsi="Arial"/>
                <w:sz w:val="14"/>
                <w:szCs w:val="14"/>
                <w:b w:val="1"/>
                <w:bCs w:val="1"/>
                <w:color w:val="auto"/>
                <w:w w:val="93"/>
              </w:rPr>
              <w:t>Amortized</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center"/>
              <w:ind w:right="3"/>
              <w:spacing w:after="0"/>
              <w:rPr>
                <w:sz w:val="20"/>
                <w:szCs w:val="20"/>
                <w:color w:val="auto"/>
              </w:rPr>
            </w:pPr>
            <w:r>
              <w:rPr>
                <w:rFonts w:ascii="Arial" w:cs="Arial" w:eastAsia="Arial" w:hAnsi="Arial"/>
                <w:sz w:val="14"/>
                <w:szCs w:val="14"/>
                <w:b w:val="1"/>
                <w:bCs w:val="1"/>
                <w:color w:val="auto"/>
                <w:w w:val="90"/>
              </w:rPr>
              <w:t>Unrealized</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Less than 12</w:t>
            </w:r>
          </w:p>
        </w:tc>
        <w:tc>
          <w:tcPr>
            <w:tcW w:w="80" w:type="dxa"/>
            <w:vAlign w:val="bottom"/>
          </w:tcPr>
          <w:p>
            <w:pPr>
              <w:spacing w:after="0"/>
              <w:rPr>
                <w:sz w:val="21"/>
                <w:szCs w:val="21"/>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9"/>
              </w:rPr>
              <w:t>More than 12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center"/>
              <w:ind w:right="23"/>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21"/>
                <w:szCs w:val="21"/>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Estimated</w:t>
            </w:r>
          </w:p>
        </w:tc>
        <w:tc>
          <w:tcPr>
            <w:tcW w:w="0" w:type="dxa"/>
            <w:vAlign w:val="bottom"/>
          </w:tcPr>
          <w:p>
            <w:pPr>
              <w:spacing w:after="0"/>
              <w:rPr>
                <w:sz w:val="1"/>
                <w:szCs w:val="1"/>
                <w:color w:val="auto"/>
              </w:rPr>
            </w:pPr>
          </w:p>
        </w:tc>
      </w:tr>
      <w:tr>
        <w:trPr>
          <w:trHeight w:val="217"/>
        </w:trPr>
        <w:tc>
          <w:tcPr>
            <w:tcW w:w="4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center"/>
              <w:ind w:right="3"/>
              <w:spacing w:after="0"/>
              <w:rPr>
                <w:sz w:val="20"/>
                <w:szCs w:val="20"/>
                <w:color w:val="auto"/>
              </w:rPr>
            </w:pPr>
            <w:r>
              <w:rPr>
                <w:rFonts w:ascii="Arial" w:cs="Arial" w:eastAsia="Arial" w:hAnsi="Arial"/>
                <w:sz w:val="14"/>
                <w:szCs w:val="14"/>
                <w:b w:val="1"/>
                <w:bCs w:val="1"/>
                <w:color w:val="auto"/>
                <w:w w:val="85"/>
              </w:rPr>
              <w:t>Cos</w:t>
            </w:r>
            <w:r>
              <w:rPr>
                <w:rFonts w:ascii="Arial" w:cs="Arial" w:eastAsia="Arial" w:hAnsi="Arial"/>
                <w:sz w:val="14"/>
                <w:szCs w:val="14"/>
                <w:color w:val="auto"/>
                <w:w w:val="85"/>
              </w:rPr>
              <w:t>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right="23"/>
              <w:spacing w:after="0"/>
              <w:rPr>
                <w:sz w:val="20"/>
                <w:szCs w:val="20"/>
                <w:color w:val="auto"/>
              </w:rPr>
            </w:pPr>
            <w:r>
              <w:rPr>
                <w:rFonts w:ascii="Arial" w:cs="Arial" w:eastAsia="Arial" w:hAnsi="Arial"/>
                <w:sz w:val="14"/>
                <w:szCs w:val="14"/>
                <w:b w:val="1"/>
                <w:bCs w:val="1"/>
                <w:color w:val="auto"/>
                <w:w w:val="87"/>
              </w:rPr>
              <w:t>Gains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Months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Months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right="23"/>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Pr>
          <w:p>
            <w:pPr>
              <w:spacing w:after="0"/>
              <w:rPr>
                <w:sz w:val="18"/>
                <w:szCs w:val="18"/>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228"/>
        </w:trPr>
        <w:tc>
          <w:tcPr>
            <w:tcW w:w="46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68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 Treasury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729,507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147,532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(3,964)</w:t>
            </w:r>
          </w:p>
        </w:tc>
        <w:tc>
          <w:tcPr>
            <w:tcW w:w="240" w:type="dxa"/>
            <w:vAlign w:val="bottom"/>
            <w:gridSpan w:val="2"/>
            <w:shd w:val="clear" w:color="auto" w:fill="CCEEFF"/>
          </w:tcPr>
          <w:p>
            <w:pPr>
              <w:jc w:val="right"/>
              <w:ind w:right="1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873,075</w:t>
            </w:r>
          </w:p>
        </w:tc>
        <w:tc>
          <w:tcPr>
            <w:tcW w:w="12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68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Political subdivisions of States,</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tcBorders>
              <w:right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680" w:type="dxa"/>
            <w:vAlign w:val="bottom"/>
          </w:tcPr>
          <w:p>
            <w:pPr>
              <w:ind w:left="40"/>
              <w:spacing w:after="0"/>
              <w:rPr>
                <w:sz w:val="20"/>
                <w:szCs w:val="20"/>
                <w:color w:val="auto"/>
              </w:rPr>
            </w:pPr>
            <w:r>
              <w:rPr>
                <w:rFonts w:ascii="Arial" w:cs="Arial" w:eastAsia="Arial" w:hAnsi="Arial"/>
                <w:sz w:val="16"/>
                <w:szCs w:val="16"/>
                <w:color w:val="auto"/>
              </w:rPr>
              <w:t>Territories and Possessions</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998,803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33,862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1,032,665</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23.3%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ind w:left="40"/>
              <w:spacing w:after="0"/>
              <w:rPr>
                <w:sz w:val="20"/>
                <w:szCs w:val="20"/>
                <w:color w:val="auto"/>
              </w:rPr>
            </w:pPr>
            <w:r>
              <w:rPr>
                <w:rFonts w:ascii="Arial" w:cs="Arial" w:eastAsia="Arial" w:hAnsi="Arial"/>
                <w:sz w:val="16"/>
                <w:szCs w:val="16"/>
                <w:color w:val="auto"/>
              </w:rPr>
              <w:t>Corporate and other bonds</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68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Industrial and miscellaneous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2,494,545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38,461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(1,425)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(10,905)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2,520,676</w:t>
            </w:r>
          </w:p>
        </w:tc>
        <w:tc>
          <w:tcPr>
            <w:tcW w:w="12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6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4,222,855</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219,855</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(5,389)</w:t>
            </w:r>
          </w:p>
        </w:tc>
        <w:tc>
          <w:tcPr>
            <w:tcW w:w="240" w:type="dxa"/>
            <w:vAlign w:val="bottom"/>
            <w:gridSpan w:val="2"/>
            <w:shd w:val="clear" w:color="auto" w:fill="CCEEFF"/>
          </w:tcPr>
          <w:p>
            <w:pPr>
              <w:jc w:val="right"/>
              <w:ind w:right="1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(10,905)</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4,426,416</w:t>
            </w:r>
          </w:p>
        </w:tc>
        <w:tc>
          <w:tcPr>
            <w:tcW w:w="12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Held-to-maturity U.S. Treasury securities are held in trust pursuant to various states’ minimum fund requirements.</w:t>
      </w:r>
    </w:p>
    <w:p>
      <w:pPr>
        <w:spacing w:after="0" w:line="221"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A summary of the amortized cost and fair value of our investments in held-to-maturity securities by contractual maturity as of September 30, 2019 and December 31, 2018 is shown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5"/>
          </w:tcPr>
          <w:p>
            <w:pPr>
              <w:jc w:val="right"/>
              <w:ind w:right="641"/>
              <w:spacing w:after="0"/>
              <w:rPr>
                <w:sz w:val="20"/>
                <w:szCs w:val="20"/>
                <w:color w:val="auto"/>
              </w:rPr>
            </w:pPr>
            <w:r>
              <w:rPr>
                <w:rFonts w:ascii="Arial" w:cs="Arial" w:eastAsia="Arial" w:hAnsi="Arial"/>
                <w:sz w:val="14"/>
                <w:szCs w:val="14"/>
                <w:b w:val="1"/>
                <w:bCs w:val="1"/>
                <w:color w:val="auto"/>
              </w:rPr>
              <w:t>September 30, 2019</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jc w:val="right"/>
              <w:ind w:right="621"/>
              <w:spacing w:after="0"/>
              <w:rPr>
                <w:sz w:val="20"/>
                <w:szCs w:val="20"/>
                <w:color w:val="auto"/>
              </w:rPr>
            </w:pPr>
            <w:r>
              <w:rPr>
                <w:rFonts w:ascii="Arial" w:cs="Arial" w:eastAsia="Arial" w:hAnsi="Arial"/>
                <w:sz w:val="14"/>
                <w:szCs w:val="14"/>
                <w:b w:val="1"/>
                <w:bCs w:val="1"/>
                <w:color w:val="auto"/>
              </w:rPr>
              <w:t>December 31, 2018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0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Remaining Time to Maturit</w:t>
            </w:r>
            <w:r>
              <w:rPr>
                <w:rFonts w:ascii="Arial" w:cs="Arial" w:eastAsia="Arial" w:hAnsi="Arial"/>
                <w:sz w:val="16"/>
                <w:szCs w:val="16"/>
                <w:color w:val="auto"/>
              </w:rPr>
              <w:t>y</w:t>
            </w:r>
          </w:p>
        </w:tc>
        <w:tc>
          <w:tcPr>
            <w:tcW w:w="2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Amortized</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Estimated</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Amortized</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83"/>
        </w:trPr>
        <w:tc>
          <w:tcPr>
            <w:tcW w:w="4080" w:type="dxa"/>
            <w:vAlign w:val="bottom"/>
            <w:vMerge w:val="continue"/>
          </w:tcPr>
          <w:p>
            <w:pPr>
              <w:spacing w:after="0"/>
              <w:rPr>
                <w:sz w:val="15"/>
                <w:szCs w:val="15"/>
                <w:color w:val="auto"/>
              </w:rPr>
            </w:pPr>
          </w:p>
        </w:tc>
        <w:tc>
          <w:tcPr>
            <w:tcW w:w="2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59"/>
        </w:trPr>
        <w:tc>
          <w:tcPr>
            <w:tcW w:w="4080" w:type="dxa"/>
            <w:vAlign w:val="bottom"/>
            <w:tcBorders>
              <w:bottom w:val="single" w:sz="8" w:color="auto"/>
            </w:tcBorders>
          </w:tcPr>
          <w:p>
            <w:pPr>
              <w:spacing w:after="0"/>
              <w:rPr>
                <w:sz w:val="5"/>
                <w:szCs w:val="5"/>
                <w:color w:val="auto"/>
              </w:rPr>
            </w:pPr>
          </w:p>
        </w:tc>
        <w:tc>
          <w:tcPr>
            <w:tcW w:w="20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gridSpan w:val="2"/>
            <w:vMerge w:val="continue"/>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gridSpan w:val="2"/>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gridSpan w:val="2"/>
            <w:vMerge w:val="continue"/>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40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than one year</w:t>
            </w:r>
          </w:p>
        </w:tc>
        <w:tc>
          <w:tcPr>
            <w:tcW w:w="2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623,000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629,143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080" w:type="dxa"/>
            <w:vAlign w:val="bottom"/>
          </w:tcPr>
          <w:p>
            <w:pPr>
              <w:ind w:left="40"/>
              <w:spacing w:after="0"/>
              <w:rPr>
                <w:sz w:val="20"/>
                <w:szCs w:val="20"/>
                <w:color w:val="auto"/>
              </w:rPr>
            </w:pPr>
            <w:r>
              <w:rPr>
                <w:rFonts w:ascii="Arial" w:cs="Arial" w:eastAsia="Arial" w:hAnsi="Arial"/>
                <w:sz w:val="16"/>
                <w:szCs w:val="16"/>
                <w:color w:val="auto"/>
              </w:rPr>
              <w:t>One to five years</w:t>
            </w:r>
          </w:p>
        </w:tc>
        <w:tc>
          <w:tcPr>
            <w:tcW w:w="2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2,098,950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2,214,947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2,996,685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3,036,531</w:t>
            </w:r>
          </w:p>
        </w:tc>
        <w:tc>
          <w:tcPr>
            <w:tcW w:w="0" w:type="dxa"/>
            <w:vAlign w:val="bottom"/>
          </w:tcPr>
          <w:p>
            <w:pPr>
              <w:spacing w:after="0"/>
              <w:rPr>
                <w:sz w:val="1"/>
                <w:szCs w:val="1"/>
                <w:color w:val="auto"/>
              </w:rPr>
            </w:pPr>
          </w:p>
        </w:tc>
      </w:tr>
      <w:tr>
        <w:trPr>
          <w:trHeight w:val="203"/>
        </w:trPr>
        <w:tc>
          <w:tcPr>
            <w:tcW w:w="4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Five to ten years</w:t>
            </w:r>
          </w:p>
        </w:tc>
        <w:tc>
          <w:tcPr>
            <w:tcW w:w="2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497,016</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529,255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619,663</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635,846</w:t>
            </w:r>
          </w:p>
        </w:tc>
        <w:tc>
          <w:tcPr>
            <w:tcW w:w="0" w:type="dxa"/>
            <w:vAlign w:val="bottom"/>
          </w:tcPr>
          <w:p>
            <w:pPr>
              <w:spacing w:after="0"/>
              <w:rPr>
                <w:sz w:val="1"/>
                <w:szCs w:val="1"/>
                <w:color w:val="auto"/>
              </w:rPr>
            </w:pPr>
          </w:p>
        </w:tc>
      </w:tr>
      <w:tr>
        <w:trPr>
          <w:trHeight w:val="203"/>
        </w:trPr>
        <w:tc>
          <w:tcPr>
            <w:tcW w:w="4080" w:type="dxa"/>
            <w:vAlign w:val="bottom"/>
          </w:tcPr>
          <w:p>
            <w:pPr>
              <w:ind w:left="40"/>
              <w:spacing w:after="0"/>
              <w:rPr>
                <w:sz w:val="20"/>
                <w:szCs w:val="20"/>
                <w:color w:val="auto"/>
              </w:rPr>
            </w:pPr>
            <w:r>
              <w:rPr>
                <w:rFonts w:ascii="Arial" w:cs="Arial" w:eastAsia="Arial" w:hAnsi="Arial"/>
                <w:sz w:val="16"/>
                <w:szCs w:val="16"/>
                <w:color w:val="auto"/>
              </w:rPr>
              <w:t>More than 10 years</w:t>
            </w:r>
          </w:p>
        </w:tc>
        <w:tc>
          <w:tcPr>
            <w:tcW w:w="2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606,539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754,039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606,507</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754,039</w:t>
            </w:r>
          </w:p>
        </w:tc>
        <w:tc>
          <w:tcPr>
            <w:tcW w:w="0" w:type="dxa"/>
            <w:vAlign w:val="bottom"/>
          </w:tcPr>
          <w:p>
            <w:pPr>
              <w:spacing w:after="0"/>
              <w:rPr>
                <w:sz w:val="1"/>
                <w:szCs w:val="1"/>
                <w:color w:val="auto"/>
              </w:rPr>
            </w:pPr>
          </w:p>
        </w:tc>
      </w:tr>
      <w:tr>
        <w:trPr>
          <w:trHeight w:val="25"/>
        </w:trPr>
        <w:tc>
          <w:tcPr>
            <w:tcW w:w="40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3,825,505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4,127,384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4,222,855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4,426,416</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ind w:left="600"/>
        <w:spacing w:after="0"/>
        <w:rPr>
          <w:sz w:val="20"/>
          <w:szCs w:val="20"/>
          <w:color w:val="auto"/>
        </w:rPr>
      </w:pPr>
      <w:r>
        <w:rPr>
          <w:rFonts w:ascii="Arial" w:cs="Arial" w:eastAsia="Arial" w:hAnsi="Arial"/>
          <w:sz w:val="16"/>
          <w:szCs w:val="16"/>
          <w:b w:val="1"/>
          <w:bCs w:val="1"/>
          <w:i w:val="1"/>
          <w:iCs w:val="1"/>
          <w:color w:val="auto"/>
        </w:rPr>
        <w:t>Credit Rating of Fixed-Maturity Securities</w:t>
      </w:r>
    </w:p>
    <w:p>
      <w:pPr>
        <w:spacing w:after="0" w:line="158"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table below summarizes the credit quality of our available-for-sale fixed-maturity securities as of September 30, 2019 and December 31, 2018 as rated by</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Standard &amp; Poor’s (or, if unavailable from Standard &amp; Poor’s, then Moody’s or Fitch):</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September 30, 2019</w:t>
            </w: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December 31, 2018</w:t>
            </w:r>
          </w:p>
        </w:tc>
        <w:tc>
          <w:tcPr>
            <w:tcW w:w="1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4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Estimated</w:t>
            </w: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Percentage of</w:t>
            </w:r>
          </w:p>
        </w:tc>
        <w:tc>
          <w:tcPr>
            <w:tcW w:w="140" w:type="dxa"/>
            <w:vAlign w:val="bottom"/>
          </w:tcPr>
          <w:p>
            <w:pPr>
              <w:spacing w:after="0"/>
              <w:rPr>
                <w:sz w:val="21"/>
                <w:szCs w:val="21"/>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Estimated</w:t>
            </w: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6"/>
              </w:rPr>
              <w:t>Percentage of</w:t>
            </w:r>
          </w:p>
        </w:tc>
        <w:tc>
          <w:tcPr>
            <w:tcW w:w="0" w:type="dxa"/>
            <w:vAlign w:val="bottom"/>
          </w:tcPr>
          <w:p>
            <w:pPr>
              <w:spacing w:after="0"/>
              <w:rPr>
                <w:sz w:val="1"/>
                <w:szCs w:val="1"/>
                <w:color w:val="auto"/>
              </w:rPr>
            </w:pPr>
          </w:p>
        </w:tc>
      </w:tr>
      <w:tr>
        <w:trPr>
          <w:trHeight w:val="228"/>
        </w:trPr>
        <w:tc>
          <w:tcPr>
            <w:tcW w:w="44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9"/>
              </w:rPr>
              <w:t>Fair Market</w:t>
            </w: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Fair Market</w:t>
            </w:r>
          </w:p>
        </w:tc>
        <w:tc>
          <w:tcPr>
            <w:tcW w:w="140" w:type="dxa"/>
            <w:vAlign w:val="bottom"/>
          </w:tcPr>
          <w:p>
            <w:pPr>
              <w:spacing w:after="0"/>
              <w:rPr>
                <w:sz w:val="19"/>
                <w:szCs w:val="19"/>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Fair Market</w:t>
            </w: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6"/>
              </w:rPr>
              <w:t>Fair Market</w:t>
            </w:r>
          </w:p>
        </w:tc>
        <w:tc>
          <w:tcPr>
            <w:tcW w:w="0" w:type="dxa"/>
            <w:vAlign w:val="bottom"/>
          </w:tcPr>
          <w:p>
            <w:pPr>
              <w:spacing w:after="0"/>
              <w:rPr>
                <w:sz w:val="1"/>
                <w:szCs w:val="1"/>
                <w:color w:val="auto"/>
              </w:rPr>
            </w:pPr>
          </w:p>
        </w:tc>
      </w:tr>
      <w:tr>
        <w:trPr>
          <w:trHeight w:val="217"/>
        </w:trPr>
        <w:tc>
          <w:tcPr>
            <w:tcW w:w="4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Value</w:t>
            </w: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453"/>
        </w:trPr>
        <w:tc>
          <w:tcPr>
            <w:tcW w:w="44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Rating</w:t>
            </w:r>
          </w:p>
        </w:tc>
        <w:tc>
          <w:tcPr>
            <w:tcW w:w="16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U.S. Treasury securities</w:t>
            </w:r>
          </w:p>
        </w:tc>
        <w:tc>
          <w:tcPr>
            <w:tcW w:w="1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8,399,552</w:t>
            </w:r>
          </w:p>
        </w:tc>
        <w:tc>
          <w:tcPr>
            <w:tcW w:w="13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8,220,381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40" w:type="dxa"/>
            <w:vAlign w:val="bottom"/>
            <w:tcBorders>
              <w:top w:val="single" w:sz="8" w:color="CCEEFF"/>
            </w:tcBorders>
          </w:tcPr>
          <w:p>
            <w:pPr>
              <w:spacing w:after="0"/>
              <w:rPr>
                <w:sz w:val="17"/>
                <w:szCs w:val="17"/>
                <w:color w:val="auto"/>
              </w:rPr>
            </w:pPr>
          </w:p>
        </w:tc>
        <w:tc>
          <w:tcPr>
            <w:tcW w:w="16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and municipal bonds</w:t>
            </w:r>
          </w:p>
        </w:tc>
        <w:tc>
          <w:tcPr>
            <w:tcW w:w="1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tcPr>
          <w:p>
            <w:pPr>
              <w:ind w:left="180"/>
              <w:spacing w:after="0"/>
              <w:rPr>
                <w:sz w:val="20"/>
                <w:szCs w:val="20"/>
                <w:color w:val="auto"/>
              </w:rPr>
            </w:pPr>
            <w:r>
              <w:rPr>
                <w:rFonts w:ascii="Arial" w:cs="Arial" w:eastAsia="Arial" w:hAnsi="Arial"/>
                <w:sz w:val="16"/>
                <w:szCs w:val="16"/>
                <w:color w:val="auto"/>
              </w:rPr>
              <w:t>AAA</w:t>
            </w: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6"/>
                <w:szCs w:val="16"/>
                <w:color w:val="auto"/>
              </w:rPr>
              <w:t>979,300</w:t>
            </w: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0.6%</w:t>
            </w:r>
          </w:p>
        </w:tc>
        <w:tc>
          <w:tcPr>
            <w:tcW w:w="140" w:type="dxa"/>
            <w:vAlign w:val="bottom"/>
          </w:tcPr>
          <w:p>
            <w:pPr>
              <w:spacing w:after="0"/>
              <w:rPr>
                <w:sz w:val="17"/>
                <w:szCs w:val="17"/>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6"/>
                <w:szCs w:val="16"/>
                <w:color w:val="auto"/>
              </w:rPr>
              <w:t>979,123</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AA</w:t>
            </w:r>
          </w:p>
        </w:tc>
        <w:tc>
          <w:tcPr>
            <w:tcW w:w="1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7,414,656</w:t>
            </w:r>
          </w:p>
        </w:tc>
        <w:tc>
          <w:tcPr>
            <w:tcW w:w="13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4.5%</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8,350,910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tcPr>
          <w:p>
            <w:pPr>
              <w:ind w:left="180"/>
              <w:spacing w:after="0"/>
              <w:rPr>
                <w:sz w:val="20"/>
                <w:szCs w:val="20"/>
                <w:color w:val="auto"/>
              </w:rPr>
            </w:pPr>
            <w:r>
              <w:rPr>
                <w:rFonts w:ascii="Arial" w:cs="Arial" w:eastAsia="Arial" w:hAnsi="Arial"/>
                <w:sz w:val="16"/>
                <w:szCs w:val="16"/>
                <w:color w:val="auto"/>
              </w:rPr>
              <w:t>A</w:t>
            </w: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6"/>
                <w:szCs w:val="16"/>
                <w:color w:val="auto"/>
              </w:rPr>
              <w:t>35,473,122</w:t>
            </w: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21.3%</w:t>
            </w:r>
          </w:p>
        </w:tc>
        <w:tc>
          <w:tcPr>
            <w:tcW w:w="140" w:type="dxa"/>
            <w:vAlign w:val="bottom"/>
          </w:tcPr>
          <w:p>
            <w:pPr>
              <w:spacing w:after="0"/>
              <w:rPr>
                <w:sz w:val="17"/>
                <w:szCs w:val="17"/>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6"/>
                <w:szCs w:val="16"/>
                <w:color w:val="auto"/>
              </w:rPr>
              <w:t>27,665,961</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BBB</w:t>
            </w:r>
          </w:p>
        </w:tc>
        <w:tc>
          <w:tcPr>
            <w:tcW w:w="1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92,251,719</w:t>
            </w:r>
          </w:p>
        </w:tc>
        <w:tc>
          <w:tcPr>
            <w:tcW w:w="13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55.5%</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85,095,907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444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4440" w:type="dxa"/>
            <w:vAlign w:val="bottom"/>
          </w:tcPr>
          <w:p>
            <w:pPr>
              <w:ind w:left="340"/>
              <w:spacing w:after="0"/>
              <w:rPr>
                <w:sz w:val="20"/>
                <w:szCs w:val="20"/>
                <w:color w:val="auto"/>
              </w:rPr>
            </w:pPr>
            <w:r>
              <w:rPr>
                <w:rFonts w:ascii="Arial" w:cs="Arial" w:eastAsia="Arial" w:hAnsi="Arial"/>
                <w:sz w:val="16"/>
                <w:szCs w:val="16"/>
                <w:color w:val="auto"/>
              </w:rPr>
              <w:t>Total corporate and municipal bonds</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6"/>
                <w:szCs w:val="16"/>
                <w:color w:val="auto"/>
              </w:rPr>
              <w:t>136,118,797</w:t>
            </w: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81.9%</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6"/>
                <w:szCs w:val="16"/>
                <w:color w:val="auto"/>
              </w:rPr>
              <w:t>122,091,901</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80.4%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tcPr>
          <w:p>
            <w:pPr>
              <w:ind w:left="40"/>
              <w:spacing w:after="0"/>
              <w:rPr>
                <w:sz w:val="20"/>
                <w:szCs w:val="20"/>
                <w:color w:val="auto"/>
              </w:rPr>
            </w:pPr>
            <w:r>
              <w:rPr>
                <w:rFonts w:ascii="Arial" w:cs="Arial" w:eastAsia="Arial" w:hAnsi="Arial"/>
                <w:sz w:val="16"/>
                <w:szCs w:val="16"/>
                <w:color w:val="auto"/>
              </w:rPr>
              <w:t>Residential mortgage backed securities</w:t>
            </w: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AAA</w:t>
            </w:r>
          </w:p>
        </w:tc>
        <w:tc>
          <w:tcPr>
            <w:tcW w:w="1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1,000,077</w:t>
            </w:r>
          </w:p>
        </w:tc>
        <w:tc>
          <w:tcPr>
            <w:tcW w:w="13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0.6%</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999,640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tcPr>
          <w:p>
            <w:pPr>
              <w:ind w:left="180"/>
              <w:spacing w:after="0"/>
              <w:rPr>
                <w:sz w:val="20"/>
                <w:szCs w:val="20"/>
                <w:color w:val="auto"/>
              </w:rPr>
            </w:pPr>
            <w:r>
              <w:rPr>
                <w:rFonts w:ascii="Arial" w:cs="Arial" w:eastAsia="Arial" w:hAnsi="Arial"/>
                <w:sz w:val="16"/>
                <w:szCs w:val="16"/>
                <w:color w:val="auto"/>
              </w:rPr>
              <w:t>AA</w:t>
            </w: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6"/>
                <w:szCs w:val="16"/>
                <w:color w:val="auto"/>
              </w:rPr>
              <w:t>16,706,728</w:t>
            </w: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10.1%</w:t>
            </w:r>
          </w:p>
        </w:tc>
        <w:tc>
          <w:tcPr>
            <w:tcW w:w="140" w:type="dxa"/>
            <w:vAlign w:val="bottom"/>
          </w:tcPr>
          <w:p>
            <w:pPr>
              <w:spacing w:after="0"/>
              <w:rPr>
                <w:sz w:val="17"/>
                <w:szCs w:val="17"/>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6"/>
                <w:szCs w:val="16"/>
                <w:color w:val="auto"/>
              </w:rPr>
              <w:t>12,743,906</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w:t>
            </w:r>
          </w:p>
        </w:tc>
        <w:tc>
          <w:tcPr>
            <w:tcW w:w="1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1,530,921</w:t>
            </w:r>
          </w:p>
        </w:tc>
        <w:tc>
          <w:tcPr>
            <w:tcW w:w="13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0.9%</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4,777,356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tcPr>
          <w:p>
            <w:pPr>
              <w:ind w:left="200"/>
              <w:spacing w:after="0"/>
              <w:rPr>
                <w:sz w:val="20"/>
                <w:szCs w:val="20"/>
                <w:color w:val="auto"/>
              </w:rPr>
            </w:pPr>
            <w:r>
              <w:rPr>
                <w:rFonts w:ascii="Arial" w:cs="Arial" w:eastAsia="Arial" w:hAnsi="Arial"/>
                <w:sz w:val="16"/>
                <w:szCs w:val="16"/>
                <w:color w:val="auto"/>
              </w:rPr>
              <w:t>CCC</w:t>
            </w: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6"/>
                <w:szCs w:val="16"/>
                <w:color w:val="auto"/>
              </w:rPr>
              <w:t>1,224,118</w:t>
            </w: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0.7%</w:t>
            </w:r>
          </w:p>
        </w:tc>
        <w:tc>
          <w:tcPr>
            <w:tcW w:w="140" w:type="dxa"/>
            <w:vAlign w:val="bottom"/>
          </w:tcPr>
          <w:p>
            <w:pPr>
              <w:spacing w:after="0"/>
              <w:rPr>
                <w:sz w:val="17"/>
                <w:szCs w:val="17"/>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6"/>
                <w:szCs w:val="16"/>
                <w:color w:val="auto"/>
              </w:rPr>
              <w:t>1,440,825</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CC</w:t>
            </w:r>
          </w:p>
        </w:tc>
        <w:tc>
          <w:tcPr>
            <w:tcW w:w="1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89,808</w:t>
            </w:r>
          </w:p>
        </w:tc>
        <w:tc>
          <w:tcPr>
            <w:tcW w:w="13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0.1%</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109,648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tcPr>
          <w:p>
            <w:pPr>
              <w:ind w:left="200"/>
              <w:spacing w:after="0"/>
              <w:rPr>
                <w:sz w:val="20"/>
                <w:szCs w:val="20"/>
                <w:color w:val="auto"/>
              </w:rPr>
            </w:pPr>
            <w:r>
              <w:rPr>
                <w:rFonts w:ascii="Arial" w:cs="Arial" w:eastAsia="Arial" w:hAnsi="Arial"/>
                <w:sz w:val="16"/>
                <w:szCs w:val="16"/>
                <w:color w:val="auto"/>
              </w:rPr>
              <w:t>C</w:t>
            </w: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6"/>
                <w:szCs w:val="16"/>
                <w:color w:val="auto"/>
              </w:rPr>
              <w:t>20,029</w:t>
            </w: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0.0%</w:t>
            </w:r>
          </w:p>
        </w:tc>
        <w:tc>
          <w:tcPr>
            <w:tcW w:w="140" w:type="dxa"/>
            <w:vAlign w:val="bottom"/>
          </w:tcPr>
          <w:p>
            <w:pPr>
              <w:spacing w:after="0"/>
              <w:rPr>
                <w:sz w:val="17"/>
                <w:szCs w:val="17"/>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6"/>
                <w:szCs w:val="16"/>
                <w:color w:val="auto"/>
              </w:rPr>
              <w:t>24,050</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w:t>
            </w:r>
          </w:p>
        </w:tc>
        <w:tc>
          <w:tcPr>
            <w:tcW w:w="1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221,766</w:t>
            </w:r>
          </w:p>
        </w:tc>
        <w:tc>
          <w:tcPr>
            <w:tcW w:w="13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0.1%</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390,542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tcPr>
          <w:p>
            <w:pPr>
              <w:ind w:left="200"/>
              <w:spacing w:after="0"/>
              <w:rPr>
                <w:sz w:val="20"/>
                <w:szCs w:val="20"/>
                <w:color w:val="auto"/>
              </w:rPr>
            </w:pPr>
            <w:r>
              <w:rPr>
                <w:rFonts w:ascii="Arial" w:cs="Arial" w:eastAsia="Arial" w:hAnsi="Arial"/>
                <w:sz w:val="16"/>
                <w:szCs w:val="16"/>
                <w:color w:val="auto"/>
              </w:rPr>
              <w:t>Non rated</w:t>
            </w: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6"/>
                <w:szCs w:val="16"/>
                <w:color w:val="auto"/>
              </w:rPr>
              <w:t>908,915</w:t>
            </w: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0.5%</w:t>
            </w:r>
          </w:p>
        </w:tc>
        <w:tc>
          <w:tcPr>
            <w:tcW w:w="140" w:type="dxa"/>
            <w:vAlign w:val="bottom"/>
          </w:tcPr>
          <w:p>
            <w:pPr>
              <w:spacing w:after="0"/>
              <w:rPr>
                <w:sz w:val="17"/>
                <w:szCs w:val="17"/>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6"/>
                <w:szCs w:val="16"/>
                <w:color w:val="auto"/>
              </w:rPr>
              <w:t>979,267</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44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4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residential mortgage backed securities</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21,702,362</w:t>
            </w:r>
          </w:p>
        </w:tc>
        <w:tc>
          <w:tcPr>
            <w:tcW w:w="13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13.0%</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21,465,234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40" w:type="dxa"/>
            <w:vAlign w:val="bottom"/>
            <w:tcBorders>
              <w:top w:val="single" w:sz="8" w:color="CCEEFF"/>
            </w:tcBorders>
          </w:tcPr>
          <w:p>
            <w:pPr>
              <w:spacing w:after="0"/>
              <w:rPr>
                <w:sz w:val="17"/>
                <w:szCs w:val="17"/>
                <w:color w:val="auto"/>
              </w:rPr>
            </w:pPr>
          </w:p>
        </w:tc>
        <w:tc>
          <w:tcPr>
            <w:tcW w:w="16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4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1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166,220,711</w:t>
            </w:r>
          </w:p>
        </w:tc>
        <w:tc>
          <w:tcPr>
            <w:tcW w:w="13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151,777,516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547"/>
        </w:trPr>
        <w:tc>
          <w:tcPr>
            <w:tcW w:w="4440" w:type="dxa"/>
            <w:vAlign w:val="bottom"/>
            <w:tcBorders>
              <w:top w:val="single" w:sz="8" w:color="CCEEFF"/>
              <w:bottom w:val="single" w:sz="8" w:color="auto"/>
            </w:tcBorders>
          </w:tcPr>
          <w:p>
            <w:pPr>
              <w:spacing w:after="0"/>
              <w:rPr>
                <w:sz w:val="24"/>
                <w:szCs w:val="24"/>
                <w:color w:val="auto"/>
              </w:rPr>
            </w:pPr>
          </w:p>
        </w:tc>
        <w:tc>
          <w:tcPr>
            <w:tcW w:w="1660" w:type="dxa"/>
            <w:vAlign w:val="bottom"/>
            <w:tcBorders>
              <w:top w:val="single" w:sz="8" w:color="CCEEFF"/>
              <w:bottom w:val="single" w:sz="8" w:color="auto"/>
            </w:tcBorders>
          </w:tcPr>
          <w:p>
            <w:pPr>
              <w:jc w:val="right"/>
              <w:ind w:right="218"/>
              <w:spacing w:after="0"/>
              <w:rPr>
                <w:sz w:val="20"/>
                <w:szCs w:val="20"/>
                <w:color w:val="auto"/>
              </w:rPr>
            </w:pPr>
            <w:r>
              <w:rPr>
                <w:rFonts w:ascii="Arial" w:cs="Arial" w:eastAsia="Arial" w:hAnsi="Arial"/>
                <w:sz w:val="16"/>
                <w:szCs w:val="16"/>
                <w:color w:val="auto"/>
              </w:rPr>
              <w:t>60</w:t>
            </w:r>
          </w:p>
        </w:tc>
        <w:tc>
          <w:tcPr>
            <w:tcW w:w="14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557" w:right="219" w:bottom="1440" w:gutter="0" w:footer="0" w:header="0"/>
        </w:sectPr>
      </w:pPr>
    </w:p>
    <w:bookmarkStart w:id="62" w:name="page63"/>
    <w:bookmarkEnd w:id="62"/>
    <w:p>
      <w:pPr>
        <w:ind w:left="600"/>
        <w:spacing w:after="0"/>
        <w:rPr>
          <w:sz w:val="20"/>
          <w:szCs w:val="20"/>
          <w:color w:val="auto"/>
        </w:rPr>
      </w:pPr>
      <w:r>
        <w:rPr>
          <w:rFonts w:ascii="Arial" w:cs="Arial" w:eastAsia="Arial" w:hAnsi="Arial"/>
          <w:sz w:val="16"/>
          <w:szCs w:val="16"/>
          <w:color w:val="auto"/>
        </w:rPr>
        <w:t>The table below summarizes the average yield by type of fixed-maturity security as of September 30, 2019 and December 31, 2018:</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20" w:type="dxa"/>
            <w:vAlign w:val="bottom"/>
            <w:vMerge w:val="restart"/>
          </w:tcPr>
          <w:p>
            <w:pPr>
              <w:spacing w:after="0"/>
              <w:rPr>
                <w:sz w:val="20"/>
                <w:szCs w:val="20"/>
                <w:color w:val="auto"/>
              </w:rPr>
            </w:pPr>
            <w:r>
              <w:rPr>
                <w:rFonts w:ascii="Arial" w:cs="Arial" w:eastAsia="Arial" w:hAnsi="Arial"/>
                <w:sz w:val="16"/>
                <w:szCs w:val="16"/>
                <w:b w:val="1"/>
                <w:bCs w:val="1"/>
                <w:color w:val="auto"/>
              </w:rPr>
              <w:t>Categor</w:t>
            </w:r>
            <w:r>
              <w:rPr>
                <w:rFonts w:ascii="Arial" w:cs="Arial" w:eastAsia="Arial" w:hAnsi="Arial"/>
                <w:sz w:val="16"/>
                <w:szCs w:val="16"/>
                <w:color w:val="auto"/>
              </w:rPr>
              <w:t>y</w:t>
            </w: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September 30,</w:t>
            </w:r>
          </w:p>
        </w:tc>
        <w:tc>
          <w:tcPr>
            <w:tcW w:w="12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1"/>
        </w:trPr>
        <w:tc>
          <w:tcPr>
            <w:tcW w:w="8820" w:type="dxa"/>
            <w:vAlign w:val="bottom"/>
            <w:tcBorders>
              <w:bottom w:val="single" w:sz="8" w:color="auto"/>
            </w:tcBorders>
            <w:vMerge w:val="continue"/>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8820" w:type="dxa"/>
            <w:vAlign w:val="bottom"/>
          </w:tcPr>
          <w:p>
            <w:pPr>
              <w:ind w:left="40"/>
              <w:spacing w:after="0"/>
              <w:rPr>
                <w:sz w:val="20"/>
                <w:szCs w:val="20"/>
                <w:color w:val="auto"/>
              </w:rPr>
            </w:pPr>
            <w:r>
              <w:rPr>
                <w:rFonts w:ascii="Arial" w:cs="Arial" w:eastAsia="Arial" w:hAnsi="Arial"/>
                <w:sz w:val="16"/>
                <w:szCs w:val="16"/>
                <w:color w:val="auto"/>
              </w:rPr>
              <w:t>U.S. Treasury securities and</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820" w:type="dxa"/>
            <w:vAlign w:val="bottom"/>
          </w:tcPr>
          <w:p>
            <w:pPr>
              <w:ind w:left="40"/>
              <w:spacing w:after="0"/>
              <w:rPr>
                <w:sz w:val="20"/>
                <w:szCs w:val="20"/>
                <w:color w:val="auto"/>
              </w:rPr>
            </w:pPr>
            <w:r>
              <w:rPr>
                <w:rFonts w:ascii="Arial" w:cs="Arial" w:eastAsia="Arial" w:hAnsi="Arial"/>
                <w:sz w:val="16"/>
                <w:szCs w:val="16"/>
                <w:color w:val="auto"/>
              </w:rPr>
              <w:t>obligations of U.S. government</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8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corporations and agencies</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2.13%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Political subdivisions of States,</w:t>
            </w: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20" w:type="dxa"/>
            <w:vAlign w:val="bottom"/>
          </w:tcPr>
          <w:p>
            <w:pPr>
              <w:ind w:left="40"/>
              <w:spacing w:after="0"/>
              <w:rPr>
                <w:sz w:val="20"/>
                <w:szCs w:val="20"/>
                <w:color w:val="auto"/>
              </w:rPr>
            </w:pPr>
            <w:r>
              <w:rPr>
                <w:rFonts w:ascii="Arial" w:cs="Arial" w:eastAsia="Arial" w:hAnsi="Arial"/>
                <w:sz w:val="16"/>
                <w:szCs w:val="16"/>
                <w:color w:val="auto"/>
              </w:rPr>
              <w:t>Territories and Possessions</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3.48%</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3.62%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20" w:type="dxa"/>
            <w:vAlign w:val="bottom"/>
          </w:tcPr>
          <w:p>
            <w:pPr>
              <w:ind w:left="40"/>
              <w:spacing w:after="0"/>
              <w:rPr>
                <w:sz w:val="20"/>
                <w:szCs w:val="20"/>
                <w:color w:val="auto"/>
              </w:rPr>
            </w:pPr>
            <w:r>
              <w:rPr>
                <w:rFonts w:ascii="Arial" w:cs="Arial" w:eastAsia="Arial" w:hAnsi="Arial"/>
                <w:sz w:val="16"/>
                <w:szCs w:val="16"/>
                <w:color w:val="auto"/>
              </w:rPr>
              <w:t>Corporate and other bonds</w:t>
            </w: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Industrial and miscellaneous</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3.73%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Residential mortgage and other asset backed securities</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2.44%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3.47%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97"/>
        </w:trPr>
        <w:tc>
          <w:tcPr>
            <w:tcW w:w="11440" w:type="dxa"/>
            <w:vAlign w:val="bottom"/>
            <w:gridSpan w:val="6"/>
          </w:tcPr>
          <w:p>
            <w:pPr>
              <w:ind w:left="600"/>
              <w:spacing w:after="0"/>
              <w:rPr>
                <w:sz w:val="20"/>
                <w:szCs w:val="20"/>
                <w:color w:val="auto"/>
              </w:rPr>
            </w:pPr>
            <w:r>
              <w:rPr>
                <w:rFonts w:ascii="Arial" w:cs="Arial" w:eastAsia="Arial" w:hAnsi="Arial"/>
                <w:sz w:val="16"/>
                <w:szCs w:val="16"/>
                <w:color w:val="auto"/>
                <w:w w:val="95"/>
              </w:rPr>
              <w:t>The table below lists the weighted average maturity and effective duration in years on our fixed-maturity securities as of September 30, 2019 and December 31,</w:t>
            </w:r>
          </w:p>
        </w:tc>
        <w:tc>
          <w:tcPr>
            <w:tcW w:w="0" w:type="dxa"/>
            <w:vAlign w:val="bottom"/>
          </w:tcPr>
          <w:p>
            <w:pPr>
              <w:spacing w:after="0"/>
              <w:rPr>
                <w:sz w:val="1"/>
                <w:szCs w:val="1"/>
                <w:color w:val="auto"/>
              </w:rPr>
            </w:pPr>
          </w:p>
        </w:tc>
      </w:tr>
      <w:tr>
        <w:trPr>
          <w:trHeight w:val="209"/>
        </w:trPr>
        <w:tc>
          <w:tcPr>
            <w:tcW w:w="8820" w:type="dxa"/>
            <w:vAlign w:val="bottom"/>
          </w:tcPr>
          <w:p>
            <w:pPr>
              <w:spacing w:after="0"/>
              <w:rPr>
                <w:sz w:val="20"/>
                <w:szCs w:val="20"/>
                <w:color w:val="auto"/>
              </w:rPr>
            </w:pPr>
            <w:r>
              <w:rPr>
                <w:rFonts w:ascii="Arial" w:cs="Arial" w:eastAsia="Arial" w:hAnsi="Arial"/>
                <w:sz w:val="16"/>
                <w:szCs w:val="16"/>
                <w:color w:val="auto"/>
              </w:rPr>
              <w:t>2018:</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1"/>
        </w:trPr>
        <w:tc>
          <w:tcPr>
            <w:tcW w:w="8820" w:type="dxa"/>
            <w:vAlign w:val="bottom"/>
          </w:tcPr>
          <w:p>
            <w:pPr>
              <w:spacing w:after="0"/>
              <w:rPr>
                <w:sz w:val="24"/>
                <w:szCs w:val="2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September 30,</w:t>
            </w:r>
          </w:p>
        </w:tc>
        <w:tc>
          <w:tcPr>
            <w:tcW w:w="12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1"/>
        </w:trPr>
        <w:tc>
          <w:tcPr>
            <w:tcW w:w="882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28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effective maturity</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4.8</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final maturity</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6.3</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Effective duration</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4.3</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00"/>
        <w:spacing w:after="0"/>
        <w:rPr>
          <w:sz w:val="20"/>
          <w:szCs w:val="20"/>
          <w:color w:val="auto"/>
        </w:rPr>
      </w:pPr>
      <w:r>
        <w:rPr>
          <w:rFonts w:ascii="Arial" w:cs="Arial" w:eastAsia="Arial" w:hAnsi="Arial"/>
          <w:sz w:val="16"/>
          <w:szCs w:val="16"/>
          <w:b w:val="1"/>
          <w:bCs w:val="1"/>
          <w:i w:val="1"/>
          <w:iCs w:val="1"/>
          <w:color w:val="auto"/>
        </w:rPr>
        <w:t>Fair Value Consideration</w:t>
      </w:r>
    </w:p>
    <w:p>
      <w:pPr>
        <w:spacing w:after="0" w:line="158" w:lineRule="exact"/>
        <w:rPr>
          <w:sz w:val="20"/>
          <w:szCs w:val="20"/>
          <w:color w:val="auto"/>
        </w:rPr>
      </w:pPr>
    </w:p>
    <w:p>
      <w:pPr>
        <w:jc w:val="both"/>
        <w:ind w:firstLine="608"/>
        <w:spacing w:after="0" w:line="289" w:lineRule="auto"/>
        <w:rPr>
          <w:sz w:val="20"/>
          <w:szCs w:val="20"/>
          <w:color w:val="auto"/>
        </w:rPr>
      </w:pPr>
      <w:r>
        <w:rPr>
          <w:rFonts w:ascii="Arial" w:cs="Arial" w:eastAsia="Arial" w:hAnsi="Arial"/>
          <w:sz w:val="15"/>
          <w:szCs w:val="15"/>
          <w:color w:val="auto"/>
        </w:rPr>
        <w:t>As disclosed in Note 4 to the condensed consolidated financial statements, with respect to “Fair Value Measurements,” we define fair value as the price that would be received to sell an asset or paid to transfer a liability in a transaction involving identical or comparable assets or liabilities between market participants (an “exit price”). The fair value hierarchy distinguishes between inputs based on market data from independent sources (“observable inputs”) and a reporting entity’s internal assumptions based upon the best information available when external market data is limited or unavailable (“unobservable inputs”). The fair value hierarchy prioritizes fair value measurements into three levels based on the nature of the inputs. Quoted prices in active markets for identical assets have the highest priority (“Level 1”), followed by observable inputs other than quoted prices including prices for similar but not identical assets or liabilities (“Level 2”), and unobservable inputs, including the reporting entity’s estimates of the assumption that market participants would use, having the lowest priority (“Level 3”). As of September 30, 2019 and December 31, 2018, 84% and 81%, respectively, of the investment portfolio recorded at fair value was priced based upon quoted market prices.</w:t>
      </w:r>
    </w:p>
    <w:p>
      <w:pPr>
        <w:spacing w:after="0" w:line="99" w:lineRule="exact"/>
        <w:rPr>
          <w:sz w:val="20"/>
          <w:szCs w:val="20"/>
          <w:color w:val="auto"/>
        </w:rPr>
      </w:pPr>
    </w:p>
    <w:p>
      <w:pPr>
        <w:ind w:right="220" w:firstLine="608"/>
        <w:spacing w:after="0" w:line="296" w:lineRule="auto"/>
        <w:rPr>
          <w:sz w:val="20"/>
          <w:szCs w:val="20"/>
          <w:color w:val="auto"/>
        </w:rPr>
      </w:pPr>
      <w:r>
        <w:rPr>
          <w:rFonts w:ascii="Arial" w:cs="Arial" w:eastAsia="Arial" w:hAnsi="Arial"/>
          <w:sz w:val="16"/>
          <w:szCs w:val="16"/>
          <w:color w:val="auto"/>
        </w:rPr>
        <w:t>The table below summarizes the gross unrealized losses of our fixed-maturity securities available-for-sale and equity securities by length of time the security has continuously been in an unrealized loss position as of September 30, 2019 and December 31, 2018:</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71"/>
        </w:trPr>
        <w:tc>
          <w:tcPr>
            <w:tcW w:w="23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6"/>
          </w:tcPr>
          <w:p>
            <w:pPr>
              <w:jc w:val="right"/>
              <w:ind w:right="560"/>
              <w:spacing w:after="0"/>
              <w:rPr>
                <w:sz w:val="20"/>
                <w:szCs w:val="20"/>
                <w:color w:val="auto"/>
              </w:rPr>
            </w:pPr>
            <w:r>
              <w:rPr>
                <w:rFonts w:ascii="Arial" w:cs="Arial" w:eastAsia="Arial" w:hAnsi="Arial"/>
                <w:sz w:val="14"/>
                <w:szCs w:val="14"/>
                <w:b w:val="1"/>
                <w:bCs w:val="1"/>
                <w:color w:val="auto"/>
              </w:rPr>
              <w:t>September 30, 2019</w:t>
            </w: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w w:val="91"/>
              </w:rPr>
              <w:t>Less than 12 months</w:t>
            </w: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8"/>
              </w:rPr>
              <w:t>12 months or more</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Total</w:t>
            </w:r>
          </w:p>
        </w:tc>
        <w:tc>
          <w:tcPr>
            <w:tcW w:w="8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center"/>
              <w:ind w:right="62"/>
              <w:spacing w:after="0"/>
              <w:rPr>
                <w:sz w:val="20"/>
                <w:szCs w:val="20"/>
                <w:color w:val="auto"/>
              </w:rPr>
            </w:pPr>
            <w:r>
              <w:rPr>
                <w:rFonts w:ascii="Arial" w:cs="Arial" w:eastAsia="Arial" w:hAnsi="Arial"/>
                <w:sz w:val="14"/>
                <w:szCs w:val="14"/>
                <w:b w:val="1"/>
                <w:bCs w:val="1"/>
                <w:color w:val="auto"/>
                <w:w w:val="92"/>
              </w:rPr>
              <w:t>Estimated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0"/>
              </w:rPr>
              <w:t>No. of</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center"/>
              <w:ind w:right="43"/>
              <w:spacing w:after="0"/>
              <w:rPr>
                <w:sz w:val="20"/>
                <w:szCs w:val="20"/>
                <w:color w:val="auto"/>
              </w:rPr>
            </w:pPr>
            <w:r>
              <w:rPr>
                <w:rFonts w:ascii="Arial" w:cs="Arial" w:eastAsia="Arial" w:hAnsi="Arial"/>
                <w:sz w:val="14"/>
                <w:szCs w:val="14"/>
                <w:b w:val="1"/>
                <w:bCs w:val="1"/>
                <w:color w:val="auto"/>
                <w:w w:val="89"/>
              </w:rPr>
              <w:t>Estimated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No. of</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Estimated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380" w:type="dxa"/>
            <w:vAlign w:val="bottom"/>
            <w:vMerge w:val="restart"/>
          </w:tcPr>
          <w:p>
            <w:pPr>
              <w:spacing w:after="0"/>
              <w:rPr>
                <w:sz w:val="20"/>
                <w:szCs w:val="20"/>
                <w:color w:val="auto"/>
              </w:rPr>
            </w:pPr>
            <w:r>
              <w:rPr>
                <w:rFonts w:ascii="Arial" w:cs="Arial" w:eastAsia="Arial" w:hAnsi="Arial"/>
                <w:sz w:val="16"/>
                <w:szCs w:val="16"/>
                <w:b w:val="1"/>
                <w:bCs w:val="1"/>
                <w:color w:val="auto"/>
              </w:rPr>
              <w:t>Categor</w:t>
            </w:r>
            <w:r>
              <w:rPr>
                <w:rFonts w:ascii="Arial" w:cs="Arial" w:eastAsia="Arial" w:hAnsi="Arial"/>
                <w:sz w:val="16"/>
                <w:szCs w:val="16"/>
                <w:color w:val="auto"/>
              </w:rPr>
              <w:t>y</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center"/>
              <w:ind w:right="62"/>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0"/>
              </w:rPr>
              <w:t>Unrealized</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5"/>
              </w:rPr>
              <w:t>Positions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center"/>
              <w:ind w:right="63"/>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Unrealized</w:t>
            </w:r>
          </w:p>
        </w:tc>
        <w:tc>
          <w:tcPr>
            <w:tcW w:w="120" w:type="dxa"/>
            <w:vAlign w:val="bottom"/>
          </w:tcPr>
          <w:p>
            <w:pPr>
              <w:spacing w:after="0"/>
              <w:rPr>
                <w:sz w:val="17"/>
                <w:szCs w:val="17"/>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Positions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Fair</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0"/>
              </w:rPr>
              <w:t>Unrealized</w:t>
            </w:r>
          </w:p>
        </w:tc>
        <w:tc>
          <w:tcPr>
            <w:tcW w:w="0" w:type="dxa"/>
            <w:vAlign w:val="bottom"/>
          </w:tcPr>
          <w:p>
            <w:pPr>
              <w:spacing w:after="0"/>
              <w:rPr>
                <w:sz w:val="1"/>
                <w:szCs w:val="1"/>
                <w:color w:val="auto"/>
              </w:rPr>
            </w:pPr>
          </w:p>
        </w:tc>
      </w:tr>
      <w:tr>
        <w:trPr>
          <w:trHeight w:val="191"/>
        </w:trPr>
        <w:tc>
          <w:tcPr>
            <w:tcW w:w="238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82"/>
              </w:rPr>
              <w:t>Losses</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Held</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2"/>
              </w:rPr>
              <w:t>Held</w:t>
            </w: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397"/>
        </w:trPr>
        <w:tc>
          <w:tcPr>
            <w:tcW w:w="2380" w:type="dxa"/>
            <w:vAlign w:val="bottom"/>
          </w:tcPr>
          <w:p>
            <w:pPr>
              <w:spacing w:after="0"/>
              <w:rPr>
                <w:sz w:val="20"/>
                <w:szCs w:val="20"/>
                <w:color w:val="auto"/>
              </w:rPr>
            </w:pPr>
            <w:r>
              <w:rPr>
                <w:rFonts w:ascii="Arial" w:cs="Arial" w:eastAsia="Arial" w:hAnsi="Arial"/>
                <w:sz w:val="16"/>
                <w:szCs w:val="16"/>
                <w:b w:val="1"/>
                <w:bCs w:val="1"/>
                <w:color w:val="auto"/>
              </w:rPr>
              <w:t>Fixed-Maturity Securities: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380" w:type="dxa"/>
            <w:vAlign w:val="bottom"/>
          </w:tcPr>
          <w:p>
            <w:pPr>
              <w:spacing w:after="0"/>
              <w:rPr>
                <w:sz w:val="20"/>
                <w:szCs w:val="20"/>
                <w:color w:val="auto"/>
              </w:rPr>
            </w:pPr>
            <w:r>
              <w:rPr>
                <w:rFonts w:ascii="Arial" w:cs="Arial" w:eastAsia="Arial" w:hAnsi="Arial"/>
                <w:sz w:val="16"/>
                <w:szCs w:val="16"/>
                <w:color w:val="auto"/>
              </w:rPr>
              <w:t>U.S. Treasury securities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tcPr>
          <w:p>
            <w:pPr>
              <w:spacing w:after="0"/>
              <w:rPr>
                <w:sz w:val="20"/>
                <w:szCs w:val="20"/>
                <w:color w:val="auto"/>
              </w:rPr>
            </w:pPr>
            <w:r>
              <w:rPr>
                <w:rFonts w:ascii="Arial" w:cs="Arial" w:eastAsia="Arial" w:hAnsi="Arial"/>
                <w:sz w:val="16"/>
                <w:szCs w:val="16"/>
                <w:color w:val="auto"/>
              </w:rPr>
              <w:t>and obligations of U.S.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380" w:type="dxa"/>
            <w:vAlign w:val="bottom"/>
          </w:tcPr>
          <w:p>
            <w:pPr>
              <w:spacing w:after="0"/>
              <w:rPr>
                <w:sz w:val="20"/>
                <w:szCs w:val="20"/>
                <w:color w:val="auto"/>
              </w:rPr>
            </w:pPr>
            <w:r>
              <w:rPr>
                <w:rFonts w:ascii="Arial" w:cs="Arial" w:eastAsia="Arial" w:hAnsi="Arial"/>
                <w:sz w:val="16"/>
                <w:szCs w:val="16"/>
                <w:color w:val="auto"/>
              </w:rPr>
              <w:t>government corporations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and agencies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Political subdivisions of</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tcPr>
          <w:p>
            <w:pPr>
              <w:spacing w:after="0"/>
              <w:rPr>
                <w:sz w:val="20"/>
                <w:szCs w:val="20"/>
                <w:color w:val="auto"/>
              </w:rPr>
            </w:pPr>
            <w:r>
              <w:rPr>
                <w:rFonts w:ascii="Arial" w:cs="Arial" w:eastAsia="Arial" w:hAnsi="Arial"/>
                <w:sz w:val="16"/>
                <w:szCs w:val="16"/>
                <w:color w:val="auto"/>
              </w:rPr>
              <w:t>States, Territories and</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Possessions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Corporate and other</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tcPr>
          <w:p>
            <w:pPr>
              <w:spacing w:after="0"/>
              <w:rPr>
                <w:sz w:val="20"/>
                <w:szCs w:val="20"/>
                <w:color w:val="auto"/>
              </w:rPr>
            </w:pPr>
            <w:r>
              <w:rPr>
                <w:rFonts w:ascii="Arial" w:cs="Arial" w:eastAsia="Arial" w:hAnsi="Arial"/>
                <w:sz w:val="16"/>
                <w:szCs w:val="16"/>
                <w:color w:val="auto"/>
              </w:rPr>
              <w:t>bonds industrial and</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miscellaneous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3,258,185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(33,073)</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3,170,889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(20,893)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6,429,074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(53,966)</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Residential mortgage and other</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380" w:type="dxa"/>
            <w:vAlign w:val="bottom"/>
          </w:tcPr>
          <w:p>
            <w:pPr>
              <w:spacing w:after="0"/>
              <w:rPr>
                <w:sz w:val="20"/>
                <w:szCs w:val="20"/>
                <w:color w:val="auto"/>
              </w:rPr>
            </w:pPr>
            <w:r>
              <w:rPr>
                <w:rFonts w:ascii="Arial" w:cs="Arial" w:eastAsia="Arial" w:hAnsi="Arial"/>
                <w:sz w:val="16"/>
                <w:szCs w:val="16"/>
                <w:color w:val="auto"/>
              </w:rPr>
              <w:t>asset backed securities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3,008,874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(19,924)</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7"/>
              </w:rPr>
              <w:t>15,596,316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(312,685)</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18,605,190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6"/>
                <w:szCs w:val="16"/>
                <w:color w:val="auto"/>
              </w:rPr>
              <w:t>(332,609)</w:t>
            </w:r>
          </w:p>
        </w:tc>
        <w:tc>
          <w:tcPr>
            <w:tcW w:w="0" w:type="dxa"/>
            <w:vAlign w:val="bottom"/>
          </w:tcPr>
          <w:p>
            <w:pPr>
              <w:spacing w:after="0"/>
              <w:rPr>
                <w:sz w:val="1"/>
                <w:szCs w:val="1"/>
                <w:color w:val="auto"/>
              </w:rPr>
            </w:pPr>
          </w:p>
        </w:tc>
      </w:tr>
      <w:tr>
        <w:trPr>
          <w:trHeight w:val="203"/>
        </w:trPr>
        <w:tc>
          <w:tcPr>
            <w:tcW w:w="2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tcPr>
          <w:p>
            <w:pPr>
              <w:spacing w:after="0"/>
              <w:rPr>
                <w:sz w:val="20"/>
                <w:szCs w:val="20"/>
                <w:color w:val="auto"/>
              </w:rPr>
            </w:pPr>
            <w:r>
              <w:rPr>
                <w:rFonts w:ascii="Arial" w:cs="Arial" w:eastAsia="Arial" w:hAnsi="Arial"/>
                <w:sz w:val="16"/>
                <w:szCs w:val="16"/>
                <w:color w:val="auto"/>
              </w:rPr>
              <w:t>Total fixed-maturity</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securities</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6,267,059</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(52,997)</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18,767,205</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(333,578)</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25,034,264</w:t>
            </w: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(386,575)</w:t>
            </w:r>
          </w:p>
        </w:tc>
        <w:tc>
          <w:tcPr>
            <w:tcW w:w="0" w:type="dxa"/>
            <w:vAlign w:val="bottom"/>
          </w:tcPr>
          <w:p>
            <w:pPr>
              <w:spacing w:after="0"/>
              <w:rPr>
                <w:sz w:val="1"/>
                <w:szCs w:val="1"/>
                <w:color w:val="auto"/>
              </w:rPr>
            </w:pPr>
          </w:p>
        </w:tc>
      </w:tr>
      <w:tr>
        <w:trPr>
          <w:trHeight w:val="427"/>
        </w:trPr>
        <w:tc>
          <w:tcPr>
            <w:tcW w:w="23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7"/>
          </w:tcPr>
          <w:p>
            <w:pPr>
              <w:jc w:val="right"/>
              <w:ind w:right="63"/>
              <w:spacing w:after="0"/>
              <w:rPr>
                <w:sz w:val="20"/>
                <w:szCs w:val="20"/>
                <w:color w:val="auto"/>
              </w:rPr>
            </w:pPr>
            <w:r>
              <w:rPr>
                <w:rFonts w:ascii="Arial" w:cs="Arial" w:eastAsia="Arial" w:hAnsi="Arial"/>
                <w:sz w:val="14"/>
                <w:szCs w:val="14"/>
                <w:b w:val="1"/>
                <w:bCs w:val="1"/>
                <w:color w:val="auto"/>
                <w:w w:val="95"/>
              </w:rPr>
              <w:t>December 31, 2018</w:t>
            </w: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6"/>
              </w:rPr>
              <w:t>Less than 12 months</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w w:val="90"/>
              </w:rPr>
              <w:t>12 months or more</w:t>
            </w: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w w:val="89"/>
              </w:rPr>
              <w:t>Total</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center"/>
              <w:ind w:right="42"/>
              <w:spacing w:after="0"/>
              <w:rPr>
                <w:sz w:val="20"/>
                <w:szCs w:val="20"/>
                <w:color w:val="auto"/>
              </w:rPr>
            </w:pPr>
            <w:r>
              <w:rPr>
                <w:rFonts w:ascii="Arial" w:cs="Arial" w:eastAsia="Arial" w:hAnsi="Arial"/>
                <w:sz w:val="14"/>
                <w:szCs w:val="14"/>
                <w:b w:val="1"/>
                <w:bCs w:val="1"/>
                <w:color w:val="auto"/>
                <w:w w:val="89"/>
              </w:rPr>
              <w:t>Estimated</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0"/>
              </w:rPr>
              <w:t>No. of</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center"/>
              <w:ind w:right="3"/>
              <w:spacing w:after="0"/>
              <w:rPr>
                <w:sz w:val="20"/>
                <w:szCs w:val="20"/>
                <w:color w:val="auto"/>
              </w:rPr>
            </w:pPr>
            <w:r>
              <w:rPr>
                <w:rFonts w:ascii="Arial" w:cs="Arial" w:eastAsia="Arial" w:hAnsi="Arial"/>
                <w:sz w:val="14"/>
                <w:szCs w:val="14"/>
                <w:b w:val="1"/>
                <w:bCs w:val="1"/>
                <w:color w:val="auto"/>
                <w:w w:val="89"/>
              </w:rPr>
              <w:t>Estimated</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No. of</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9"/>
              </w:rPr>
              <w:t>Aggregate</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3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Categor</w:t>
            </w:r>
            <w:r>
              <w:rPr>
                <w:rFonts w:ascii="Arial" w:cs="Arial" w:eastAsia="Arial" w:hAnsi="Arial"/>
                <w:sz w:val="16"/>
                <w:szCs w:val="16"/>
                <w:color w:val="auto"/>
              </w:rPr>
              <w:t>y</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center"/>
              <w:ind w:right="22"/>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0"/>
              </w:rPr>
              <w:t>Unrealized</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5"/>
              </w:rPr>
              <w:t>Positions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center"/>
              <w:ind w:right="23"/>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Unrealized</w:t>
            </w:r>
          </w:p>
        </w:tc>
        <w:tc>
          <w:tcPr>
            <w:tcW w:w="120" w:type="dxa"/>
            <w:vAlign w:val="bottom"/>
          </w:tcPr>
          <w:p>
            <w:pPr>
              <w:spacing w:after="0"/>
              <w:rPr>
                <w:sz w:val="19"/>
                <w:szCs w:val="19"/>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Positions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Fair</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Unrealized</w:t>
            </w:r>
          </w:p>
        </w:tc>
        <w:tc>
          <w:tcPr>
            <w:tcW w:w="0" w:type="dxa"/>
            <w:vAlign w:val="bottom"/>
          </w:tcPr>
          <w:p>
            <w:pPr>
              <w:spacing w:after="0"/>
              <w:rPr>
                <w:sz w:val="1"/>
                <w:szCs w:val="1"/>
                <w:color w:val="auto"/>
              </w:rPr>
            </w:pPr>
          </w:p>
        </w:tc>
      </w:tr>
      <w:tr>
        <w:trPr>
          <w:trHeight w:val="217"/>
        </w:trPr>
        <w:tc>
          <w:tcPr>
            <w:tcW w:w="238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78"/>
              </w:rPr>
              <w:t>Losses</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Held</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78"/>
              </w:rPr>
              <w:t>Losses</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92"/>
              </w:rPr>
              <w:t>Held</w:t>
            </w: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w w:val="78"/>
              </w:rPr>
              <w:t>Losses</w:t>
            </w:r>
          </w:p>
        </w:tc>
        <w:tc>
          <w:tcPr>
            <w:tcW w:w="0" w:type="dxa"/>
            <w:vAlign w:val="bottom"/>
          </w:tcPr>
          <w:p>
            <w:pPr>
              <w:spacing w:after="0"/>
              <w:rPr>
                <w:sz w:val="1"/>
                <w:szCs w:val="1"/>
                <w:color w:val="auto"/>
              </w:rPr>
            </w:pPr>
          </w:p>
        </w:tc>
      </w:tr>
      <w:tr>
        <w:trPr>
          <w:trHeight w:val="453"/>
        </w:trPr>
        <w:tc>
          <w:tcPr>
            <w:tcW w:w="2380" w:type="dxa"/>
            <w:vAlign w:val="bottom"/>
          </w:tcPr>
          <w:p>
            <w:pPr>
              <w:ind w:left="40"/>
              <w:spacing w:after="0"/>
              <w:rPr>
                <w:sz w:val="20"/>
                <w:szCs w:val="20"/>
                <w:color w:val="auto"/>
              </w:rPr>
            </w:pPr>
            <w:r>
              <w:rPr>
                <w:rFonts w:ascii="Arial" w:cs="Arial" w:eastAsia="Arial" w:hAnsi="Arial"/>
                <w:sz w:val="16"/>
                <w:szCs w:val="16"/>
                <w:b w:val="1"/>
                <w:bCs w:val="1"/>
                <w:color w:val="auto"/>
              </w:rPr>
              <w:t>Fixed-Maturity Securities: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80" w:type="dxa"/>
            <w:vAlign w:val="bottom"/>
          </w:tcPr>
          <w:p>
            <w:pPr>
              <w:ind w:left="40"/>
              <w:spacing w:after="0"/>
              <w:rPr>
                <w:sz w:val="20"/>
                <w:szCs w:val="20"/>
                <w:color w:val="auto"/>
              </w:rPr>
            </w:pPr>
            <w:r>
              <w:rPr>
                <w:rFonts w:ascii="Arial" w:cs="Arial" w:eastAsia="Arial" w:hAnsi="Arial"/>
                <w:sz w:val="16"/>
                <w:szCs w:val="16"/>
                <w:color w:val="auto"/>
              </w:rPr>
              <w:t>U.S. Treasury securities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380" w:type="dxa"/>
            <w:vAlign w:val="bottom"/>
          </w:tcPr>
          <w:p>
            <w:pPr>
              <w:ind w:left="40"/>
              <w:spacing w:after="0"/>
              <w:rPr>
                <w:sz w:val="20"/>
                <w:szCs w:val="20"/>
                <w:color w:val="auto"/>
              </w:rPr>
            </w:pPr>
            <w:r>
              <w:rPr>
                <w:rFonts w:ascii="Arial" w:cs="Arial" w:eastAsia="Arial" w:hAnsi="Arial"/>
                <w:sz w:val="16"/>
                <w:szCs w:val="16"/>
                <w:color w:val="auto"/>
              </w:rPr>
              <w:t>and obligations of U.S.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80" w:type="dxa"/>
            <w:vAlign w:val="bottom"/>
          </w:tcPr>
          <w:p>
            <w:pPr>
              <w:ind w:left="40"/>
              <w:spacing w:after="0"/>
              <w:rPr>
                <w:sz w:val="20"/>
                <w:szCs w:val="20"/>
                <w:color w:val="auto"/>
              </w:rPr>
            </w:pPr>
            <w:r>
              <w:rPr>
                <w:rFonts w:ascii="Arial" w:cs="Arial" w:eastAsia="Arial" w:hAnsi="Arial"/>
                <w:sz w:val="16"/>
                <w:szCs w:val="16"/>
                <w:color w:val="auto"/>
              </w:rPr>
              <w:t>government corporations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and agencies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4,948,530</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(28,000)</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3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4,948,530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(28,000)</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Political subdivisions of</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tcPr>
          <w:p>
            <w:pPr>
              <w:ind w:left="40"/>
              <w:spacing w:after="0"/>
              <w:rPr>
                <w:sz w:val="20"/>
                <w:szCs w:val="20"/>
                <w:color w:val="auto"/>
              </w:rPr>
            </w:pPr>
            <w:r>
              <w:rPr>
                <w:rFonts w:ascii="Arial" w:cs="Arial" w:eastAsia="Arial" w:hAnsi="Arial"/>
                <w:sz w:val="16"/>
                <w:szCs w:val="16"/>
                <w:color w:val="auto"/>
              </w:rPr>
              <w:t>States, Territories and</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Possessions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555,375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(12,327)</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1,436,242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(36,508)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1,991,617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(48,835)</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and other</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tcPr>
          <w:p>
            <w:pPr>
              <w:ind w:left="40"/>
              <w:spacing w:after="0"/>
              <w:rPr>
                <w:sz w:val="20"/>
                <w:szCs w:val="20"/>
                <w:color w:val="auto"/>
              </w:rPr>
            </w:pPr>
            <w:r>
              <w:rPr>
                <w:rFonts w:ascii="Arial" w:cs="Arial" w:eastAsia="Arial" w:hAnsi="Arial"/>
                <w:sz w:val="16"/>
                <w:szCs w:val="16"/>
                <w:color w:val="auto"/>
              </w:rPr>
              <w:t>bonds industrial and</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miscellaneous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81,004,459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(2,775,540)</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13,424,888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(676,605)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94,429,347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(3,452,145)</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3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Residential mortgage and other</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380" w:type="dxa"/>
            <w:vAlign w:val="bottom"/>
          </w:tcPr>
          <w:p>
            <w:pPr>
              <w:ind w:left="40"/>
              <w:spacing w:after="0"/>
              <w:rPr>
                <w:sz w:val="20"/>
                <w:szCs w:val="20"/>
                <w:color w:val="auto"/>
              </w:rPr>
            </w:pPr>
            <w:r>
              <w:rPr>
                <w:rFonts w:ascii="Arial" w:cs="Arial" w:eastAsia="Arial" w:hAnsi="Arial"/>
                <w:sz w:val="16"/>
                <w:szCs w:val="16"/>
                <w:color w:val="auto"/>
              </w:rPr>
              <w:t>asset backed securities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7,002,713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(231,229)</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7"/>
              </w:rPr>
              <w:t>11,928,425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(331,012)</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18,931,138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6"/>
                <w:szCs w:val="16"/>
                <w:color w:val="auto"/>
              </w:rPr>
              <w:t>(562,241)</w:t>
            </w:r>
          </w:p>
        </w:tc>
        <w:tc>
          <w:tcPr>
            <w:tcW w:w="0" w:type="dxa"/>
            <w:vAlign w:val="bottom"/>
          </w:tcPr>
          <w:p>
            <w:pPr>
              <w:spacing w:after="0"/>
              <w:rPr>
                <w:sz w:val="1"/>
                <w:szCs w:val="1"/>
                <w:color w:val="auto"/>
              </w:rPr>
            </w:pPr>
          </w:p>
        </w:tc>
      </w:tr>
      <w:tr>
        <w:trPr>
          <w:trHeight w:val="203"/>
        </w:trPr>
        <w:tc>
          <w:tcPr>
            <w:tcW w:w="2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tcPr>
          <w:p>
            <w:pPr>
              <w:ind w:left="40"/>
              <w:spacing w:after="0"/>
              <w:rPr>
                <w:sz w:val="20"/>
                <w:szCs w:val="20"/>
                <w:color w:val="auto"/>
              </w:rPr>
            </w:pPr>
            <w:r>
              <w:rPr>
                <w:rFonts w:ascii="Arial" w:cs="Arial" w:eastAsia="Arial" w:hAnsi="Arial"/>
                <w:sz w:val="16"/>
                <w:szCs w:val="16"/>
                <w:color w:val="auto"/>
              </w:rPr>
              <w:t>Total fixed-maturity</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securities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93,511,077</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(3,047,096)</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3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26,789,555</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(1,044,125)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120,300,632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(4,091,221)</w:t>
            </w:r>
          </w:p>
        </w:tc>
        <w:tc>
          <w:tcPr>
            <w:tcW w:w="0" w:type="dxa"/>
            <w:vAlign w:val="bottom"/>
          </w:tcPr>
          <w:p>
            <w:pPr>
              <w:spacing w:after="0"/>
              <w:rPr>
                <w:sz w:val="1"/>
                <w:szCs w:val="1"/>
                <w:color w:val="auto"/>
              </w:rPr>
            </w:pPr>
          </w:p>
        </w:tc>
      </w:tr>
      <w:tr>
        <w:trPr>
          <w:trHeight w:val="597"/>
        </w:trPr>
        <w:tc>
          <w:tcPr>
            <w:tcW w:w="23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62</w:t>
            </w:r>
          </w:p>
        </w:tc>
        <w:tc>
          <w:tcPr>
            <w:tcW w:w="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21" w:right="239" w:bottom="1440" w:gutter="0" w:footer="0" w:header="0"/>
        </w:sectPr>
      </w:pPr>
    </w:p>
    <w:bookmarkStart w:id="64" w:name="page65"/>
    <w:bookmarkEnd w:id="64"/>
    <w:p>
      <w:pPr>
        <w:jc w:val="both"/>
        <w:ind w:firstLine="649"/>
        <w:spacing w:after="0" w:line="272" w:lineRule="auto"/>
        <w:rPr>
          <w:sz w:val="20"/>
          <w:szCs w:val="20"/>
          <w:color w:val="auto"/>
        </w:rPr>
      </w:pPr>
      <w:r>
        <w:rPr>
          <w:rFonts w:ascii="Arial" w:cs="Arial" w:eastAsia="Arial" w:hAnsi="Arial"/>
          <w:sz w:val="16"/>
          <w:szCs w:val="16"/>
          <w:color w:val="auto"/>
        </w:rPr>
        <w:t>There were 38 securities at September 30, 2019 that accounted for the gross unrealized loss of our fixed-maturity securities available-for-sale, none of which were deemed by us to be other than temporarily impaired. There were 156 securities at December 31, 2018 that accounted for the gross unrealized loss, none of which were deemed by us to be other than temporarily impaired. Significant factors influencing our determination that unrealized losses were temporary included the magnitude of the unrealized losses in relation to each security’s cost, the nature of the investment and management’s intent not to sell these securities and it being not more likely than not that we will be required to sell these investments before anticipated recovery of fair value to our cost basis.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162" w:lineRule="exact"/>
        <w:rPr>
          <w:sz w:val="20"/>
          <w:szCs w:val="20"/>
          <w:color w:val="auto"/>
        </w:rPr>
      </w:pPr>
    </w:p>
    <w:p>
      <w:pPr>
        <w:ind w:left="600"/>
        <w:spacing w:after="0"/>
        <w:rPr>
          <w:sz w:val="20"/>
          <w:szCs w:val="20"/>
          <w:color w:val="auto"/>
        </w:rPr>
      </w:pPr>
      <w:r>
        <w:rPr>
          <w:rFonts w:ascii="Arial" w:cs="Arial" w:eastAsia="Arial" w:hAnsi="Arial"/>
          <w:sz w:val="16"/>
          <w:szCs w:val="16"/>
          <w:b w:val="1"/>
          <w:bCs w:val="1"/>
          <w:i w:val="1"/>
          <w:iCs w:val="1"/>
          <w:color w:val="auto"/>
        </w:rPr>
        <w:t>Cash Flows</w:t>
      </w:r>
    </w:p>
    <w:p>
      <w:pPr>
        <w:spacing w:after="0" w:line="158" w:lineRule="exact"/>
        <w:rPr>
          <w:sz w:val="20"/>
          <w:szCs w:val="20"/>
          <w:color w:val="auto"/>
        </w:rPr>
      </w:pPr>
    </w:p>
    <w:p>
      <w:pPr>
        <w:jc w:val="both"/>
        <w:ind w:firstLine="608"/>
        <w:spacing w:after="0" w:line="272" w:lineRule="auto"/>
        <w:rPr>
          <w:sz w:val="20"/>
          <w:szCs w:val="20"/>
          <w:color w:val="auto"/>
        </w:rPr>
      </w:pPr>
      <w:r>
        <w:rPr>
          <w:rFonts w:ascii="Arial" w:cs="Arial" w:eastAsia="Arial" w:hAnsi="Arial"/>
          <w:sz w:val="16"/>
          <w:szCs w:val="16"/>
          <w:color w:val="auto"/>
        </w:rPr>
        <w:t>The primary sources of cash flow are from our insurance underwriting subsidiary, KICO, and include direct premiums written, ceding commissions from our quota share reinsurers, loss recovery payments from our reinsurers, investment income and proceeds from the sale or maturity of investments. Funds are used by KICO for ceded premium payments to reinsurers, which are paid on a net basis after subtracting losses paid on reinsured claims and reinsurance commissions. KICO also uses funds for loss payments and loss adjustment expenses on our net business, commissions to producers, salaries and other underwriting expenses as well as to purchase investments and fixed assets.</w:t>
      </w:r>
    </w:p>
    <w:p>
      <w:pPr>
        <w:spacing w:after="0" w:line="110" w:lineRule="exact"/>
        <w:rPr>
          <w:sz w:val="20"/>
          <w:szCs w:val="20"/>
          <w:color w:val="auto"/>
        </w:rPr>
      </w:pPr>
    </w:p>
    <w:p>
      <w:pPr>
        <w:jc w:val="both"/>
        <w:ind w:firstLine="608"/>
        <w:spacing w:after="0" w:line="296" w:lineRule="auto"/>
        <w:rPr>
          <w:sz w:val="20"/>
          <w:szCs w:val="20"/>
          <w:color w:val="auto"/>
        </w:rPr>
      </w:pPr>
      <w:r>
        <w:rPr>
          <w:rFonts w:ascii="Arial" w:cs="Arial" w:eastAsia="Arial" w:hAnsi="Arial"/>
          <w:sz w:val="16"/>
          <w:szCs w:val="16"/>
          <w:color w:val="auto"/>
        </w:rPr>
        <w:t>For the nine months ended September 30, 2019, the primary source of cash flow for our holding company was the dividends received from KICO, subject to statutory restrictions. For the nine months ended September 30, 2019, KICO paid dividends of $5,500,000 to us.</w:t>
      </w:r>
    </w:p>
    <w:p>
      <w:pPr>
        <w:spacing w:after="0" w:line="91" w:lineRule="exact"/>
        <w:rPr>
          <w:sz w:val="20"/>
          <w:szCs w:val="20"/>
          <w:color w:val="auto"/>
        </w:rPr>
      </w:pPr>
    </w:p>
    <w:p>
      <w:pPr>
        <w:jc w:val="both"/>
        <w:ind w:firstLine="608"/>
        <w:spacing w:after="0" w:line="290" w:lineRule="auto"/>
        <w:rPr>
          <w:sz w:val="20"/>
          <w:szCs w:val="20"/>
          <w:color w:val="auto"/>
        </w:rPr>
      </w:pPr>
      <w:r>
        <w:rPr>
          <w:rFonts w:ascii="Arial" w:cs="Arial" w:eastAsia="Arial" w:hAnsi="Arial"/>
          <w:sz w:val="15"/>
          <w:szCs w:val="15"/>
          <w:color w:val="auto"/>
        </w:rPr>
        <w:t>KICO is a member of the Federal Home Loan Bank of New York (“FHLBNY”), which provides additional access to liquidity. Members have access to a variety of flexible, low cost funding through FHLBNY’s credit products, enabling members to customize advances. Advances are to be fully collateralized; eligible collateral to pledge to FHLBNY includes residential and commercial mortgage backed securities, along with U.S. Treasury and agency securities. See Note 3 to our consolidated financial statements – Investments, for eligible collateral held in a designated custodian account available for future advances. Advances are limited to 5% of KICO’s net admitted assets as of the end of the previous quarter, which isJune 30, 2019, and are due and payable within one year of borrowing. The maximum allowable advance as of September 30, 2019, based on the net admitted assets as of June 30, 2019, was approximately $11,502,000. Advances are limited to 90% of the amount of available collateral, which was approximately $4,630,000 as of September 30, 2019. There were no borrowings under this facility during the nine months ended September 30, 2019.</w:t>
      </w:r>
    </w:p>
    <w:p>
      <w:pPr>
        <w:spacing w:after="0" w:line="238" w:lineRule="exact"/>
        <w:rPr>
          <w:sz w:val="20"/>
          <w:szCs w:val="20"/>
          <w:color w:val="auto"/>
        </w:rPr>
      </w:pPr>
    </w:p>
    <w:p>
      <w:pPr>
        <w:jc w:val="both"/>
        <w:ind w:firstLine="608"/>
        <w:spacing w:after="0" w:line="296" w:lineRule="auto"/>
        <w:rPr>
          <w:sz w:val="20"/>
          <w:szCs w:val="20"/>
          <w:color w:val="auto"/>
        </w:rPr>
      </w:pPr>
      <w:r>
        <w:rPr>
          <w:rFonts w:ascii="Arial" w:cs="Arial" w:eastAsia="Arial" w:hAnsi="Arial"/>
          <w:sz w:val="16"/>
          <w:szCs w:val="16"/>
          <w:color w:val="auto"/>
        </w:rPr>
        <w:t>As of September 30, 2019, invested assets and cash in our holding company totaled approximately $5,616,000. If the aforementioned sources of cash flow currently available are insufficient to cover our holding company cash requirements, we will seek to obtain additional financing.</w:t>
      </w:r>
    </w:p>
    <w:p>
      <w:pPr>
        <w:spacing w:after="0" w:line="154" w:lineRule="exact"/>
        <w:rPr>
          <w:sz w:val="20"/>
          <w:szCs w:val="20"/>
          <w:color w:val="auto"/>
        </w:rPr>
      </w:pPr>
    </w:p>
    <w:p>
      <w:pPr>
        <w:jc w:val="both"/>
        <w:ind w:firstLine="608"/>
        <w:spacing w:after="0" w:line="296" w:lineRule="auto"/>
        <w:rPr>
          <w:sz w:val="20"/>
          <w:szCs w:val="20"/>
          <w:color w:val="auto"/>
        </w:rPr>
      </w:pPr>
      <w:r>
        <w:rPr>
          <w:rFonts w:ascii="Arial" w:cs="Arial" w:eastAsia="Arial" w:hAnsi="Arial"/>
          <w:sz w:val="16"/>
          <w:szCs w:val="16"/>
          <w:color w:val="auto"/>
        </w:rPr>
        <w:t>Our reconciliation of net income to net cash provided by operations is generally influenced by the collection of premiums in advance of paid losses, the timing of reinsurance, issuing company settlements and loss payments.</w:t>
      </w:r>
    </w:p>
    <w:p>
      <w:pPr>
        <w:spacing w:after="0" w:line="91" w:lineRule="exact"/>
        <w:rPr>
          <w:sz w:val="20"/>
          <w:szCs w:val="20"/>
          <w:color w:val="auto"/>
        </w:rPr>
      </w:pPr>
    </w:p>
    <w:p>
      <w:pPr>
        <w:jc w:val="both"/>
        <w:ind w:firstLine="608"/>
        <w:spacing w:after="0" w:line="296" w:lineRule="auto"/>
        <w:rPr>
          <w:sz w:val="20"/>
          <w:szCs w:val="20"/>
          <w:color w:val="auto"/>
        </w:rPr>
      </w:pPr>
      <w:r>
        <w:rPr>
          <w:rFonts w:ascii="Arial" w:cs="Arial" w:eastAsia="Arial" w:hAnsi="Arial"/>
          <w:sz w:val="16"/>
          <w:szCs w:val="16"/>
          <w:color w:val="auto"/>
        </w:rPr>
        <w:t>Cash flow and liquidity are categorized into three sources: (1) operating activities; (2) investing activities; and (3) financing activities, which are shown in the following table:</w:t>
      </w:r>
    </w:p>
    <w:p>
      <w:pPr>
        <w:sectPr>
          <w:pgSz w:w="11900" w:h="16838" w:orient="portrait"/>
          <w:cols w:equalWidth="0" w:num="1">
            <w:col w:w="11420"/>
          </w:cols>
          <w:pgMar w:left="240" w:top="536" w:right="239" w:bottom="1440" w:gutter="0" w:footer="0" w:header="0"/>
        </w:sectPr>
      </w:pP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Nine Months Ended September 30,</w:t>
      </w:r>
    </w:p>
    <w:p>
      <w:pPr>
        <w:spacing w:after="0" w:line="346" w:lineRule="exact"/>
        <w:rPr>
          <w:sz w:val="20"/>
          <w:szCs w:val="20"/>
          <w:color w:val="auto"/>
        </w:rPr>
      </w:pPr>
    </w:p>
    <w:p>
      <w:pPr>
        <w:ind w:left="40"/>
        <w:spacing w:after="0"/>
        <w:rPr>
          <w:sz w:val="20"/>
          <w:szCs w:val="20"/>
          <w:color w:val="auto"/>
        </w:rPr>
      </w:pPr>
      <w:r>
        <w:rPr>
          <w:rFonts w:ascii="Arial" w:cs="Arial" w:eastAsia="Arial" w:hAnsi="Arial"/>
          <w:sz w:val="15"/>
          <w:szCs w:val="15"/>
          <w:color w:val="auto"/>
        </w:rPr>
        <w:t>Cash flows provided by (used in):</w:t>
      </w:r>
    </w:p>
    <w:p>
      <w:pPr>
        <w:spacing w:after="0" w:line="3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Operating activities</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Investing activities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420"/>
        <w:spacing w:after="0"/>
        <w:tabs>
          <w:tab w:leader="none" w:pos="176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-5599430</wp:posOffset>
            </wp:positionH>
            <wp:positionV relativeFrom="paragraph">
              <wp:posOffset>2540</wp:posOffset>
            </wp:positionV>
            <wp:extent cx="7254875" cy="158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4875" cy="1587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both"/>
        <w:spacing w:after="0"/>
        <w:tabs>
          <w:tab w:leader="none" w:pos="340" w:val="left"/>
          <w:tab w:leader="none" w:pos="1360" w:val="left"/>
          <w:tab w:leader="none" w:pos="17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19,537,965</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18,197,327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-5599430</wp:posOffset>
            </wp:positionH>
            <wp:positionV relativeFrom="paragraph">
              <wp:posOffset>-110490</wp:posOffset>
            </wp:positionV>
            <wp:extent cx="7254875" cy="1289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4875" cy="128905"/>
                    </a:xfrm>
                    <a:prstGeom prst="rect">
                      <a:avLst/>
                    </a:prstGeom>
                    <a:noFill/>
                  </pic:spPr>
                </pic:pic>
              </a:graphicData>
            </a:graphic>
          </wp:anchor>
        </w:drawing>
      </w:r>
    </w:p>
    <w:p>
      <w:pPr>
        <w:spacing w:after="0" w:line="5" w:lineRule="exact"/>
        <w:rPr>
          <w:sz w:val="20"/>
          <w:szCs w:val="20"/>
          <w:color w:val="auto"/>
        </w:rPr>
      </w:pPr>
    </w:p>
    <w:p>
      <w:pPr>
        <w:jc w:val="both"/>
        <w:ind w:left="300"/>
        <w:spacing w:after="0"/>
        <w:tabs>
          <w:tab w:leader="none" w:pos="1660" w:val="left"/>
        </w:tabs>
        <w:rPr>
          <w:sz w:val="20"/>
          <w:szCs w:val="20"/>
          <w:color w:val="auto"/>
        </w:rPr>
      </w:pPr>
      <w:r>
        <w:rPr>
          <w:rFonts w:ascii="Arial" w:cs="Arial" w:eastAsia="Arial" w:hAnsi="Arial"/>
          <w:sz w:val="16"/>
          <w:szCs w:val="16"/>
          <w:color w:val="auto"/>
        </w:rPr>
        <w:t>(12,085,316)</w:t>
      </w:r>
      <w:r>
        <w:rPr>
          <w:sz w:val="20"/>
          <w:szCs w:val="20"/>
          <w:color w:val="auto"/>
        </w:rPr>
        <w:tab/>
      </w:r>
      <w:r>
        <w:rPr>
          <w:rFonts w:ascii="Arial" w:cs="Arial" w:eastAsia="Arial" w:hAnsi="Arial"/>
          <w:sz w:val="16"/>
          <w:szCs w:val="16"/>
          <w:color w:val="auto"/>
        </w:rPr>
        <w:t>(32,299,835)</w:t>
      </w:r>
    </w:p>
    <w:p>
      <w:pPr>
        <w:spacing w:after="0" w:line="39" w:lineRule="exact"/>
        <w:rPr>
          <w:sz w:val="20"/>
          <w:szCs w:val="20"/>
          <w:color w:val="auto"/>
        </w:rPr>
      </w:pPr>
    </w:p>
    <w:p>
      <w:pPr>
        <w:sectPr>
          <w:pgSz w:w="11900" w:h="16838" w:orient="portrait"/>
          <w:cols w:equalWidth="0" w:num="2">
            <w:col w:w="8100" w:space="720"/>
            <w:col w:w="2600"/>
          </w:cols>
          <w:pgMar w:left="240" w:top="536" w:right="239" w:bottom="1440" w:gutter="0" w:footer="0" w:header="0"/>
          <w:type w:val="continuous"/>
        </w:sectPr>
      </w:pPr>
    </w:p>
    <w:tbl>
      <w:tblPr>
        <w:tblLayout w:type="fixed"/>
        <w:tblInd w:w="0" w:type="dxa"/>
        <w:tblCellMar>
          <w:top w:w="0" w:type="dxa"/>
          <w:left w:w="0" w:type="dxa"/>
          <w:bottom w:w="0" w:type="dxa"/>
          <w:right w:w="0" w:type="dxa"/>
        </w:tblCellMar>
      </w:tblPr>
      <w:tr>
        <w:trPr>
          <w:trHeight w:val="185"/>
        </w:trPr>
        <w:tc>
          <w:tcPr>
            <w:tcW w:w="88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Financing activities</w:t>
            </w: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(2,952,002)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(4,385,449)</w:t>
            </w:r>
          </w:p>
        </w:tc>
      </w:tr>
      <w:tr>
        <w:trPr>
          <w:trHeight w:val="25"/>
        </w:trPr>
        <w:tc>
          <w:tcPr>
            <w:tcW w:w="88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03"/>
        </w:trPr>
        <w:tc>
          <w:tcPr>
            <w:tcW w:w="8820" w:type="dxa"/>
            <w:vAlign w:val="bottom"/>
          </w:tcPr>
          <w:p>
            <w:pPr>
              <w:ind w:left="40"/>
              <w:spacing w:after="0"/>
              <w:rPr>
                <w:sz w:val="20"/>
                <w:szCs w:val="20"/>
                <w:color w:val="auto"/>
              </w:rPr>
            </w:pPr>
            <w:r>
              <w:rPr>
                <w:rFonts w:ascii="Arial" w:cs="Arial" w:eastAsia="Arial" w:hAnsi="Arial"/>
                <w:sz w:val="16"/>
                <w:szCs w:val="16"/>
                <w:b w:val="1"/>
                <w:bCs w:val="1"/>
                <w:color w:val="auto"/>
              </w:rPr>
              <w:t>Net increase (decrease) in cash and cash equivalents</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4,500,647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(18,487,957)</w:t>
            </w:r>
          </w:p>
        </w:tc>
      </w:tr>
      <w:tr>
        <w:trPr>
          <w:trHeight w:val="203"/>
        </w:trPr>
        <w:tc>
          <w:tcPr>
            <w:tcW w:w="8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21,138,403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48,381,633</w:t>
            </w:r>
          </w:p>
        </w:tc>
      </w:tr>
      <w:tr>
        <w:trPr>
          <w:trHeight w:val="25"/>
        </w:trPr>
        <w:tc>
          <w:tcPr>
            <w:tcW w:w="88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03"/>
        </w:trPr>
        <w:tc>
          <w:tcPr>
            <w:tcW w:w="8820" w:type="dxa"/>
            <w:vAlign w:val="bottom"/>
          </w:tcPr>
          <w:p>
            <w:pPr>
              <w:ind w:left="40"/>
              <w:spacing w:after="0"/>
              <w:rPr>
                <w:sz w:val="20"/>
                <w:szCs w:val="20"/>
                <w:color w:val="auto"/>
              </w:rPr>
            </w:pPr>
            <w:r>
              <w:rPr>
                <w:rFonts w:ascii="Arial" w:cs="Arial" w:eastAsia="Arial" w:hAnsi="Arial"/>
                <w:sz w:val="16"/>
                <w:szCs w:val="16"/>
                <w:b w:val="1"/>
                <w:bCs w:val="1"/>
                <w:color w:val="auto"/>
              </w:rPr>
              <w:t>Cash and cash equivalents, end of period</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25,639,050</w:t>
            </w:r>
          </w:p>
        </w:tc>
        <w:tc>
          <w:tcPr>
            <w:tcW w:w="160" w:type="dxa"/>
            <w:vAlign w:val="bottom"/>
          </w:tcPr>
          <w:p>
            <w:pPr>
              <w:spacing w:after="0"/>
              <w:rPr>
                <w:sz w:val="17"/>
                <w:szCs w:val="17"/>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29,893,676</w:t>
            </w:r>
          </w:p>
        </w:tc>
      </w:tr>
      <w:tr>
        <w:trPr>
          <w:trHeight w:val="20"/>
        </w:trPr>
        <w:tc>
          <w:tcPr>
            <w:tcW w:w="8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firstLine="608"/>
        <w:spacing w:after="0" w:line="275" w:lineRule="auto"/>
        <w:rPr>
          <w:sz w:val="20"/>
          <w:szCs w:val="20"/>
          <w:color w:val="auto"/>
        </w:rPr>
      </w:pPr>
      <w:r>
        <w:rPr>
          <w:rFonts w:ascii="Arial" w:cs="Arial" w:eastAsia="Arial" w:hAnsi="Arial"/>
          <w:sz w:val="16"/>
          <w:szCs w:val="16"/>
          <w:color w:val="auto"/>
        </w:rPr>
        <w:t>Net cash provided by operating activities was $19,538,000 in Nine Months 2019 as compared to $18,197,000 provided in Nine Months 2018. The $1,341,000 increase in cash flows provided by operating activities in Nine Months 2019 was primarily a result of an increase in cash arising from net fluctuations in assets and liabilities, partially offset by a decrease in net income (adjusted for non-cash items) of $16,409,000. The net fluctuations in assets and liabilities are related to operating activities of KICO as affected by the growth in its operations which are described above.</w:t>
      </w:r>
    </w:p>
    <w:p>
      <w:pPr>
        <w:spacing w:after="0" w:line="107" w:lineRule="exact"/>
        <w:rPr>
          <w:sz w:val="20"/>
          <w:szCs w:val="20"/>
          <w:color w:val="auto"/>
        </w:rPr>
      </w:pPr>
    </w:p>
    <w:p>
      <w:pPr>
        <w:jc w:val="both"/>
        <w:ind w:firstLine="608"/>
        <w:spacing w:after="0" w:line="280" w:lineRule="auto"/>
        <w:rPr>
          <w:sz w:val="20"/>
          <w:szCs w:val="20"/>
          <w:color w:val="auto"/>
        </w:rPr>
      </w:pPr>
      <w:r>
        <w:rPr>
          <w:rFonts w:ascii="Arial" w:cs="Arial" w:eastAsia="Arial" w:hAnsi="Arial"/>
          <w:sz w:val="16"/>
          <w:szCs w:val="16"/>
          <w:color w:val="auto"/>
        </w:rPr>
        <w:t>Net cash used in investing activities was $12,085,000 in Nine Months 2019 compared to $32,300,000 used in Nine Months 2018. The $20,215,000 decrease in net cash used in investing activities was the result of a $32,284,000 decrease in acquisitions of invested assets, partially offset by a $10,882,000 decrease in sales or maturities of invested assets and a $1,187,000 increase in fixed asset acquisitions in Nine Months 2019.</w:t>
      </w:r>
    </w:p>
    <w:p>
      <w:pPr>
        <w:spacing w:after="0" w:line="103" w:lineRule="exact"/>
        <w:rPr>
          <w:sz w:val="20"/>
          <w:szCs w:val="20"/>
          <w:color w:val="auto"/>
        </w:rPr>
      </w:pPr>
    </w:p>
    <w:p>
      <w:pPr>
        <w:jc w:val="both"/>
        <w:ind w:firstLine="608"/>
        <w:spacing w:after="0" w:line="280" w:lineRule="auto"/>
        <w:rPr>
          <w:sz w:val="20"/>
          <w:szCs w:val="20"/>
          <w:color w:val="auto"/>
        </w:rPr>
      </w:pPr>
      <w:r>
        <w:rPr>
          <w:rFonts w:ascii="Arial" w:cs="Arial" w:eastAsia="Arial" w:hAnsi="Arial"/>
          <w:sz w:val="16"/>
          <w:szCs w:val="16"/>
          <w:color w:val="auto"/>
        </w:rPr>
        <w:t>Net cash used in financing activities was $2,952,000 in Nine Months 2019 compared to $4,385,000 used in Nine Months 2018. The $1,433,000 decrease in net cash used in financing activities was attributable to higher dividends and withholding taxes paid on net exercises of stock options paid in the prior year and a purchase of $540,000 in treasury stock in Nine Months 2018 as compared to none in Nine Months 2019.</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16"/>
          <w:szCs w:val="16"/>
          <w:b w:val="1"/>
          <w:bCs w:val="1"/>
          <w:color w:val="auto"/>
        </w:rPr>
        <w:t>Reinsurance</w:t>
      </w:r>
    </w:p>
    <w:p>
      <w:pPr>
        <w:spacing w:after="0" w:line="162" w:lineRule="exact"/>
        <w:rPr>
          <w:sz w:val="20"/>
          <w:szCs w:val="20"/>
          <w:color w:val="auto"/>
        </w:rPr>
      </w:pPr>
    </w:p>
    <w:p>
      <w:pPr>
        <w:jc w:val="both"/>
        <w:ind w:firstLine="608"/>
        <w:spacing w:after="0" w:line="296" w:lineRule="auto"/>
        <w:rPr>
          <w:sz w:val="20"/>
          <w:szCs w:val="20"/>
          <w:color w:val="auto"/>
        </w:rPr>
      </w:pPr>
      <w:r>
        <w:rPr>
          <w:rFonts w:ascii="Arial" w:cs="Arial" w:eastAsia="Arial" w:hAnsi="Arial"/>
          <w:sz w:val="16"/>
          <w:szCs w:val="16"/>
          <w:color w:val="auto"/>
        </w:rPr>
        <w:t>Our quota share reinsurance treaties are on a July 1 through June 30 fiscal year basis; therefore, for year to date fiscal periods after June 30, two separate treaties will be included in such periods.</w:t>
      </w:r>
    </w:p>
    <w:p>
      <w:pPr>
        <w:spacing w:after="0" w:line="154" w:lineRule="exact"/>
        <w:rPr>
          <w:sz w:val="20"/>
          <w:szCs w:val="20"/>
          <w:color w:val="auto"/>
        </w:rPr>
      </w:pPr>
    </w:p>
    <w:p>
      <w:pPr>
        <w:jc w:val="both"/>
        <w:ind w:firstLine="608"/>
        <w:spacing w:after="0" w:line="272" w:lineRule="auto"/>
        <w:rPr>
          <w:sz w:val="20"/>
          <w:szCs w:val="20"/>
          <w:color w:val="auto"/>
        </w:rPr>
      </w:pPr>
      <w:r>
        <w:rPr>
          <w:rFonts w:ascii="Arial" w:cs="Arial" w:eastAsia="Arial" w:hAnsi="Arial"/>
          <w:sz w:val="16"/>
          <w:szCs w:val="16"/>
          <w:color w:val="auto"/>
        </w:rPr>
        <w:t>Our quota share reinsurance treaties in effect during the nine months ended September 30, 2019 and 2018 for our personal lines business, which primarily consists of homeowners’ policies, were covered under a treaty covering a two-year period from July 1, 2017 through June 30, 2019 (“2017/2019 Treaty”). The treaty in effect during the nine months ended September 30, 2019 was covered under the July 1, 2018 through June 30, 2019 treaty year (“2018/2019 Treaty Year”). The treaty in effect during the nine months ended September 30, 2018 was covered under the July 1, 2017 through June 30, 2018 treaty year (“2017/2018 Treaty Year”) and the 2018/2019 Treaty Year that began on July 1, 2018.</w:t>
      </w:r>
    </w:p>
    <w:p>
      <w:pPr>
        <w:spacing w:after="0" w:line="173" w:lineRule="exact"/>
        <w:rPr>
          <w:sz w:val="20"/>
          <w:szCs w:val="20"/>
          <w:color w:val="auto"/>
        </w:rPr>
      </w:pPr>
    </w:p>
    <w:p>
      <w:pPr>
        <w:jc w:val="both"/>
        <w:ind w:firstLine="608"/>
        <w:spacing w:after="0" w:line="296" w:lineRule="auto"/>
        <w:rPr>
          <w:sz w:val="20"/>
          <w:szCs w:val="20"/>
          <w:color w:val="auto"/>
        </w:rPr>
      </w:pPr>
      <w:r>
        <w:rPr>
          <w:rFonts w:ascii="Arial" w:cs="Arial" w:eastAsia="Arial" w:hAnsi="Arial"/>
          <w:sz w:val="16"/>
          <w:szCs w:val="16"/>
          <w:color w:val="auto"/>
        </w:rPr>
        <w:t>In August 2018, we terminated our contract with one of the reinsurers that was a party to the 2017/2019 Treaty. This termination was retroactive to July 1, 2018 and had the effect of reducing the quota share ceding rate to 10% under the 2018/2019 Treaty Year from 20% under the 2017/2018 Treaty Year.</w:t>
      </w:r>
    </w:p>
    <w:p>
      <w:pPr>
        <w:spacing w:after="0" w:line="154" w:lineRule="exact"/>
        <w:rPr>
          <w:sz w:val="20"/>
          <w:szCs w:val="20"/>
          <w:color w:val="auto"/>
        </w:rPr>
      </w:pPr>
    </w:p>
    <w:p>
      <w:pPr>
        <w:jc w:val="both"/>
        <w:ind w:firstLine="608"/>
        <w:spacing w:after="0" w:line="373" w:lineRule="auto"/>
        <w:rPr>
          <w:sz w:val="20"/>
          <w:szCs w:val="20"/>
          <w:color w:val="auto"/>
        </w:rPr>
      </w:pPr>
      <w:r>
        <w:rPr>
          <w:rFonts w:ascii="Arial" w:cs="Arial" w:eastAsia="Arial" w:hAnsi="Arial"/>
          <w:sz w:val="14"/>
          <w:szCs w:val="14"/>
          <w:color w:val="auto"/>
        </w:rPr>
        <w:t>Effective July 1, 2019, our 2017/2019 Treaty and commercial umbrella treaty expired on a run-off basis; these treaties were not renewed. We entered into new excess of loss and catastrophe reinsurance treaties effective July 1, 2019. Material terms for our reinsurance treaties in effect for the treaty years shown below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right"/>
              <w:ind w:right="600"/>
              <w:spacing w:after="0"/>
              <w:rPr>
                <w:sz w:val="20"/>
                <w:szCs w:val="20"/>
                <w:color w:val="auto"/>
              </w:rPr>
            </w:pPr>
            <w:r>
              <w:rPr>
                <w:rFonts w:ascii="Arial" w:cs="Arial" w:eastAsia="Arial" w:hAnsi="Arial"/>
                <w:sz w:val="14"/>
                <w:szCs w:val="14"/>
                <w:b w:val="1"/>
                <w:bCs w:val="1"/>
                <w:color w:val="auto"/>
                <w:w w:val="96"/>
              </w:rPr>
              <w:t>Treaty Year</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July 1, 2019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July 1, 2018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8"/>
              </w:rPr>
              <w:t>July 1, 2017</w:t>
            </w:r>
          </w:p>
        </w:tc>
        <w:tc>
          <w:tcPr>
            <w:tcW w:w="0" w:type="dxa"/>
            <w:vAlign w:val="bottom"/>
          </w:tcPr>
          <w:p>
            <w:pPr>
              <w:spacing w:after="0"/>
              <w:rPr>
                <w:sz w:val="1"/>
                <w:szCs w:val="1"/>
                <w:color w:val="auto"/>
              </w:rPr>
            </w:pPr>
          </w:p>
        </w:tc>
      </w:tr>
      <w:tr>
        <w:trPr>
          <w:trHeight w:val="228"/>
        </w:trPr>
        <w:tc>
          <w:tcPr>
            <w:tcW w:w="6780" w:type="dxa"/>
            <w:vAlign w:val="bottom"/>
            <w:gridSpan w:val="4"/>
            <w:vMerge w:val="restart"/>
          </w:tcPr>
          <w:p>
            <w:pPr>
              <w:ind w:left="40"/>
              <w:spacing w:after="0"/>
              <w:rPr>
                <w:sz w:val="20"/>
                <w:szCs w:val="20"/>
                <w:color w:val="auto"/>
              </w:rPr>
            </w:pPr>
            <w:r>
              <w:rPr>
                <w:rFonts w:ascii="Arial" w:cs="Arial" w:eastAsia="Arial" w:hAnsi="Arial"/>
                <w:sz w:val="16"/>
                <w:szCs w:val="16"/>
                <w:b w:val="1"/>
                <w:bCs w:val="1"/>
                <w:color w:val="auto"/>
              </w:rPr>
              <w:t>Line of Busines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to</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to</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75"/>
              </w:rPr>
              <w:t>to</w:t>
            </w:r>
          </w:p>
        </w:tc>
        <w:tc>
          <w:tcPr>
            <w:tcW w:w="0" w:type="dxa"/>
            <w:vAlign w:val="bottom"/>
          </w:tcPr>
          <w:p>
            <w:pPr>
              <w:spacing w:after="0"/>
              <w:rPr>
                <w:sz w:val="1"/>
                <w:szCs w:val="1"/>
                <w:color w:val="auto"/>
              </w:rPr>
            </w:pPr>
          </w:p>
        </w:tc>
      </w:tr>
      <w:tr>
        <w:trPr>
          <w:trHeight w:val="217"/>
        </w:trPr>
        <w:tc>
          <w:tcPr>
            <w:tcW w:w="6780" w:type="dxa"/>
            <w:vAlign w:val="bottom"/>
            <w:gridSpan w:val="4"/>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June 30, 2020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June 30, 2019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0"/>
              </w:rPr>
              <w:t>June 30, 2018</w:t>
            </w:r>
          </w:p>
        </w:tc>
        <w:tc>
          <w:tcPr>
            <w:tcW w:w="0" w:type="dxa"/>
            <w:vAlign w:val="bottom"/>
          </w:tcPr>
          <w:p>
            <w:pPr>
              <w:spacing w:after="0"/>
              <w:rPr>
                <w:sz w:val="1"/>
                <w:szCs w:val="1"/>
                <w:color w:val="auto"/>
              </w:rPr>
            </w:pPr>
          </w:p>
        </w:tc>
      </w:tr>
      <w:tr>
        <w:trPr>
          <w:trHeight w:val="418"/>
        </w:trPr>
        <w:tc>
          <w:tcPr>
            <w:tcW w:w="6780" w:type="dxa"/>
            <w:vAlign w:val="bottom"/>
            <w:gridSpan w:val="4"/>
          </w:tcPr>
          <w:p>
            <w:pPr>
              <w:spacing w:after="0"/>
              <w:rPr>
                <w:sz w:val="20"/>
                <w:szCs w:val="20"/>
                <w:color w:val="auto"/>
              </w:rPr>
            </w:pPr>
            <w:r>
              <w:rPr>
                <w:rFonts w:ascii="Arial" w:cs="Arial" w:eastAsia="Arial" w:hAnsi="Arial"/>
                <w:sz w:val="16"/>
                <w:szCs w:val="16"/>
                <w:color w:val="auto"/>
              </w:rPr>
              <w:t>Personal Lines:</w:t>
            </w:r>
          </w:p>
        </w:tc>
        <w:tc>
          <w:tcPr>
            <w:tcW w:w="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780" w:type="dxa"/>
            <w:vAlign w:val="bottom"/>
            <w:gridSpan w:val="4"/>
          </w:tcPr>
          <w:p>
            <w:pPr>
              <w:spacing w:after="0"/>
              <w:rPr>
                <w:sz w:val="20"/>
                <w:szCs w:val="20"/>
                <w:color w:val="auto"/>
              </w:rPr>
            </w:pPr>
            <w:r>
              <w:rPr>
                <w:rFonts w:ascii="Arial" w:cs="Arial" w:eastAsia="Arial" w:hAnsi="Arial"/>
                <w:sz w:val="16"/>
                <w:szCs w:val="16"/>
                <w:color w:val="auto"/>
              </w:rPr>
              <w:t>Homeowners, dwelling fire and canine legal liability</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780" w:type="dxa"/>
            <w:vAlign w:val="bottom"/>
            <w:gridSpan w:val="4"/>
          </w:tcPr>
          <w:p>
            <w:pPr>
              <w:ind w:left="40"/>
              <w:spacing w:after="0"/>
              <w:rPr>
                <w:sz w:val="20"/>
                <w:szCs w:val="20"/>
                <w:color w:val="auto"/>
              </w:rPr>
            </w:pPr>
            <w:r>
              <w:rPr>
                <w:rFonts w:ascii="Arial" w:cs="Arial" w:eastAsia="Arial" w:hAnsi="Arial"/>
                <w:sz w:val="16"/>
                <w:szCs w:val="16"/>
                <w:color w:val="auto"/>
              </w:rPr>
              <w:t>Quota share treaty:</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678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Percent ceded</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center"/>
              <w:ind w:right="440"/>
              <w:spacing w:after="0"/>
              <w:rPr>
                <w:sz w:val="20"/>
                <w:szCs w:val="20"/>
                <w:color w:val="auto"/>
              </w:rPr>
            </w:pPr>
            <w:r>
              <w:rPr>
                <w:rFonts w:ascii="Arial" w:cs="Arial" w:eastAsia="Arial" w:hAnsi="Arial"/>
                <w:sz w:val="16"/>
                <w:szCs w:val="16"/>
                <w:color w:val="auto"/>
                <w:w w:val="94"/>
              </w:rPr>
              <w:t>None</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3"/>
        </w:trPr>
        <w:tc>
          <w:tcPr>
            <w:tcW w:w="6780" w:type="dxa"/>
            <w:vAlign w:val="bottom"/>
            <w:gridSpan w:val="4"/>
          </w:tcPr>
          <w:p>
            <w:pPr>
              <w:ind w:left="40"/>
              <w:spacing w:after="0"/>
              <w:rPr>
                <w:sz w:val="20"/>
                <w:szCs w:val="20"/>
                <w:color w:val="auto"/>
              </w:rPr>
            </w:pPr>
            <w:r>
              <w:rPr>
                <w:rFonts w:ascii="Arial" w:cs="Arial" w:eastAsia="Arial" w:hAnsi="Arial"/>
                <w:sz w:val="16"/>
                <w:szCs w:val="16"/>
                <w:color w:val="auto"/>
              </w:rPr>
              <w:t>Risk retained</w:t>
            </w:r>
          </w:p>
        </w:tc>
        <w:tc>
          <w:tcPr>
            <w:tcW w:w="16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1,000,000</w:t>
            </w: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900,000</w:t>
            </w: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800,000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Losses per occurrence subject to quota share reinsurance coverage</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center"/>
              <w:ind w:right="280"/>
              <w:spacing w:after="0"/>
              <w:rPr>
                <w:sz w:val="20"/>
                <w:szCs w:val="20"/>
                <w:color w:val="auto"/>
              </w:rPr>
            </w:pPr>
            <w:r>
              <w:rPr>
                <w:rFonts w:ascii="Arial" w:cs="Arial" w:eastAsia="Arial" w:hAnsi="Arial"/>
                <w:sz w:val="16"/>
                <w:szCs w:val="16"/>
                <w:color w:val="auto"/>
                <w:w w:val="94"/>
              </w:rPr>
              <w:t>None</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1,000,000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1,000,000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gridSpan w:val="4"/>
          </w:tcPr>
          <w:p>
            <w:pPr>
              <w:ind w:left="40"/>
              <w:spacing w:after="0"/>
              <w:rPr>
                <w:sz w:val="20"/>
                <w:szCs w:val="20"/>
                <w:color w:val="auto"/>
              </w:rPr>
            </w:pPr>
            <w:r>
              <w:rPr>
                <w:rFonts w:ascii="Arial" w:cs="Arial" w:eastAsia="Arial" w:hAnsi="Arial"/>
                <w:sz w:val="16"/>
                <w:szCs w:val="16"/>
                <w:color w:val="auto"/>
              </w:rPr>
              <w:t>Excess of loss coverage and facultative facility above quota share coverage (1)</w:t>
            </w:r>
          </w:p>
        </w:tc>
        <w:tc>
          <w:tcPr>
            <w:tcW w:w="16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10,000,000</w:t>
            </w: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9,000,000</w:t>
            </w: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9,000,000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center"/>
              <w:ind w:right="300"/>
              <w:spacing w:after="0"/>
              <w:rPr>
                <w:sz w:val="20"/>
                <w:szCs w:val="20"/>
                <w:color w:val="auto"/>
              </w:rPr>
            </w:pPr>
            <w:r>
              <w:rPr>
                <w:rFonts w:ascii="Arial" w:cs="Arial" w:eastAsia="Arial" w:hAnsi="Arial"/>
                <w:sz w:val="16"/>
                <w:szCs w:val="16"/>
                <w:color w:val="auto"/>
                <w:w w:val="92"/>
              </w:rPr>
              <w:t>in excess of</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jc w:val="center"/>
              <w:ind w:right="220"/>
              <w:spacing w:after="0"/>
              <w:rPr>
                <w:sz w:val="20"/>
                <w:szCs w:val="20"/>
                <w:color w:val="auto"/>
              </w:rPr>
            </w:pPr>
            <w:r>
              <w:rPr>
                <w:rFonts w:ascii="Arial" w:cs="Arial" w:eastAsia="Arial" w:hAnsi="Arial"/>
                <w:sz w:val="16"/>
                <w:szCs w:val="16"/>
                <w:color w:val="auto"/>
                <w:w w:val="92"/>
              </w:rPr>
              <w:t>in excess of</w:t>
            </w:r>
          </w:p>
        </w:tc>
        <w:tc>
          <w:tcPr>
            <w:tcW w:w="0" w:type="dxa"/>
            <w:vAlign w:val="bottom"/>
          </w:tcPr>
          <w:p>
            <w:pPr>
              <w:spacing w:after="0"/>
              <w:rPr>
                <w:sz w:val="1"/>
                <w:szCs w:val="1"/>
                <w:color w:val="auto"/>
              </w:rPr>
            </w:pPr>
          </w:p>
        </w:tc>
      </w:tr>
      <w:tr>
        <w:trPr>
          <w:trHeight w:val="227"/>
        </w:trPr>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1,000,000</w:t>
            </w: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1,000,000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678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Total reinsurance coverage per occurrence</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9,000,000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9,100,000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9,200,000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gridSpan w:val="4"/>
          </w:tcPr>
          <w:p>
            <w:pPr>
              <w:ind w:left="40"/>
              <w:spacing w:after="0"/>
              <w:rPr>
                <w:sz w:val="20"/>
                <w:szCs w:val="20"/>
                <w:color w:val="auto"/>
              </w:rPr>
            </w:pPr>
            <w:r>
              <w:rPr>
                <w:rFonts w:ascii="Arial" w:cs="Arial" w:eastAsia="Arial" w:hAnsi="Arial"/>
                <w:sz w:val="16"/>
                <w:szCs w:val="16"/>
                <w:color w:val="auto"/>
              </w:rPr>
              <w:t>Losses per occurrence subject to reinsurance coverage</w:t>
            </w:r>
          </w:p>
        </w:tc>
        <w:tc>
          <w:tcPr>
            <w:tcW w:w="16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10,000,000</w:t>
            </w: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10,000,000</w:t>
            </w: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10,000,000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678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Expiration date</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center"/>
              <w:ind w:right="280"/>
              <w:spacing w:after="0"/>
              <w:rPr>
                <w:sz w:val="20"/>
                <w:szCs w:val="20"/>
                <w:color w:val="auto"/>
              </w:rPr>
            </w:pPr>
            <w:r>
              <w:rPr>
                <w:rFonts w:ascii="Arial" w:cs="Arial" w:eastAsia="Arial" w:hAnsi="Arial"/>
                <w:sz w:val="16"/>
                <w:szCs w:val="16"/>
                <w:color w:val="auto"/>
                <w:w w:val="90"/>
              </w:rPr>
              <w:t>June 30, 2020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center"/>
              <w:ind w:right="280"/>
              <w:spacing w:after="0"/>
              <w:rPr>
                <w:sz w:val="20"/>
                <w:szCs w:val="20"/>
                <w:color w:val="auto"/>
              </w:rPr>
            </w:pPr>
            <w:r>
              <w:rPr>
                <w:rFonts w:ascii="Arial" w:cs="Arial" w:eastAsia="Arial" w:hAnsi="Arial"/>
                <w:sz w:val="16"/>
                <w:szCs w:val="16"/>
                <w:color w:val="auto"/>
                <w:w w:val="90"/>
              </w:rPr>
              <w:t>June 30, 2019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center"/>
              <w:ind w:right="240"/>
              <w:spacing w:after="0"/>
              <w:rPr>
                <w:sz w:val="20"/>
                <w:szCs w:val="20"/>
                <w:color w:val="auto"/>
              </w:rPr>
            </w:pPr>
            <w:r>
              <w:rPr>
                <w:rFonts w:ascii="Arial" w:cs="Arial" w:eastAsia="Arial" w:hAnsi="Arial"/>
                <w:sz w:val="16"/>
                <w:szCs w:val="16"/>
                <w:color w:val="auto"/>
                <w:w w:val="90"/>
              </w:rPr>
              <w:t>June 30, 2018</w:t>
            </w: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Personal Umbrella</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gridSpan w:val="4"/>
          </w:tcPr>
          <w:p>
            <w:pPr>
              <w:ind w:left="40"/>
              <w:spacing w:after="0"/>
              <w:rPr>
                <w:sz w:val="20"/>
                <w:szCs w:val="20"/>
                <w:color w:val="auto"/>
              </w:rPr>
            </w:pPr>
            <w:r>
              <w:rPr>
                <w:rFonts w:ascii="Arial" w:cs="Arial" w:eastAsia="Arial" w:hAnsi="Arial"/>
                <w:sz w:val="16"/>
                <w:szCs w:val="16"/>
                <w:color w:val="auto"/>
              </w:rPr>
              <w:t>Quota share treaty:</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Percent ceded - first $1,000,000 of coverage</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03"/>
        </w:trPr>
        <w:tc>
          <w:tcPr>
            <w:tcW w:w="6780" w:type="dxa"/>
            <w:vAlign w:val="bottom"/>
            <w:gridSpan w:val="4"/>
          </w:tcPr>
          <w:p>
            <w:pPr>
              <w:ind w:left="40"/>
              <w:spacing w:after="0"/>
              <w:rPr>
                <w:sz w:val="20"/>
                <w:szCs w:val="20"/>
                <w:color w:val="auto"/>
              </w:rPr>
            </w:pPr>
            <w:r>
              <w:rPr>
                <w:rFonts w:ascii="Arial" w:cs="Arial" w:eastAsia="Arial" w:hAnsi="Arial"/>
                <w:sz w:val="16"/>
                <w:szCs w:val="16"/>
                <w:color w:val="auto"/>
              </w:rPr>
              <w:t>Percent ceded - excess of $1,000,000 dollars of coverage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3"/>
        </w:trPr>
        <w:tc>
          <w:tcPr>
            <w:tcW w:w="678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Risk retained</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100,000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100,000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100,000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gridSpan w:val="4"/>
          </w:tcPr>
          <w:p>
            <w:pPr>
              <w:ind w:left="40"/>
              <w:spacing w:after="0"/>
              <w:rPr>
                <w:sz w:val="20"/>
                <w:szCs w:val="20"/>
                <w:color w:val="auto"/>
              </w:rPr>
            </w:pPr>
            <w:r>
              <w:rPr>
                <w:rFonts w:ascii="Arial" w:cs="Arial" w:eastAsia="Arial" w:hAnsi="Arial"/>
                <w:sz w:val="16"/>
                <w:szCs w:val="16"/>
                <w:color w:val="auto"/>
              </w:rPr>
              <w:t>Total reinsurance coverage per occurrence</w:t>
            </w:r>
          </w:p>
        </w:tc>
        <w:tc>
          <w:tcPr>
            <w:tcW w:w="16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4,900,000</w:t>
            </w: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4,900,000</w:t>
            </w: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4,900,000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Losses per occurrence subject to quota share reinsurance coverage</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5,000,000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5,000,000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5,000,000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6780" w:type="dxa"/>
            <w:vAlign w:val="bottom"/>
            <w:gridSpan w:val="4"/>
          </w:tcPr>
          <w:p>
            <w:pPr>
              <w:ind w:left="40"/>
              <w:spacing w:after="0"/>
              <w:rPr>
                <w:sz w:val="20"/>
                <w:szCs w:val="20"/>
                <w:color w:val="auto"/>
              </w:rPr>
            </w:pPr>
            <w:r>
              <w:rPr>
                <w:rFonts w:ascii="Arial" w:cs="Arial" w:eastAsia="Arial" w:hAnsi="Arial"/>
                <w:sz w:val="16"/>
                <w:szCs w:val="16"/>
                <w:color w:val="auto"/>
              </w:rPr>
              <w:t>Expiration date</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6"/>
                <w:szCs w:val="16"/>
                <w:color w:val="auto"/>
                <w:w w:val="90"/>
              </w:rPr>
              <w:t>June 30, 2020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6"/>
                <w:szCs w:val="16"/>
                <w:color w:val="auto"/>
                <w:w w:val="90"/>
              </w:rPr>
              <w:t>June 30, 2019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3"/>
          </w:tcPr>
          <w:p>
            <w:pPr>
              <w:jc w:val="center"/>
              <w:ind w:right="240"/>
              <w:spacing w:after="0"/>
              <w:rPr>
                <w:sz w:val="20"/>
                <w:szCs w:val="20"/>
                <w:color w:val="auto"/>
              </w:rPr>
            </w:pPr>
            <w:r>
              <w:rPr>
                <w:rFonts w:ascii="Arial" w:cs="Arial" w:eastAsia="Arial" w:hAnsi="Arial"/>
                <w:sz w:val="16"/>
                <w:szCs w:val="16"/>
                <w:color w:val="auto"/>
                <w:w w:val="90"/>
              </w:rPr>
              <w:t>June 30, 2018</w:t>
            </w:r>
          </w:p>
        </w:tc>
        <w:tc>
          <w:tcPr>
            <w:tcW w:w="0" w:type="dxa"/>
            <w:vAlign w:val="bottom"/>
          </w:tcPr>
          <w:p>
            <w:pPr>
              <w:spacing w:after="0"/>
              <w:rPr>
                <w:sz w:val="1"/>
                <w:szCs w:val="1"/>
                <w:color w:val="auto"/>
              </w:rPr>
            </w:pPr>
          </w:p>
        </w:tc>
      </w:tr>
      <w:tr>
        <w:trPr>
          <w:trHeight w:val="204"/>
        </w:trPr>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6780" w:type="dxa"/>
            <w:vAlign w:val="bottom"/>
            <w:gridSpan w:val="4"/>
          </w:tcPr>
          <w:p>
            <w:pPr>
              <w:spacing w:after="0" w:line="165" w:lineRule="exact"/>
              <w:rPr>
                <w:sz w:val="20"/>
                <w:szCs w:val="20"/>
                <w:color w:val="auto"/>
              </w:rPr>
            </w:pPr>
            <w:r>
              <w:rPr>
                <w:rFonts w:ascii="Arial" w:cs="Arial" w:eastAsia="Arial" w:hAnsi="Arial"/>
                <w:sz w:val="16"/>
                <w:szCs w:val="16"/>
                <w:color w:val="auto"/>
              </w:rPr>
              <w:t>Commercial Lines: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10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78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General liability commercial policies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780" w:type="dxa"/>
            <w:vAlign w:val="bottom"/>
            <w:gridSpan w:val="4"/>
          </w:tcPr>
          <w:p>
            <w:pPr>
              <w:ind w:left="40"/>
              <w:spacing w:after="0"/>
              <w:rPr>
                <w:sz w:val="20"/>
                <w:szCs w:val="20"/>
                <w:color w:val="auto"/>
              </w:rPr>
            </w:pPr>
            <w:r>
              <w:rPr>
                <w:rFonts w:ascii="Arial" w:cs="Arial" w:eastAsia="Arial" w:hAnsi="Arial"/>
                <w:sz w:val="16"/>
                <w:szCs w:val="16"/>
                <w:color w:val="auto"/>
              </w:rPr>
              <w:t>Quota share treaty</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6"/>
                <w:szCs w:val="16"/>
                <w:color w:val="auto"/>
                <w:w w:val="94"/>
              </w:rPr>
              <w:t>None</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6"/>
                <w:szCs w:val="16"/>
                <w:color w:val="auto"/>
                <w:w w:val="94"/>
              </w:rPr>
              <w:t>None</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3"/>
          </w:tcPr>
          <w:p>
            <w:pPr>
              <w:jc w:val="center"/>
              <w:ind w:right="220"/>
              <w:spacing w:after="0"/>
              <w:rPr>
                <w:sz w:val="20"/>
                <w:szCs w:val="20"/>
                <w:color w:val="auto"/>
              </w:rPr>
            </w:pPr>
            <w:r>
              <w:rPr>
                <w:rFonts w:ascii="Arial" w:cs="Arial" w:eastAsia="Arial" w:hAnsi="Arial"/>
                <w:sz w:val="16"/>
                <w:szCs w:val="16"/>
                <w:color w:val="auto"/>
                <w:w w:val="88"/>
              </w:rPr>
              <w:t>None</w:t>
            </w:r>
          </w:p>
        </w:tc>
        <w:tc>
          <w:tcPr>
            <w:tcW w:w="0" w:type="dxa"/>
            <w:vAlign w:val="bottom"/>
          </w:tcPr>
          <w:p>
            <w:pPr>
              <w:spacing w:after="0"/>
              <w:rPr>
                <w:sz w:val="1"/>
                <w:szCs w:val="1"/>
                <w:color w:val="auto"/>
              </w:rPr>
            </w:pPr>
          </w:p>
        </w:tc>
      </w:tr>
      <w:tr>
        <w:trPr>
          <w:trHeight w:val="204"/>
        </w:trPr>
        <w:tc>
          <w:tcPr>
            <w:tcW w:w="678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Risk retained</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750,000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750,000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750,000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gridSpan w:val="4"/>
          </w:tcPr>
          <w:p>
            <w:pPr>
              <w:ind w:left="40"/>
              <w:spacing w:after="0"/>
              <w:rPr>
                <w:sz w:val="20"/>
                <w:szCs w:val="20"/>
                <w:color w:val="auto"/>
              </w:rPr>
            </w:pPr>
            <w:r>
              <w:rPr>
                <w:rFonts w:ascii="Arial" w:cs="Arial" w:eastAsia="Arial" w:hAnsi="Arial"/>
                <w:sz w:val="16"/>
                <w:szCs w:val="16"/>
                <w:color w:val="auto"/>
              </w:rPr>
              <w:t>Excess of loss coverage above risk retained</w:t>
            </w:r>
          </w:p>
        </w:tc>
        <w:tc>
          <w:tcPr>
            <w:tcW w:w="16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3,750,000</w:t>
            </w: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3,750,000</w:t>
            </w: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3,750,000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center"/>
              <w:ind w:right="460"/>
              <w:spacing w:after="0"/>
              <w:rPr>
                <w:sz w:val="20"/>
                <w:szCs w:val="20"/>
                <w:color w:val="auto"/>
              </w:rPr>
            </w:pPr>
            <w:r>
              <w:rPr>
                <w:rFonts w:ascii="Arial" w:cs="Arial" w:eastAsia="Arial" w:hAnsi="Arial"/>
                <w:sz w:val="16"/>
                <w:szCs w:val="16"/>
                <w:color w:val="auto"/>
                <w:w w:val="92"/>
              </w:rPr>
              <w:t>in excess of</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center"/>
              <w:ind w:right="300"/>
              <w:spacing w:after="0"/>
              <w:rPr>
                <w:sz w:val="20"/>
                <w:szCs w:val="20"/>
                <w:color w:val="auto"/>
              </w:rPr>
            </w:pPr>
            <w:r>
              <w:rPr>
                <w:rFonts w:ascii="Arial" w:cs="Arial" w:eastAsia="Arial" w:hAnsi="Arial"/>
                <w:sz w:val="16"/>
                <w:szCs w:val="16"/>
                <w:color w:val="auto"/>
                <w:w w:val="92"/>
              </w:rPr>
              <w:t>in excess of</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jc w:val="center"/>
              <w:ind w:right="220"/>
              <w:spacing w:after="0"/>
              <w:rPr>
                <w:sz w:val="20"/>
                <w:szCs w:val="20"/>
                <w:color w:val="auto"/>
              </w:rPr>
            </w:pPr>
            <w:r>
              <w:rPr>
                <w:rFonts w:ascii="Arial" w:cs="Arial" w:eastAsia="Arial" w:hAnsi="Arial"/>
                <w:sz w:val="16"/>
                <w:szCs w:val="16"/>
                <w:color w:val="auto"/>
                <w:w w:val="92"/>
              </w:rPr>
              <w:t>in excess of</w:t>
            </w: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750,000</w:t>
            </w: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750,000</w:t>
            </w: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750,000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Total reinsurance coverage per occurrence</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3,750,000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3,750,000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3,750,000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gridSpan w:val="4"/>
          </w:tcPr>
          <w:p>
            <w:pPr>
              <w:ind w:left="40"/>
              <w:spacing w:after="0"/>
              <w:rPr>
                <w:sz w:val="20"/>
                <w:szCs w:val="20"/>
                <w:color w:val="auto"/>
              </w:rPr>
            </w:pPr>
            <w:r>
              <w:rPr>
                <w:rFonts w:ascii="Arial" w:cs="Arial" w:eastAsia="Arial" w:hAnsi="Arial"/>
                <w:sz w:val="16"/>
                <w:szCs w:val="16"/>
                <w:color w:val="auto"/>
              </w:rPr>
              <w:t>Losses per occurrence subject to reinsurance coverage</w:t>
            </w:r>
          </w:p>
        </w:tc>
        <w:tc>
          <w:tcPr>
            <w:tcW w:w="16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4,500,000</w:t>
            </w: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4,500,000</w:t>
            </w: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4,500,000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gridSpan w:val="4"/>
          </w:tcPr>
          <w:p>
            <w:pPr>
              <w:ind w:left="40"/>
              <w:spacing w:after="0"/>
              <w:rPr>
                <w:sz w:val="20"/>
                <w:szCs w:val="20"/>
                <w:color w:val="auto"/>
              </w:rPr>
            </w:pPr>
            <w:r>
              <w:rPr>
                <w:rFonts w:ascii="Arial" w:cs="Arial" w:eastAsia="Arial" w:hAnsi="Arial"/>
                <w:sz w:val="16"/>
                <w:szCs w:val="16"/>
                <w:color w:val="auto"/>
              </w:rPr>
              <w:t>Commercial Umbrella</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Quota share treaty:</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center"/>
              <w:ind w:right="280"/>
              <w:spacing w:after="0"/>
              <w:rPr>
                <w:sz w:val="20"/>
                <w:szCs w:val="20"/>
                <w:color w:val="auto"/>
              </w:rPr>
            </w:pPr>
            <w:r>
              <w:rPr>
                <w:rFonts w:ascii="Arial" w:cs="Arial" w:eastAsia="Arial" w:hAnsi="Arial"/>
                <w:sz w:val="16"/>
                <w:szCs w:val="16"/>
                <w:color w:val="auto"/>
                <w:w w:val="94"/>
              </w:rPr>
              <w:t>None</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gridSpan w:val="4"/>
          </w:tcPr>
          <w:p>
            <w:pPr>
              <w:ind w:left="40"/>
              <w:spacing w:after="0"/>
              <w:rPr>
                <w:sz w:val="20"/>
                <w:szCs w:val="20"/>
                <w:color w:val="auto"/>
              </w:rPr>
            </w:pPr>
            <w:r>
              <w:rPr>
                <w:rFonts w:ascii="Arial" w:cs="Arial" w:eastAsia="Arial" w:hAnsi="Arial"/>
                <w:sz w:val="16"/>
                <w:szCs w:val="16"/>
                <w:color w:val="auto"/>
              </w:rPr>
              <w:t>Percent ceded - first $1,000,000 of coverage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03"/>
        </w:trPr>
        <w:tc>
          <w:tcPr>
            <w:tcW w:w="678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Percent ceded - excess of $1,000,000 of coverage</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3"/>
        </w:trPr>
        <w:tc>
          <w:tcPr>
            <w:tcW w:w="6780" w:type="dxa"/>
            <w:vAlign w:val="bottom"/>
            <w:gridSpan w:val="4"/>
          </w:tcPr>
          <w:p>
            <w:pPr>
              <w:ind w:left="40"/>
              <w:spacing w:after="0"/>
              <w:rPr>
                <w:sz w:val="20"/>
                <w:szCs w:val="20"/>
                <w:color w:val="auto"/>
              </w:rPr>
            </w:pPr>
            <w:r>
              <w:rPr>
                <w:rFonts w:ascii="Arial" w:cs="Arial" w:eastAsia="Arial" w:hAnsi="Arial"/>
                <w:sz w:val="16"/>
                <w:szCs w:val="16"/>
                <w:color w:val="auto"/>
              </w:rPr>
              <w:t>Risk retained</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100,000</w:t>
            </w: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100,000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Total reinsurance coverage per occurrence</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4,900,000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4,900,000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gridSpan w:val="4"/>
          </w:tcPr>
          <w:p>
            <w:pPr>
              <w:ind w:left="40"/>
              <w:spacing w:after="0"/>
              <w:rPr>
                <w:sz w:val="20"/>
                <w:szCs w:val="20"/>
                <w:color w:val="auto"/>
              </w:rPr>
            </w:pPr>
            <w:r>
              <w:rPr>
                <w:rFonts w:ascii="Arial" w:cs="Arial" w:eastAsia="Arial" w:hAnsi="Arial"/>
                <w:sz w:val="16"/>
                <w:szCs w:val="16"/>
                <w:color w:val="auto"/>
              </w:rPr>
              <w:t>Losses per occurrence subject to quota share reinsurance coverage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5,000,000</w:t>
            </w: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5,000,000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678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Expiration date</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center"/>
              <w:ind w:right="280"/>
              <w:spacing w:after="0"/>
              <w:rPr>
                <w:sz w:val="20"/>
                <w:szCs w:val="20"/>
                <w:color w:val="auto"/>
              </w:rPr>
            </w:pPr>
            <w:r>
              <w:rPr>
                <w:rFonts w:ascii="Arial" w:cs="Arial" w:eastAsia="Arial" w:hAnsi="Arial"/>
                <w:sz w:val="16"/>
                <w:szCs w:val="16"/>
                <w:color w:val="auto"/>
                <w:w w:val="90"/>
              </w:rPr>
              <w:t>June 30, 2019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center"/>
              <w:ind w:right="240"/>
              <w:spacing w:after="0"/>
              <w:rPr>
                <w:sz w:val="20"/>
                <w:szCs w:val="20"/>
                <w:color w:val="auto"/>
              </w:rPr>
            </w:pPr>
            <w:r>
              <w:rPr>
                <w:rFonts w:ascii="Arial" w:cs="Arial" w:eastAsia="Arial" w:hAnsi="Arial"/>
                <w:sz w:val="16"/>
                <w:szCs w:val="16"/>
                <w:color w:val="auto"/>
                <w:w w:val="90"/>
              </w:rPr>
              <w:t>June 30, 2018</w:t>
            </w: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6780" w:type="dxa"/>
            <w:vAlign w:val="bottom"/>
            <w:gridSpan w:val="4"/>
            <w:shd w:val="clear" w:color="auto" w:fill="CCEEFF"/>
          </w:tcPr>
          <w:p>
            <w:pPr>
              <w:spacing w:after="0" w:line="165" w:lineRule="exact"/>
              <w:rPr>
                <w:sz w:val="20"/>
                <w:szCs w:val="20"/>
                <w:color w:val="auto"/>
              </w:rPr>
            </w:pPr>
            <w:r>
              <w:rPr>
                <w:rFonts w:ascii="Arial" w:cs="Arial" w:eastAsia="Arial" w:hAnsi="Arial"/>
                <w:sz w:val="16"/>
                <w:szCs w:val="16"/>
                <w:color w:val="auto"/>
              </w:rPr>
              <w:t>Catastrophe Reinsurance:</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1020" w:type="dxa"/>
            <w:vAlign w:val="bottom"/>
            <w:shd w:val="clear" w:color="auto" w:fill="000000"/>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420" w:type="dxa"/>
            <w:vAlign w:val="bottom"/>
            <w:shd w:val="clear" w:color="auto" w:fill="000000"/>
          </w:tcPr>
          <w:p>
            <w:pPr>
              <w:spacing w:after="0"/>
              <w:rPr>
                <w:sz w:val="3"/>
                <w:szCs w:val="3"/>
                <w:color w:val="auto"/>
              </w:rPr>
            </w:pPr>
          </w:p>
        </w:tc>
        <w:tc>
          <w:tcPr>
            <w:tcW w:w="5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6780" w:type="dxa"/>
            <w:vAlign w:val="bottom"/>
            <w:gridSpan w:val="4"/>
          </w:tcPr>
          <w:p>
            <w:pPr>
              <w:spacing w:after="0"/>
              <w:rPr>
                <w:sz w:val="20"/>
                <w:szCs w:val="20"/>
                <w:color w:val="auto"/>
              </w:rPr>
            </w:pPr>
            <w:r>
              <w:rPr>
                <w:rFonts w:ascii="Arial" w:cs="Arial" w:eastAsia="Arial" w:hAnsi="Arial"/>
                <w:sz w:val="16"/>
                <w:szCs w:val="16"/>
                <w:color w:val="auto"/>
              </w:rPr>
              <w:t>Initial loss subject to personal lines quota share treaty</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6"/>
                <w:szCs w:val="16"/>
                <w:color w:val="auto"/>
                <w:w w:val="94"/>
              </w:rPr>
              <w:t>None</w:t>
            </w: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5,000,000</w:t>
            </w: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5,000,000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Risk retained per catastrophe occurrence (2)</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7,500,000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4,500,000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4,000,000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gridSpan w:val="4"/>
          </w:tcPr>
          <w:p>
            <w:pPr>
              <w:ind w:left="40"/>
              <w:spacing w:after="0"/>
              <w:rPr>
                <w:sz w:val="20"/>
                <w:szCs w:val="20"/>
                <w:color w:val="auto"/>
              </w:rPr>
            </w:pPr>
            <w:r>
              <w:rPr>
                <w:rFonts w:ascii="Arial" w:cs="Arial" w:eastAsia="Arial" w:hAnsi="Arial"/>
                <w:sz w:val="16"/>
                <w:szCs w:val="16"/>
                <w:color w:val="auto"/>
              </w:rPr>
              <w:t>Catastrophe loss coverage in excess of quota share coverage (3)</w:t>
            </w:r>
          </w:p>
        </w:tc>
        <w:tc>
          <w:tcPr>
            <w:tcW w:w="16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602,500,000</w:t>
            </w: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445,000,000</w:t>
            </w: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315,000,000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678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Reinstatement premium protection (4)(5)(6)</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center"/>
              <w:ind w:right="440"/>
              <w:spacing w:after="0"/>
              <w:rPr>
                <w:sz w:val="20"/>
                <w:szCs w:val="20"/>
                <w:color w:val="auto"/>
              </w:rPr>
            </w:pPr>
            <w:r>
              <w:rPr>
                <w:rFonts w:ascii="Arial" w:cs="Arial" w:eastAsia="Arial" w:hAnsi="Arial"/>
                <w:sz w:val="16"/>
                <w:szCs w:val="16"/>
                <w:color w:val="auto"/>
                <w:w w:val="86"/>
              </w:rPr>
              <w:t>Yes</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color w:val="auto"/>
              </w:rPr>
              <w:t>Yes</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480"/>
              <w:spacing w:after="0"/>
              <w:rPr>
                <w:sz w:val="20"/>
                <w:szCs w:val="20"/>
                <w:color w:val="auto"/>
              </w:rPr>
            </w:pPr>
            <w:r>
              <w:rPr>
                <w:rFonts w:ascii="Arial" w:cs="Arial" w:eastAsia="Arial" w:hAnsi="Arial"/>
                <w:sz w:val="16"/>
                <w:szCs w:val="16"/>
                <w:color w:val="auto"/>
              </w:rPr>
              <w:t>Yes</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300" w:hanging="299"/>
        <w:spacing w:after="0" w:line="268" w:lineRule="auto"/>
        <w:tabs>
          <w:tab w:leader="none" w:pos="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For personal lines, includes the addition of an automatic facultative facility allowing KICO to obtain homeowners single risk coverage up to $10,000,000 in total insured value, which covers direct losses from $3,500,000 to $10,000,000.</w:t>
      </w:r>
    </w:p>
    <w:p>
      <w:pPr>
        <w:ind w:left="300" w:hanging="299"/>
        <w:spacing w:after="0"/>
        <w:tabs>
          <w:tab w:leader="none" w:pos="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Plus losses in excess of catastrophe coverage.</w:t>
      </w:r>
    </w:p>
    <w:p>
      <w:pPr>
        <w:spacing w:after="0" w:line="18" w:lineRule="exact"/>
        <w:rPr>
          <w:rFonts w:ascii="Arial" w:cs="Arial" w:eastAsia="Arial" w:hAnsi="Arial"/>
          <w:sz w:val="16"/>
          <w:szCs w:val="16"/>
          <w:color w:val="auto"/>
        </w:rPr>
      </w:pPr>
    </w:p>
    <w:p>
      <w:pPr>
        <w:ind w:left="300" w:hanging="299"/>
        <w:spacing w:after="0" w:line="264" w:lineRule="auto"/>
        <w:tabs>
          <w:tab w:leader="none" w:pos="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Catastrophe coverage is limited on an annual basis to two times the per occurrence amounts. Duration of 168 consecutive hours for a catastrophe occurrence from windstorm, hail, tornado, hurricane, and cyclone.</w:t>
      </w:r>
    </w:p>
    <w:p>
      <w:pPr>
        <w:jc w:val="both"/>
        <w:ind w:left="300" w:right="2880" w:hanging="299"/>
        <w:spacing w:after="0" w:line="364" w:lineRule="auto"/>
        <w:tabs>
          <w:tab w:leader="none" w:pos="3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Effective July 1, 2017, reinstatement premium protection for $145,000,000 of catastrophe coverage in excess of $5,000,000.. Effective July 1, 2018, reinstatement premium protection for $210,000,000 of catastrophe coverage in excess of $5,000,000.</w:t>
      </w:r>
    </w:p>
    <w:p>
      <w:pPr>
        <w:sectPr>
          <w:pgSz w:w="11900" w:h="16838" w:orient="portrait"/>
          <w:cols w:equalWidth="0" w:num="1">
            <w:col w:w="11420"/>
          </w:cols>
          <w:pgMar w:left="240" w:top="481" w:right="239" w:bottom="0" w:gutter="0" w:footer="0" w:header="0"/>
        </w:sectPr>
      </w:pPr>
    </w:p>
    <w:bookmarkStart w:id="66" w:name="page67"/>
    <w:bookmarkEnd w:id="66"/>
    <w:p>
      <w:pPr>
        <w:jc w:val="center"/>
        <w:ind w:right="-20"/>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31750</wp:posOffset>
            </wp:positionV>
            <wp:extent cx="725487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67" w:name="page68"/>
    <w:bookmarkEnd w:id="67"/>
    <w:p>
      <w:pPr>
        <w:spacing w:after="0"/>
        <w:rPr>
          <w:sz w:val="20"/>
          <w:szCs w:val="20"/>
          <w:color w:val="auto"/>
        </w:rPr>
      </w:pPr>
      <w:r>
        <w:rPr>
          <w:rFonts w:ascii="Arial" w:cs="Arial" w:eastAsia="Arial" w:hAnsi="Arial"/>
          <w:sz w:val="16"/>
          <w:szCs w:val="16"/>
          <w:color w:val="auto"/>
        </w:rPr>
        <w:t>Effective July 1, 2019, reinstatement premium protection for $292,500,000 of catastrophe coverage in excess of $7,500,000.</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single maximum risks per occurrence to which the Company is subject under the treaty year shown below is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5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98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tcPr>
          <w:p>
            <w:pPr>
              <w:ind w:left="920"/>
              <w:spacing w:after="0"/>
              <w:rPr>
                <w:sz w:val="20"/>
                <w:szCs w:val="20"/>
                <w:color w:val="auto"/>
              </w:rPr>
            </w:pPr>
            <w:r>
              <w:rPr>
                <w:rFonts w:ascii="Arial" w:cs="Arial" w:eastAsia="Arial" w:hAnsi="Arial"/>
                <w:sz w:val="14"/>
                <w:szCs w:val="14"/>
                <w:b w:val="1"/>
                <w:bCs w:val="1"/>
                <w:color w:val="auto"/>
              </w:rPr>
              <w:t>July 1, 2019 - June 30, 2020</w:t>
            </w:r>
          </w:p>
        </w:tc>
        <w:tc>
          <w:tcPr>
            <w:tcW w:w="22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08"/>
        </w:trPr>
        <w:tc>
          <w:tcPr>
            <w:tcW w:w="150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Treaty</w:t>
            </w:r>
          </w:p>
        </w:tc>
        <w:tc>
          <w:tcPr>
            <w:tcW w:w="198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Range of Loss</w:t>
            </w:r>
          </w:p>
        </w:tc>
        <w:tc>
          <w:tcPr>
            <w:tcW w:w="2240" w:type="dxa"/>
            <w:vAlign w:val="bottom"/>
            <w:tcBorders>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Risk Retained</w:t>
            </w:r>
          </w:p>
        </w:tc>
        <w:tc>
          <w:tcPr>
            <w:tcW w:w="20" w:type="dxa"/>
            <w:vAlign w:val="bottom"/>
          </w:tcPr>
          <w:p>
            <w:pPr>
              <w:spacing w:after="0"/>
              <w:rPr>
                <w:sz w:val="18"/>
                <w:szCs w:val="18"/>
                <w:color w:val="auto"/>
              </w:rPr>
            </w:pPr>
          </w:p>
        </w:tc>
      </w:tr>
      <w:tr>
        <w:trPr>
          <w:trHeight w:val="203"/>
        </w:trPr>
        <w:tc>
          <w:tcPr>
            <w:tcW w:w="1500" w:type="dxa"/>
            <w:vAlign w:val="bottom"/>
            <w:shd w:val="clear" w:color="auto" w:fill="CCEEFF"/>
          </w:tcPr>
          <w:p>
            <w:pPr>
              <w:spacing w:after="0"/>
              <w:rPr>
                <w:sz w:val="20"/>
                <w:szCs w:val="20"/>
                <w:color w:val="auto"/>
              </w:rPr>
            </w:pPr>
            <w:r>
              <w:rPr>
                <w:rFonts w:ascii="Arial" w:cs="Arial" w:eastAsia="Arial" w:hAnsi="Arial"/>
                <w:sz w:val="16"/>
                <w:szCs w:val="16"/>
                <w:color w:val="auto"/>
              </w:rPr>
              <w:t>Personal Lines (1)</w:t>
            </w:r>
          </w:p>
        </w:tc>
        <w:tc>
          <w:tcPr>
            <w:tcW w:w="2500" w:type="dxa"/>
            <w:vAlign w:val="bottom"/>
            <w:shd w:val="clear" w:color="auto" w:fill="CCEEFF"/>
          </w:tcPr>
          <w:p>
            <w:pPr>
              <w:spacing w:after="0"/>
              <w:rPr>
                <w:sz w:val="17"/>
                <w:szCs w:val="17"/>
                <w:color w:val="auto"/>
              </w:rPr>
            </w:pPr>
          </w:p>
        </w:tc>
        <w:tc>
          <w:tcPr>
            <w:tcW w:w="1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Initial $1,000,000</w:t>
            </w:r>
          </w:p>
        </w:tc>
        <w:tc>
          <w:tcPr>
            <w:tcW w:w="3200" w:type="dxa"/>
            <w:vAlign w:val="bottom"/>
            <w:shd w:val="clear" w:color="auto" w:fill="CCEEFF"/>
          </w:tcPr>
          <w:p>
            <w:pPr>
              <w:spacing w:after="0"/>
              <w:rPr>
                <w:sz w:val="17"/>
                <w:szCs w:val="17"/>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$1,000,000</w:t>
            </w:r>
          </w:p>
        </w:tc>
        <w:tc>
          <w:tcPr>
            <w:tcW w:w="20" w:type="dxa"/>
            <w:vAlign w:val="bottom"/>
          </w:tcPr>
          <w:p>
            <w:pPr>
              <w:spacing w:after="0"/>
              <w:rPr>
                <w:sz w:val="17"/>
                <w:szCs w:val="17"/>
                <w:color w:val="auto"/>
              </w:rPr>
            </w:pPr>
          </w:p>
        </w:tc>
      </w:tr>
      <w:tr>
        <w:trPr>
          <w:trHeight w:val="203"/>
        </w:trPr>
        <w:tc>
          <w:tcPr>
            <w:tcW w:w="1500" w:type="dxa"/>
            <w:vAlign w:val="bottom"/>
          </w:tcPr>
          <w:p>
            <w:pPr>
              <w:spacing w:after="0"/>
              <w:rPr>
                <w:sz w:val="17"/>
                <w:szCs w:val="17"/>
                <w:color w:val="auto"/>
              </w:rPr>
            </w:pPr>
          </w:p>
        </w:tc>
        <w:tc>
          <w:tcPr>
            <w:tcW w:w="4480" w:type="dxa"/>
            <w:vAlign w:val="bottom"/>
            <w:gridSpan w:val="2"/>
          </w:tcPr>
          <w:p>
            <w:pPr>
              <w:ind w:left="2540"/>
              <w:spacing w:after="0"/>
              <w:rPr>
                <w:sz w:val="20"/>
                <w:szCs w:val="20"/>
                <w:color w:val="auto"/>
              </w:rPr>
            </w:pPr>
            <w:r>
              <w:rPr>
                <w:rFonts w:ascii="Arial" w:cs="Arial" w:eastAsia="Arial" w:hAnsi="Arial"/>
                <w:sz w:val="16"/>
                <w:szCs w:val="16"/>
                <w:color w:val="auto"/>
              </w:rPr>
              <w:t>$1,000,000 - $10,000,000</w:t>
            </w:r>
          </w:p>
        </w:tc>
        <w:tc>
          <w:tcPr>
            <w:tcW w:w="3200" w:type="dxa"/>
            <w:vAlign w:val="bottom"/>
          </w:tcPr>
          <w:p>
            <w:pPr>
              <w:spacing w:after="0"/>
              <w:rPr>
                <w:sz w:val="17"/>
                <w:szCs w:val="17"/>
                <w:color w:val="auto"/>
              </w:rPr>
            </w:pPr>
          </w:p>
        </w:tc>
        <w:tc>
          <w:tcPr>
            <w:tcW w:w="2240" w:type="dxa"/>
            <w:vAlign w:val="bottom"/>
          </w:tcPr>
          <w:p>
            <w:pPr>
              <w:jc w:val="right"/>
              <w:spacing w:after="0"/>
              <w:rPr>
                <w:sz w:val="20"/>
                <w:szCs w:val="20"/>
                <w:color w:val="auto"/>
              </w:rPr>
            </w:pPr>
            <w:r>
              <w:rPr>
                <w:rFonts w:ascii="Arial" w:cs="Arial" w:eastAsia="Arial" w:hAnsi="Arial"/>
                <w:sz w:val="16"/>
                <w:szCs w:val="16"/>
                <w:color w:val="auto"/>
              </w:rPr>
              <w:t>None(2)</w:t>
            </w:r>
          </w:p>
        </w:tc>
        <w:tc>
          <w:tcPr>
            <w:tcW w:w="20" w:type="dxa"/>
            <w:vAlign w:val="bottom"/>
          </w:tcPr>
          <w:p>
            <w:pPr>
              <w:spacing w:after="0"/>
              <w:rPr>
                <w:sz w:val="17"/>
                <w:szCs w:val="17"/>
                <w:color w:val="auto"/>
              </w:rPr>
            </w:pPr>
          </w:p>
        </w:tc>
      </w:tr>
      <w:tr>
        <w:trPr>
          <w:trHeight w:val="203"/>
        </w:trPr>
        <w:tc>
          <w:tcPr>
            <w:tcW w:w="150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1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Over $10,000,000</w:t>
            </w:r>
          </w:p>
        </w:tc>
        <w:tc>
          <w:tcPr>
            <w:tcW w:w="3200" w:type="dxa"/>
            <w:vAlign w:val="bottom"/>
            <w:shd w:val="clear" w:color="auto" w:fill="CCEEFF"/>
          </w:tcPr>
          <w:p>
            <w:pPr>
              <w:spacing w:after="0"/>
              <w:rPr>
                <w:sz w:val="17"/>
                <w:szCs w:val="17"/>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7"/>
                <w:szCs w:val="17"/>
                <w:color w:val="auto"/>
              </w:rPr>
            </w:pPr>
          </w:p>
        </w:tc>
      </w:tr>
      <w:tr>
        <w:trPr>
          <w:trHeight w:val="203"/>
        </w:trPr>
        <w:tc>
          <w:tcPr>
            <w:tcW w:w="15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1500" w:type="dxa"/>
            <w:vAlign w:val="bottom"/>
            <w:shd w:val="clear" w:color="auto" w:fill="CCEEFF"/>
          </w:tcPr>
          <w:p>
            <w:pPr>
              <w:spacing w:after="0"/>
              <w:rPr>
                <w:sz w:val="20"/>
                <w:szCs w:val="20"/>
                <w:color w:val="auto"/>
              </w:rPr>
            </w:pPr>
            <w:r>
              <w:rPr>
                <w:rFonts w:ascii="Arial" w:cs="Arial" w:eastAsia="Arial" w:hAnsi="Arial"/>
                <w:sz w:val="16"/>
                <w:szCs w:val="16"/>
                <w:color w:val="auto"/>
              </w:rPr>
              <w:t>Personal Umbrella</w:t>
            </w:r>
          </w:p>
        </w:tc>
        <w:tc>
          <w:tcPr>
            <w:tcW w:w="2500" w:type="dxa"/>
            <w:vAlign w:val="bottom"/>
            <w:shd w:val="clear" w:color="auto" w:fill="CCEEFF"/>
          </w:tcPr>
          <w:p>
            <w:pPr>
              <w:spacing w:after="0"/>
              <w:rPr>
                <w:sz w:val="17"/>
                <w:szCs w:val="17"/>
                <w:color w:val="auto"/>
              </w:rPr>
            </w:pPr>
          </w:p>
        </w:tc>
        <w:tc>
          <w:tcPr>
            <w:tcW w:w="1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Initial $1,000,000</w:t>
            </w:r>
          </w:p>
        </w:tc>
        <w:tc>
          <w:tcPr>
            <w:tcW w:w="3200" w:type="dxa"/>
            <w:vAlign w:val="bottom"/>
            <w:shd w:val="clear" w:color="auto" w:fill="CCEEFF"/>
          </w:tcPr>
          <w:p>
            <w:pPr>
              <w:spacing w:after="0"/>
              <w:rPr>
                <w:sz w:val="17"/>
                <w:szCs w:val="17"/>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20" w:type="dxa"/>
            <w:vAlign w:val="bottom"/>
          </w:tcPr>
          <w:p>
            <w:pPr>
              <w:spacing w:after="0"/>
              <w:rPr>
                <w:sz w:val="17"/>
                <w:szCs w:val="17"/>
                <w:color w:val="auto"/>
              </w:rPr>
            </w:pPr>
          </w:p>
        </w:tc>
      </w:tr>
      <w:tr>
        <w:trPr>
          <w:trHeight w:val="203"/>
        </w:trPr>
        <w:tc>
          <w:tcPr>
            <w:tcW w:w="1500" w:type="dxa"/>
            <w:vAlign w:val="bottom"/>
          </w:tcPr>
          <w:p>
            <w:pPr>
              <w:spacing w:after="0"/>
              <w:rPr>
                <w:sz w:val="17"/>
                <w:szCs w:val="17"/>
                <w:color w:val="auto"/>
              </w:rPr>
            </w:pPr>
          </w:p>
        </w:tc>
        <w:tc>
          <w:tcPr>
            <w:tcW w:w="4480" w:type="dxa"/>
            <w:vAlign w:val="bottom"/>
            <w:gridSpan w:val="2"/>
          </w:tcPr>
          <w:p>
            <w:pPr>
              <w:ind w:left="2540"/>
              <w:spacing w:after="0"/>
              <w:rPr>
                <w:sz w:val="20"/>
                <w:szCs w:val="20"/>
                <w:color w:val="auto"/>
              </w:rPr>
            </w:pPr>
            <w:r>
              <w:rPr>
                <w:rFonts w:ascii="Arial" w:cs="Arial" w:eastAsia="Arial" w:hAnsi="Arial"/>
                <w:sz w:val="16"/>
                <w:szCs w:val="16"/>
                <w:color w:val="auto"/>
              </w:rPr>
              <w:t>$1,000,000 - $5,000,000</w:t>
            </w:r>
          </w:p>
        </w:tc>
        <w:tc>
          <w:tcPr>
            <w:tcW w:w="3200" w:type="dxa"/>
            <w:vAlign w:val="bottom"/>
          </w:tcPr>
          <w:p>
            <w:pPr>
              <w:spacing w:after="0"/>
              <w:rPr>
                <w:sz w:val="17"/>
                <w:szCs w:val="17"/>
                <w:color w:val="auto"/>
              </w:rPr>
            </w:pPr>
          </w:p>
        </w:tc>
        <w:tc>
          <w:tcPr>
            <w:tcW w:w="2240" w:type="dxa"/>
            <w:vAlign w:val="bottom"/>
          </w:tcPr>
          <w:p>
            <w:pPr>
              <w:jc w:val="right"/>
              <w:spacing w:after="0"/>
              <w:rPr>
                <w:sz w:val="20"/>
                <w:szCs w:val="20"/>
                <w:color w:val="auto"/>
              </w:rPr>
            </w:pPr>
            <w:r>
              <w:rPr>
                <w:rFonts w:ascii="Arial" w:cs="Arial" w:eastAsia="Arial" w:hAnsi="Arial"/>
                <w:sz w:val="16"/>
                <w:szCs w:val="16"/>
                <w:color w:val="auto"/>
              </w:rPr>
              <w:t>None</w:t>
            </w:r>
          </w:p>
        </w:tc>
        <w:tc>
          <w:tcPr>
            <w:tcW w:w="20" w:type="dxa"/>
            <w:vAlign w:val="bottom"/>
          </w:tcPr>
          <w:p>
            <w:pPr>
              <w:spacing w:after="0"/>
              <w:rPr>
                <w:sz w:val="17"/>
                <w:szCs w:val="17"/>
                <w:color w:val="auto"/>
              </w:rPr>
            </w:pPr>
          </w:p>
        </w:tc>
      </w:tr>
      <w:tr>
        <w:trPr>
          <w:trHeight w:val="203"/>
        </w:trPr>
        <w:tc>
          <w:tcPr>
            <w:tcW w:w="150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1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Over $5,000,000</w:t>
            </w:r>
          </w:p>
        </w:tc>
        <w:tc>
          <w:tcPr>
            <w:tcW w:w="3200" w:type="dxa"/>
            <w:vAlign w:val="bottom"/>
            <w:shd w:val="clear" w:color="auto" w:fill="CCEEFF"/>
          </w:tcPr>
          <w:p>
            <w:pPr>
              <w:spacing w:after="0"/>
              <w:rPr>
                <w:sz w:val="17"/>
                <w:szCs w:val="17"/>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7"/>
                <w:szCs w:val="17"/>
                <w:color w:val="auto"/>
              </w:rPr>
            </w:pPr>
          </w:p>
        </w:tc>
      </w:tr>
      <w:tr>
        <w:trPr>
          <w:trHeight w:val="203"/>
        </w:trPr>
        <w:tc>
          <w:tcPr>
            <w:tcW w:w="15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1500" w:type="dxa"/>
            <w:vAlign w:val="bottom"/>
            <w:shd w:val="clear" w:color="auto" w:fill="CCEEFF"/>
          </w:tcPr>
          <w:p>
            <w:pPr>
              <w:spacing w:after="0"/>
              <w:rPr>
                <w:sz w:val="20"/>
                <w:szCs w:val="20"/>
                <w:color w:val="auto"/>
              </w:rPr>
            </w:pPr>
            <w:r>
              <w:rPr>
                <w:rFonts w:ascii="Arial" w:cs="Arial" w:eastAsia="Arial" w:hAnsi="Arial"/>
                <w:sz w:val="16"/>
                <w:szCs w:val="16"/>
                <w:color w:val="auto"/>
              </w:rPr>
              <w:t>Commercial Lines</w:t>
            </w:r>
          </w:p>
        </w:tc>
        <w:tc>
          <w:tcPr>
            <w:tcW w:w="2500" w:type="dxa"/>
            <w:vAlign w:val="bottom"/>
            <w:shd w:val="clear" w:color="auto" w:fill="CCEEFF"/>
          </w:tcPr>
          <w:p>
            <w:pPr>
              <w:spacing w:after="0"/>
              <w:rPr>
                <w:sz w:val="17"/>
                <w:szCs w:val="17"/>
                <w:color w:val="auto"/>
              </w:rPr>
            </w:pPr>
          </w:p>
        </w:tc>
        <w:tc>
          <w:tcPr>
            <w:tcW w:w="1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Initial $750,000</w:t>
            </w:r>
          </w:p>
        </w:tc>
        <w:tc>
          <w:tcPr>
            <w:tcW w:w="3200" w:type="dxa"/>
            <w:vAlign w:val="bottom"/>
            <w:shd w:val="clear" w:color="auto" w:fill="CCEEFF"/>
          </w:tcPr>
          <w:p>
            <w:pPr>
              <w:spacing w:after="0"/>
              <w:rPr>
                <w:sz w:val="17"/>
                <w:szCs w:val="17"/>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$750,000</w:t>
            </w:r>
          </w:p>
        </w:tc>
        <w:tc>
          <w:tcPr>
            <w:tcW w:w="20" w:type="dxa"/>
            <w:vAlign w:val="bottom"/>
          </w:tcPr>
          <w:p>
            <w:pPr>
              <w:spacing w:after="0"/>
              <w:rPr>
                <w:sz w:val="17"/>
                <w:szCs w:val="17"/>
                <w:color w:val="auto"/>
              </w:rPr>
            </w:pPr>
          </w:p>
        </w:tc>
      </w:tr>
      <w:tr>
        <w:trPr>
          <w:trHeight w:val="203"/>
        </w:trPr>
        <w:tc>
          <w:tcPr>
            <w:tcW w:w="1500" w:type="dxa"/>
            <w:vAlign w:val="bottom"/>
          </w:tcPr>
          <w:p>
            <w:pPr>
              <w:spacing w:after="0"/>
              <w:rPr>
                <w:sz w:val="17"/>
                <w:szCs w:val="17"/>
                <w:color w:val="auto"/>
              </w:rPr>
            </w:pPr>
          </w:p>
        </w:tc>
        <w:tc>
          <w:tcPr>
            <w:tcW w:w="4480" w:type="dxa"/>
            <w:vAlign w:val="bottom"/>
            <w:gridSpan w:val="2"/>
          </w:tcPr>
          <w:p>
            <w:pPr>
              <w:ind w:left="2540"/>
              <w:spacing w:after="0"/>
              <w:rPr>
                <w:sz w:val="20"/>
                <w:szCs w:val="20"/>
                <w:color w:val="auto"/>
              </w:rPr>
            </w:pPr>
            <w:r>
              <w:rPr>
                <w:rFonts w:ascii="Arial" w:cs="Arial" w:eastAsia="Arial" w:hAnsi="Arial"/>
                <w:sz w:val="16"/>
                <w:szCs w:val="16"/>
                <w:color w:val="auto"/>
              </w:rPr>
              <w:t>$750,000 - $4,500,000</w:t>
            </w:r>
          </w:p>
        </w:tc>
        <w:tc>
          <w:tcPr>
            <w:tcW w:w="3200" w:type="dxa"/>
            <w:vAlign w:val="bottom"/>
          </w:tcPr>
          <w:p>
            <w:pPr>
              <w:spacing w:after="0"/>
              <w:rPr>
                <w:sz w:val="17"/>
                <w:szCs w:val="17"/>
                <w:color w:val="auto"/>
              </w:rPr>
            </w:pPr>
          </w:p>
        </w:tc>
        <w:tc>
          <w:tcPr>
            <w:tcW w:w="2240" w:type="dxa"/>
            <w:vAlign w:val="bottom"/>
          </w:tcPr>
          <w:p>
            <w:pPr>
              <w:jc w:val="right"/>
              <w:spacing w:after="0"/>
              <w:rPr>
                <w:sz w:val="20"/>
                <w:szCs w:val="20"/>
                <w:color w:val="auto"/>
              </w:rPr>
            </w:pPr>
            <w:r>
              <w:rPr>
                <w:rFonts w:ascii="Arial" w:cs="Arial" w:eastAsia="Arial" w:hAnsi="Arial"/>
                <w:sz w:val="16"/>
                <w:szCs w:val="16"/>
                <w:color w:val="auto"/>
              </w:rPr>
              <w:t>None(3)</w:t>
            </w:r>
          </w:p>
        </w:tc>
        <w:tc>
          <w:tcPr>
            <w:tcW w:w="20" w:type="dxa"/>
            <w:vAlign w:val="bottom"/>
          </w:tcPr>
          <w:p>
            <w:pPr>
              <w:spacing w:after="0"/>
              <w:rPr>
                <w:sz w:val="17"/>
                <w:szCs w:val="17"/>
                <w:color w:val="auto"/>
              </w:rPr>
            </w:pPr>
          </w:p>
        </w:tc>
      </w:tr>
      <w:tr>
        <w:trPr>
          <w:trHeight w:val="203"/>
        </w:trPr>
        <w:tc>
          <w:tcPr>
            <w:tcW w:w="150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1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Over $4,500,000</w:t>
            </w:r>
          </w:p>
        </w:tc>
        <w:tc>
          <w:tcPr>
            <w:tcW w:w="3200" w:type="dxa"/>
            <w:vAlign w:val="bottom"/>
            <w:shd w:val="clear" w:color="auto" w:fill="CCEEFF"/>
          </w:tcPr>
          <w:p>
            <w:pPr>
              <w:spacing w:after="0"/>
              <w:rPr>
                <w:sz w:val="17"/>
                <w:szCs w:val="17"/>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7"/>
                <w:szCs w:val="17"/>
                <w:color w:val="auto"/>
              </w:rPr>
            </w:pPr>
          </w:p>
        </w:tc>
      </w:tr>
      <w:tr>
        <w:trPr>
          <w:trHeight w:val="203"/>
        </w:trPr>
        <w:tc>
          <w:tcPr>
            <w:tcW w:w="15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1500" w:type="dxa"/>
            <w:vAlign w:val="bottom"/>
            <w:shd w:val="clear" w:color="auto" w:fill="CCEEFF"/>
          </w:tcPr>
          <w:p>
            <w:pPr>
              <w:spacing w:after="0"/>
              <w:rPr>
                <w:sz w:val="20"/>
                <w:szCs w:val="20"/>
                <w:color w:val="auto"/>
              </w:rPr>
            </w:pPr>
            <w:r>
              <w:rPr>
                <w:rFonts w:ascii="Arial" w:cs="Arial" w:eastAsia="Arial" w:hAnsi="Arial"/>
                <w:sz w:val="16"/>
                <w:szCs w:val="16"/>
                <w:color w:val="auto"/>
              </w:rPr>
              <w:t>Catastrophe (4)</w:t>
            </w:r>
          </w:p>
        </w:tc>
        <w:tc>
          <w:tcPr>
            <w:tcW w:w="2500" w:type="dxa"/>
            <w:vAlign w:val="bottom"/>
            <w:shd w:val="clear" w:color="auto" w:fill="CCEEFF"/>
          </w:tcPr>
          <w:p>
            <w:pPr>
              <w:spacing w:after="0"/>
              <w:rPr>
                <w:sz w:val="17"/>
                <w:szCs w:val="17"/>
                <w:color w:val="auto"/>
              </w:rPr>
            </w:pPr>
          </w:p>
        </w:tc>
        <w:tc>
          <w:tcPr>
            <w:tcW w:w="1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Initial $7,500,000</w:t>
            </w:r>
          </w:p>
        </w:tc>
        <w:tc>
          <w:tcPr>
            <w:tcW w:w="3200" w:type="dxa"/>
            <w:vAlign w:val="bottom"/>
            <w:shd w:val="clear" w:color="auto" w:fill="CCEEFF"/>
          </w:tcPr>
          <w:p>
            <w:pPr>
              <w:spacing w:after="0"/>
              <w:rPr>
                <w:sz w:val="17"/>
                <w:szCs w:val="17"/>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$7,500,000</w:t>
            </w:r>
          </w:p>
        </w:tc>
        <w:tc>
          <w:tcPr>
            <w:tcW w:w="20" w:type="dxa"/>
            <w:vAlign w:val="bottom"/>
          </w:tcPr>
          <w:p>
            <w:pPr>
              <w:spacing w:after="0"/>
              <w:rPr>
                <w:sz w:val="17"/>
                <w:szCs w:val="17"/>
                <w:color w:val="auto"/>
              </w:rPr>
            </w:pPr>
          </w:p>
        </w:tc>
      </w:tr>
      <w:tr>
        <w:trPr>
          <w:trHeight w:val="203"/>
        </w:trPr>
        <w:tc>
          <w:tcPr>
            <w:tcW w:w="1500" w:type="dxa"/>
            <w:vAlign w:val="bottom"/>
          </w:tcPr>
          <w:p>
            <w:pPr>
              <w:spacing w:after="0"/>
              <w:rPr>
                <w:sz w:val="17"/>
                <w:szCs w:val="17"/>
                <w:color w:val="auto"/>
              </w:rPr>
            </w:pPr>
          </w:p>
        </w:tc>
        <w:tc>
          <w:tcPr>
            <w:tcW w:w="4480" w:type="dxa"/>
            <w:vAlign w:val="bottom"/>
            <w:gridSpan w:val="2"/>
          </w:tcPr>
          <w:p>
            <w:pPr>
              <w:ind w:left="2540"/>
              <w:spacing w:after="0"/>
              <w:rPr>
                <w:sz w:val="20"/>
                <w:szCs w:val="20"/>
                <w:color w:val="auto"/>
              </w:rPr>
            </w:pPr>
            <w:r>
              <w:rPr>
                <w:rFonts w:ascii="Arial" w:cs="Arial" w:eastAsia="Arial" w:hAnsi="Arial"/>
                <w:sz w:val="16"/>
                <w:szCs w:val="16"/>
                <w:color w:val="auto"/>
                <w:w w:val="99"/>
              </w:rPr>
              <w:t>$7,500,000 - $610,000,000</w:t>
            </w:r>
          </w:p>
        </w:tc>
        <w:tc>
          <w:tcPr>
            <w:tcW w:w="3200" w:type="dxa"/>
            <w:vAlign w:val="bottom"/>
          </w:tcPr>
          <w:p>
            <w:pPr>
              <w:spacing w:after="0"/>
              <w:rPr>
                <w:sz w:val="17"/>
                <w:szCs w:val="17"/>
                <w:color w:val="auto"/>
              </w:rPr>
            </w:pPr>
          </w:p>
        </w:tc>
        <w:tc>
          <w:tcPr>
            <w:tcW w:w="2240" w:type="dxa"/>
            <w:vAlign w:val="bottom"/>
          </w:tcPr>
          <w:p>
            <w:pPr>
              <w:jc w:val="right"/>
              <w:spacing w:after="0"/>
              <w:rPr>
                <w:sz w:val="20"/>
                <w:szCs w:val="20"/>
                <w:color w:val="auto"/>
              </w:rPr>
            </w:pPr>
            <w:r>
              <w:rPr>
                <w:rFonts w:ascii="Arial" w:cs="Arial" w:eastAsia="Arial" w:hAnsi="Arial"/>
                <w:sz w:val="16"/>
                <w:szCs w:val="16"/>
                <w:color w:val="auto"/>
              </w:rPr>
              <w:t>None</w:t>
            </w:r>
          </w:p>
        </w:tc>
        <w:tc>
          <w:tcPr>
            <w:tcW w:w="20" w:type="dxa"/>
            <w:vAlign w:val="bottom"/>
          </w:tcPr>
          <w:p>
            <w:pPr>
              <w:spacing w:after="0"/>
              <w:rPr>
                <w:sz w:val="17"/>
                <w:szCs w:val="17"/>
                <w:color w:val="auto"/>
              </w:rPr>
            </w:pPr>
          </w:p>
        </w:tc>
      </w:tr>
      <w:tr>
        <w:trPr>
          <w:trHeight w:val="203"/>
        </w:trPr>
        <w:tc>
          <w:tcPr>
            <w:tcW w:w="150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1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Over $610,000,000</w:t>
            </w:r>
          </w:p>
        </w:tc>
        <w:tc>
          <w:tcPr>
            <w:tcW w:w="3200" w:type="dxa"/>
            <w:vAlign w:val="bottom"/>
            <w:shd w:val="clear" w:color="auto" w:fill="CCEEFF"/>
          </w:tcPr>
          <w:p>
            <w:pPr>
              <w:spacing w:after="0"/>
              <w:rPr>
                <w:sz w:val="17"/>
                <w:szCs w:val="17"/>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7"/>
                <w:szCs w:val="17"/>
                <w:color w:val="auto"/>
              </w:rPr>
            </w:pPr>
          </w:p>
        </w:tc>
      </w:tr>
    </w:tbl>
    <w:p>
      <w:pPr>
        <w:spacing w:after="0" w:line="194" w:lineRule="exact"/>
        <w:rPr>
          <w:sz w:val="20"/>
          <w:szCs w:val="20"/>
          <w:color w:val="auto"/>
        </w:rPr>
      </w:pPr>
    </w:p>
    <w:p>
      <w:pPr>
        <w:ind w:left="300" w:hanging="299"/>
        <w:spacing w:after="0"/>
        <w:tabs>
          <w:tab w:leader="none" w:pos="3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Personal lines quota share treaty was eliminated effective July 1, 2019. The 2017/2019 Treaty expired on a run-off basis.</w:t>
      </w:r>
    </w:p>
    <w:p>
      <w:pPr>
        <w:spacing w:after="0" w:line="24" w:lineRule="exact"/>
        <w:rPr>
          <w:rFonts w:ascii="Arial" w:cs="Arial" w:eastAsia="Arial" w:hAnsi="Arial"/>
          <w:sz w:val="16"/>
          <w:szCs w:val="16"/>
          <w:color w:val="auto"/>
        </w:rPr>
      </w:pPr>
    </w:p>
    <w:p>
      <w:pPr>
        <w:ind w:left="300" w:hanging="299"/>
        <w:spacing w:after="0"/>
        <w:tabs>
          <w:tab w:leader="none" w:pos="3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Covered by excess of loss treaties up to $3,500,000 and by facultative facility from $3,500,000 to $10,000,000.</w:t>
      </w:r>
    </w:p>
    <w:p>
      <w:pPr>
        <w:spacing w:after="0" w:line="18" w:lineRule="exact"/>
        <w:rPr>
          <w:rFonts w:ascii="Arial" w:cs="Arial" w:eastAsia="Arial" w:hAnsi="Arial"/>
          <w:sz w:val="16"/>
          <w:szCs w:val="16"/>
          <w:color w:val="auto"/>
        </w:rPr>
      </w:pPr>
    </w:p>
    <w:p>
      <w:pPr>
        <w:ind w:left="300" w:hanging="299"/>
        <w:spacing w:after="0"/>
        <w:tabs>
          <w:tab w:leader="none" w:pos="3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Covered by excess of loss treaties.</w:t>
      </w:r>
    </w:p>
    <w:p>
      <w:pPr>
        <w:spacing w:after="0" w:line="18" w:lineRule="exact"/>
        <w:rPr>
          <w:rFonts w:ascii="Arial" w:cs="Arial" w:eastAsia="Arial" w:hAnsi="Arial"/>
          <w:sz w:val="16"/>
          <w:szCs w:val="16"/>
          <w:color w:val="auto"/>
        </w:rPr>
      </w:pPr>
    </w:p>
    <w:p>
      <w:pPr>
        <w:ind w:left="300" w:hanging="299"/>
        <w:spacing w:after="0"/>
        <w:tabs>
          <w:tab w:leader="none" w:pos="3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Catastrophe coverage is limited on an annual basis to two times the per occurrence amounts.</w:t>
      </w:r>
    </w:p>
    <w:p>
      <w:pPr>
        <w:spacing w:after="0" w:line="21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single maximum risks per occurrence to which the Company is subject under the treaty years shown below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60" w:type="dxa"/>
            <w:vAlign w:val="bottom"/>
            <w:vMerge w:val="restart"/>
          </w:tcPr>
          <w:p>
            <w:pPr>
              <w:ind w:left="780"/>
              <w:spacing w:after="0"/>
              <w:rPr>
                <w:sz w:val="20"/>
                <w:szCs w:val="20"/>
                <w:color w:val="auto"/>
              </w:rPr>
            </w:pPr>
            <w:r>
              <w:rPr>
                <w:rFonts w:ascii="Arial" w:cs="Arial" w:eastAsia="Arial" w:hAnsi="Arial"/>
                <w:sz w:val="14"/>
                <w:szCs w:val="14"/>
                <w:b w:val="1"/>
                <w:bCs w:val="1"/>
                <w:color w:val="auto"/>
              </w:rPr>
              <w:t>Treaty</w:t>
            </w:r>
          </w:p>
        </w:tc>
        <w:tc>
          <w:tcPr>
            <w:tcW w:w="3140" w:type="dxa"/>
            <w:vAlign w:val="bottom"/>
          </w:tcPr>
          <w:p>
            <w:pPr>
              <w:ind w:left="1460"/>
              <w:spacing w:after="0"/>
              <w:rPr>
                <w:sz w:val="20"/>
                <w:szCs w:val="20"/>
                <w:color w:val="auto"/>
              </w:rPr>
            </w:pPr>
            <w:r>
              <w:rPr>
                <w:rFonts w:ascii="Arial" w:cs="Arial" w:eastAsia="Arial" w:hAnsi="Arial"/>
                <w:sz w:val="14"/>
                <w:szCs w:val="14"/>
                <w:b w:val="1"/>
                <w:bCs w:val="1"/>
                <w:color w:val="auto"/>
                <w:w w:val="91"/>
              </w:rPr>
              <w:t>July 1, 2018 - June 30, 2019</w:t>
            </w:r>
          </w:p>
        </w:tc>
        <w:tc>
          <w:tcPr>
            <w:tcW w:w="1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580" w:type="dxa"/>
            <w:vAlign w:val="bottom"/>
            <w:gridSpan w:val="3"/>
          </w:tcPr>
          <w:p>
            <w:pPr>
              <w:ind w:left="1460"/>
              <w:spacing w:after="0"/>
              <w:rPr>
                <w:sz w:val="20"/>
                <w:szCs w:val="20"/>
                <w:color w:val="auto"/>
              </w:rPr>
            </w:pPr>
            <w:r>
              <w:rPr>
                <w:rFonts w:ascii="Arial" w:cs="Arial" w:eastAsia="Arial" w:hAnsi="Arial"/>
                <w:sz w:val="14"/>
                <w:szCs w:val="14"/>
                <w:b w:val="1"/>
                <w:bCs w:val="1"/>
                <w:color w:val="auto"/>
              </w:rPr>
              <w:t>July 1, 2017 - June 30, 2018</w:t>
            </w:r>
          </w:p>
        </w:tc>
        <w:tc>
          <w:tcPr>
            <w:tcW w:w="0" w:type="dxa"/>
            <w:vAlign w:val="bottom"/>
          </w:tcPr>
          <w:p>
            <w:pPr>
              <w:spacing w:after="0"/>
              <w:rPr>
                <w:sz w:val="1"/>
                <w:szCs w:val="1"/>
                <w:color w:val="auto"/>
              </w:rPr>
            </w:pPr>
          </w:p>
        </w:tc>
      </w:tr>
      <w:tr>
        <w:trPr>
          <w:trHeight w:val="157"/>
        </w:trPr>
        <w:tc>
          <w:tcPr>
            <w:tcW w:w="1960" w:type="dxa"/>
            <w:vAlign w:val="bottom"/>
            <w:tcBorders>
              <w:bottom w:val="single" w:sz="8" w:color="auto"/>
            </w:tcBorders>
            <w:vMerge w:val="continue"/>
          </w:tcPr>
          <w:p>
            <w:pPr>
              <w:spacing w:after="0"/>
              <w:rPr>
                <w:sz w:val="13"/>
                <w:szCs w:val="13"/>
                <w:color w:val="auto"/>
              </w:rPr>
            </w:pPr>
          </w:p>
        </w:tc>
        <w:tc>
          <w:tcPr>
            <w:tcW w:w="3140" w:type="dxa"/>
            <w:vAlign w:val="bottom"/>
            <w:tcBorders>
              <w:top w:val="single" w:sz="8" w:color="auto"/>
              <w:bottom w:val="single" w:sz="8" w:color="auto"/>
            </w:tcBorders>
          </w:tcPr>
          <w:p>
            <w:pPr>
              <w:ind w:left="740"/>
              <w:spacing w:after="0" w:line="152" w:lineRule="exact"/>
              <w:rPr>
                <w:sz w:val="20"/>
                <w:szCs w:val="20"/>
                <w:color w:val="auto"/>
              </w:rPr>
            </w:pPr>
            <w:r>
              <w:rPr>
                <w:rFonts w:ascii="Arial" w:cs="Arial" w:eastAsia="Arial" w:hAnsi="Arial"/>
                <w:sz w:val="14"/>
                <w:szCs w:val="14"/>
                <w:b w:val="1"/>
                <w:bCs w:val="1"/>
                <w:color w:val="auto"/>
              </w:rPr>
              <w:t>Range of Loss</w:t>
            </w:r>
          </w:p>
        </w:tc>
        <w:tc>
          <w:tcPr>
            <w:tcW w:w="1420" w:type="dxa"/>
            <w:vAlign w:val="bottom"/>
            <w:tcBorders>
              <w:top w:val="single" w:sz="8" w:color="auto"/>
              <w:bottom w:val="single" w:sz="8" w:color="auto"/>
            </w:tcBorders>
          </w:tcPr>
          <w:p>
            <w:pPr>
              <w:jc w:val="right"/>
              <w:ind w:right="438"/>
              <w:spacing w:after="0" w:line="152" w:lineRule="exact"/>
              <w:rPr>
                <w:sz w:val="20"/>
                <w:szCs w:val="20"/>
                <w:color w:val="auto"/>
              </w:rPr>
            </w:pPr>
            <w:r>
              <w:rPr>
                <w:rFonts w:ascii="Arial" w:cs="Arial" w:eastAsia="Arial" w:hAnsi="Arial"/>
                <w:sz w:val="14"/>
                <w:szCs w:val="14"/>
                <w:b w:val="1"/>
                <w:bCs w:val="1"/>
                <w:color w:val="auto"/>
                <w:w w:val="94"/>
              </w:rPr>
              <w:t>Risk Retained</w:t>
            </w:r>
          </w:p>
        </w:tc>
        <w:tc>
          <w:tcPr>
            <w:tcW w:w="340" w:type="dxa"/>
            <w:vAlign w:val="bottom"/>
            <w:tcBorders>
              <w:bottom w:val="single" w:sz="8" w:color="auto"/>
            </w:tcBorders>
          </w:tcPr>
          <w:p>
            <w:pPr>
              <w:spacing w:after="0"/>
              <w:rPr>
                <w:sz w:val="13"/>
                <w:szCs w:val="13"/>
                <w:color w:val="auto"/>
              </w:rPr>
            </w:pPr>
          </w:p>
        </w:tc>
        <w:tc>
          <w:tcPr>
            <w:tcW w:w="2420" w:type="dxa"/>
            <w:vAlign w:val="bottom"/>
            <w:tcBorders>
              <w:top w:val="single" w:sz="8" w:color="auto"/>
              <w:bottom w:val="single" w:sz="8" w:color="auto"/>
            </w:tcBorders>
          </w:tcPr>
          <w:p>
            <w:pPr>
              <w:ind w:left="740"/>
              <w:spacing w:after="0" w:line="152" w:lineRule="exact"/>
              <w:rPr>
                <w:sz w:val="20"/>
                <w:szCs w:val="20"/>
                <w:color w:val="auto"/>
              </w:rPr>
            </w:pPr>
            <w:r>
              <w:rPr>
                <w:rFonts w:ascii="Arial" w:cs="Arial" w:eastAsia="Arial" w:hAnsi="Arial"/>
                <w:sz w:val="14"/>
                <w:szCs w:val="14"/>
                <w:b w:val="1"/>
                <w:bCs w:val="1"/>
                <w:color w:val="auto"/>
              </w:rPr>
              <w:t>Range of Loss</w:t>
            </w:r>
          </w:p>
        </w:tc>
        <w:tc>
          <w:tcPr>
            <w:tcW w:w="2140" w:type="dxa"/>
            <w:vAlign w:val="bottom"/>
            <w:tcBorders>
              <w:top w:val="single" w:sz="8" w:color="auto"/>
              <w:bottom w:val="single" w:sz="8" w:color="auto"/>
            </w:tcBorders>
          </w:tcPr>
          <w:p>
            <w:pPr>
              <w:jc w:val="right"/>
              <w:ind w:right="618"/>
              <w:spacing w:after="0" w:line="152" w:lineRule="exact"/>
              <w:rPr>
                <w:sz w:val="20"/>
                <w:szCs w:val="20"/>
                <w:color w:val="auto"/>
              </w:rPr>
            </w:pPr>
            <w:r>
              <w:rPr>
                <w:rFonts w:ascii="Arial" w:cs="Arial" w:eastAsia="Arial" w:hAnsi="Arial"/>
                <w:sz w:val="14"/>
                <w:szCs w:val="14"/>
                <w:b w:val="1"/>
                <w:bCs w:val="1"/>
                <w:color w:val="auto"/>
              </w:rPr>
              <w:t>Risk Retained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960" w:type="dxa"/>
            <w:vAlign w:val="bottom"/>
            <w:shd w:val="clear" w:color="auto" w:fill="CCEEFF"/>
          </w:tcPr>
          <w:p>
            <w:pPr>
              <w:spacing w:after="0"/>
              <w:rPr>
                <w:sz w:val="20"/>
                <w:szCs w:val="20"/>
                <w:color w:val="auto"/>
              </w:rPr>
            </w:pPr>
            <w:r>
              <w:rPr>
                <w:rFonts w:ascii="Arial" w:cs="Arial" w:eastAsia="Arial" w:hAnsi="Arial"/>
                <w:sz w:val="16"/>
                <w:szCs w:val="16"/>
                <w:color w:val="auto"/>
              </w:rPr>
              <w:t>Personal Lines (1)</w:t>
            </w:r>
          </w:p>
        </w:tc>
        <w:tc>
          <w:tcPr>
            <w:tcW w:w="3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Initial $1,000,000</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$900,000</w:t>
            </w:r>
          </w:p>
        </w:tc>
        <w:tc>
          <w:tcPr>
            <w:tcW w:w="340" w:type="dxa"/>
            <w:vAlign w:val="bottom"/>
            <w:shd w:val="clear" w:color="auto" w:fill="CCEEFF"/>
          </w:tcPr>
          <w:p>
            <w:pPr>
              <w:spacing w:after="0"/>
              <w:rPr>
                <w:sz w:val="17"/>
                <w:szCs w:val="17"/>
                <w:color w:val="auto"/>
              </w:rPr>
            </w:pPr>
          </w:p>
        </w:tc>
        <w:tc>
          <w:tcPr>
            <w:tcW w:w="2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Initial $1,000,000</w:t>
            </w:r>
          </w:p>
        </w:tc>
        <w:tc>
          <w:tcPr>
            <w:tcW w:w="2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60" w:type="dxa"/>
            <w:vAlign w:val="bottom"/>
          </w:tcPr>
          <w:p>
            <w:pPr>
              <w:spacing w:after="0"/>
              <w:rPr>
                <w:sz w:val="17"/>
                <w:szCs w:val="17"/>
                <w:color w:val="auto"/>
              </w:rPr>
            </w:pPr>
          </w:p>
        </w:tc>
        <w:tc>
          <w:tcPr>
            <w:tcW w:w="3140" w:type="dxa"/>
            <w:vAlign w:val="bottom"/>
          </w:tcPr>
          <w:p>
            <w:pPr>
              <w:ind w:left="40"/>
              <w:spacing w:after="0"/>
              <w:rPr>
                <w:sz w:val="20"/>
                <w:szCs w:val="20"/>
                <w:color w:val="auto"/>
              </w:rPr>
            </w:pPr>
            <w:r>
              <w:rPr>
                <w:rFonts w:ascii="Arial" w:cs="Arial" w:eastAsia="Arial" w:hAnsi="Arial"/>
                <w:sz w:val="16"/>
                <w:szCs w:val="16"/>
                <w:color w:val="auto"/>
              </w:rPr>
              <w:t>$1,000,000 - $10,000,000</w:t>
            </w:r>
          </w:p>
        </w:tc>
        <w:tc>
          <w:tcPr>
            <w:tcW w:w="1760" w:type="dxa"/>
            <w:vAlign w:val="bottom"/>
            <w:gridSpan w:val="2"/>
          </w:tcPr>
          <w:p>
            <w:pPr>
              <w:jc w:val="right"/>
              <w:ind w:right="340"/>
              <w:spacing w:after="0"/>
              <w:rPr>
                <w:sz w:val="20"/>
                <w:szCs w:val="20"/>
                <w:color w:val="auto"/>
              </w:rPr>
            </w:pPr>
            <w:r>
              <w:rPr>
                <w:rFonts w:ascii="Arial" w:cs="Arial" w:eastAsia="Arial" w:hAnsi="Arial"/>
                <w:sz w:val="16"/>
                <w:szCs w:val="16"/>
                <w:color w:val="auto"/>
              </w:rPr>
              <w:t>None(2)</w:t>
            </w:r>
          </w:p>
        </w:tc>
        <w:tc>
          <w:tcPr>
            <w:tcW w:w="2420" w:type="dxa"/>
            <w:vAlign w:val="bottom"/>
          </w:tcPr>
          <w:p>
            <w:pPr>
              <w:ind w:left="40"/>
              <w:spacing w:after="0"/>
              <w:rPr>
                <w:sz w:val="20"/>
                <w:szCs w:val="20"/>
                <w:color w:val="auto"/>
              </w:rPr>
            </w:pPr>
            <w:r>
              <w:rPr>
                <w:rFonts w:ascii="Arial" w:cs="Arial" w:eastAsia="Arial" w:hAnsi="Arial"/>
                <w:sz w:val="16"/>
                <w:szCs w:val="16"/>
                <w:color w:val="auto"/>
              </w:rPr>
              <w:t>$1,000,000 - $10,000,000</w:t>
            </w:r>
          </w:p>
        </w:tc>
        <w:tc>
          <w:tcPr>
            <w:tcW w:w="2140" w:type="dxa"/>
            <w:vAlign w:val="bottom"/>
          </w:tcPr>
          <w:p>
            <w:pPr>
              <w:jc w:val="right"/>
              <w:spacing w:after="0"/>
              <w:rPr>
                <w:sz w:val="20"/>
                <w:szCs w:val="20"/>
                <w:color w:val="auto"/>
              </w:rPr>
            </w:pPr>
            <w:r>
              <w:rPr>
                <w:rFonts w:ascii="Arial" w:cs="Arial" w:eastAsia="Arial" w:hAnsi="Arial"/>
                <w:sz w:val="16"/>
                <w:szCs w:val="16"/>
                <w:color w:val="auto"/>
              </w:rPr>
              <w:t>None(2)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60" w:type="dxa"/>
            <w:vAlign w:val="bottom"/>
            <w:shd w:val="clear" w:color="auto" w:fill="CCEEFF"/>
          </w:tcPr>
          <w:p>
            <w:pPr>
              <w:spacing w:after="0"/>
              <w:rPr>
                <w:sz w:val="17"/>
                <w:szCs w:val="17"/>
                <w:color w:val="auto"/>
              </w:rPr>
            </w:pPr>
          </w:p>
        </w:tc>
        <w:tc>
          <w:tcPr>
            <w:tcW w:w="3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Over $10,000,000</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340" w:type="dxa"/>
            <w:vAlign w:val="bottom"/>
            <w:shd w:val="clear" w:color="auto" w:fill="CCEEFF"/>
          </w:tcPr>
          <w:p>
            <w:pPr>
              <w:spacing w:after="0"/>
              <w:rPr>
                <w:sz w:val="17"/>
                <w:szCs w:val="17"/>
                <w:color w:val="auto"/>
              </w:rPr>
            </w:pPr>
          </w:p>
        </w:tc>
        <w:tc>
          <w:tcPr>
            <w:tcW w:w="2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Over $10,000,000</w:t>
            </w:r>
          </w:p>
        </w:tc>
        <w:tc>
          <w:tcPr>
            <w:tcW w:w="2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6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60" w:type="dxa"/>
            <w:vAlign w:val="bottom"/>
            <w:shd w:val="clear" w:color="auto" w:fill="CCEEFF"/>
          </w:tcPr>
          <w:p>
            <w:pPr>
              <w:spacing w:after="0"/>
              <w:rPr>
                <w:sz w:val="20"/>
                <w:szCs w:val="20"/>
                <w:color w:val="auto"/>
              </w:rPr>
            </w:pPr>
            <w:r>
              <w:rPr>
                <w:rFonts w:ascii="Arial" w:cs="Arial" w:eastAsia="Arial" w:hAnsi="Arial"/>
                <w:sz w:val="16"/>
                <w:szCs w:val="16"/>
                <w:color w:val="auto"/>
              </w:rPr>
              <w:t>Personal Umbrella</w:t>
            </w:r>
          </w:p>
        </w:tc>
        <w:tc>
          <w:tcPr>
            <w:tcW w:w="3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Initial $1,000,000</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340" w:type="dxa"/>
            <w:vAlign w:val="bottom"/>
            <w:shd w:val="clear" w:color="auto" w:fill="CCEEFF"/>
          </w:tcPr>
          <w:p>
            <w:pPr>
              <w:spacing w:after="0"/>
              <w:rPr>
                <w:sz w:val="17"/>
                <w:szCs w:val="17"/>
                <w:color w:val="auto"/>
              </w:rPr>
            </w:pPr>
          </w:p>
        </w:tc>
        <w:tc>
          <w:tcPr>
            <w:tcW w:w="2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Initial $1,000,000</w:t>
            </w:r>
          </w:p>
        </w:tc>
        <w:tc>
          <w:tcPr>
            <w:tcW w:w="2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60" w:type="dxa"/>
            <w:vAlign w:val="bottom"/>
          </w:tcPr>
          <w:p>
            <w:pPr>
              <w:spacing w:after="0"/>
              <w:rPr>
                <w:sz w:val="17"/>
                <w:szCs w:val="17"/>
                <w:color w:val="auto"/>
              </w:rPr>
            </w:pPr>
          </w:p>
        </w:tc>
        <w:tc>
          <w:tcPr>
            <w:tcW w:w="3140" w:type="dxa"/>
            <w:vAlign w:val="bottom"/>
          </w:tcPr>
          <w:p>
            <w:pPr>
              <w:ind w:left="40"/>
              <w:spacing w:after="0"/>
              <w:rPr>
                <w:sz w:val="20"/>
                <w:szCs w:val="20"/>
                <w:color w:val="auto"/>
              </w:rPr>
            </w:pPr>
            <w:r>
              <w:rPr>
                <w:rFonts w:ascii="Arial" w:cs="Arial" w:eastAsia="Arial" w:hAnsi="Arial"/>
                <w:sz w:val="16"/>
                <w:szCs w:val="16"/>
                <w:color w:val="auto"/>
              </w:rPr>
              <w:t>$1,000,000 - $5,000,000</w:t>
            </w:r>
          </w:p>
        </w:tc>
        <w:tc>
          <w:tcPr>
            <w:tcW w:w="1760" w:type="dxa"/>
            <w:vAlign w:val="bottom"/>
            <w:gridSpan w:val="2"/>
          </w:tcPr>
          <w:p>
            <w:pPr>
              <w:jc w:val="right"/>
              <w:ind w:right="340"/>
              <w:spacing w:after="0"/>
              <w:rPr>
                <w:sz w:val="20"/>
                <w:szCs w:val="20"/>
                <w:color w:val="auto"/>
              </w:rPr>
            </w:pPr>
            <w:r>
              <w:rPr>
                <w:rFonts w:ascii="Arial" w:cs="Arial" w:eastAsia="Arial" w:hAnsi="Arial"/>
                <w:sz w:val="16"/>
                <w:szCs w:val="16"/>
                <w:color w:val="auto"/>
              </w:rPr>
              <w:t>None</w:t>
            </w:r>
          </w:p>
        </w:tc>
        <w:tc>
          <w:tcPr>
            <w:tcW w:w="2420" w:type="dxa"/>
            <w:vAlign w:val="bottom"/>
          </w:tcPr>
          <w:p>
            <w:pPr>
              <w:ind w:left="40"/>
              <w:spacing w:after="0"/>
              <w:rPr>
                <w:sz w:val="20"/>
                <w:szCs w:val="20"/>
                <w:color w:val="auto"/>
              </w:rPr>
            </w:pPr>
            <w:r>
              <w:rPr>
                <w:rFonts w:ascii="Arial" w:cs="Arial" w:eastAsia="Arial" w:hAnsi="Arial"/>
                <w:sz w:val="16"/>
                <w:szCs w:val="16"/>
                <w:color w:val="auto"/>
              </w:rPr>
              <w:t>$1,000,000 - $5,000,000</w:t>
            </w:r>
          </w:p>
        </w:tc>
        <w:tc>
          <w:tcPr>
            <w:tcW w:w="2140" w:type="dxa"/>
            <w:vAlign w:val="bottom"/>
          </w:tcPr>
          <w:p>
            <w:pPr>
              <w:jc w:val="right"/>
              <w:spacing w:after="0"/>
              <w:rPr>
                <w:sz w:val="20"/>
                <w:szCs w:val="20"/>
                <w:color w:val="auto"/>
              </w:rPr>
            </w:pPr>
            <w:r>
              <w:rPr>
                <w:rFonts w:ascii="Arial" w:cs="Arial" w:eastAsia="Arial" w:hAnsi="Arial"/>
                <w:sz w:val="16"/>
                <w:szCs w:val="16"/>
                <w:color w:val="auto"/>
              </w:rPr>
              <w:t>None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60" w:type="dxa"/>
            <w:vAlign w:val="bottom"/>
            <w:shd w:val="clear" w:color="auto" w:fill="CCEEFF"/>
          </w:tcPr>
          <w:p>
            <w:pPr>
              <w:spacing w:after="0"/>
              <w:rPr>
                <w:sz w:val="17"/>
                <w:szCs w:val="17"/>
                <w:color w:val="auto"/>
              </w:rPr>
            </w:pPr>
          </w:p>
        </w:tc>
        <w:tc>
          <w:tcPr>
            <w:tcW w:w="3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Over $5,000,000</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340" w:type="dxa"/>
            <w:vAlign w:val="bottom"/>
            <w:shd w:val="clear" w:color="auto" w:fill="CCEEFF"/>
          </w:tcPr>
          <w:p>
            <w:pPr>
              <w:spacing w:after="0"/>
              <w:rPr>
                <w:sz w:val="17"/>
                <w:szCs w:val="17"/>
                <w:color w:val="auto"/>
              </w:rPr>
            </w:pPr>
          </w:p>
        </w:tc>
        <w:tc>
          <w:tcPr>
            <w:tcW w:w="2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Over $5,000,000</w:t>
            </w:r>
          </w:p>
        </w:tc>
        <w:tc>
          <w:tcPr>
            <w:tcW w:w="2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6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60" w:type="dxa"/>
            <w:vAlign w:val="bottom"/>
            <w:shd w:val="clear" w:color="auto" w:fill="CCEEFF"/>
          </w:tcPr>
          <w:p>
            <w:pPr>
              <w:spacing w:after="0"/>
              <w:rPr>
                <w:sz w:val="20"/>
                <w:szCs w:val="20"/>
                <w:color w:val="auto"/>
              </w:rPr>
            </w:pPr>
            <w:r>
              <w:rPr>
                <w:rFonts w:ascii="Arial" w:cs="Arial" w:eastAsia="Arial" w:hAnsi="Arial"/>
                <w:sz w:val="16"/>
                <w:szCs w:val="16"/>
                <w:color w:val="auto"/>
              </w:rPr>
              <w:t>Commercial Lines</w:t>
            </w:r>
          </w:p>
        </w:tc>
        <w:tc>
          <w:tcPr>
            <w:tcW w:w="3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Initial $750,000</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$750,000</w:t>
            </w:r>
          </w:p>
        </w:tc>
        <w:tc>
          <w:tcPr>
            <w:tcW w:w="340" w:type="dxa"/>
            <w:vAlign w:val="bottom"/>
            <w:shd w:val="clear" w:color="auto" w:fill="CCEEFF"/>
          </w:tcPr>
          <w:p>
            <w:pPr>
              <w:spacing w:after="0"/>
              <w:rPr>
                <w:sz w:val="17"/>
                <w:szCs w:val="17"/>
                <w:color w:val="auto"/>
              </w:rPr>
            </w:pPr>
          </w:p>
        </w:tc>
        <w:tc>
          <w:tcPr>
            <w:tcW w:w="2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Initial $750,000</w:t>
            </w:r>
          </w:p>
        </w:tc>
        <w:tc>
          <w:tcPr>
            <w:tcW w:w="2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60" w:type="dxa"/>
            <w:vAlign w:val="bottom"/>
          </w:tcPr>
          <w:p>
            <w:pPr>
              <w:spacing w:after="0"/>
              <w:rPr>
                <w:sz w:val="17"/>
                <w:szCs w:val="17"/>
                <w:color w:val="auto"/>
              </w:rPr>
            </w:pPr>
          </w:p>
        </w:tc>
        <w:tc>
          <w:tcPr>
            <w:tcW w:w="3140" w:type="dxa"/>
            <w:vAlign w:val="bottom"/>
          </w:tcPr>
          <w:p>
            <w:pPr>
              <w:ind w:left="40"/>
              <w:spacing w:after="0"/>
              <w:rPr>
                <w:sz w:val="20"/>
                <w:szCs w:val="20"/>
                <w:color w:val="auto"/>
              </w:rPr>
            </w:pPr>
            <w:r>
              <w:rPr>
                <w:rFonts w:ascii="Arial" w:cs="Arial" w:eastAsia="Arial" w:hAnsi="Arial"/>
                <w:sz w:val="16"/>
                <w:szCs w:val="16"/>
                <w:color w:val="auto"/>
              </w:rPr>
              <w:t>$750,000 - $4,500,000</w:t>
            </w:r>
          </w:p>
        </w:tc>
        <w:tc>
          <w:tcPr>
            <w:tcW w:w="1760" w:type="dxa"/>
            <w:vAlign w:val="bottom"/>
            <w:gridSpan w:val="2"/>
          </w:tcPr>
          <w:p>
            <w:pPr>
              <w:jc w:val="right"/>
              <w:ind w:right="340"/>
              <w:spacing w:after="0"/>
              <w:rPr>
                <w:sz w:val="20"/>
                <w:szCs w:val="20"/>
                <w:color w:val="auto"/>
              </w:rPr>
            </w:pPr>
            <w:r>
              <w:rPr>
                <w:rFonts w:ascii="Arial" w:cs="Arial" w:eastAsia="Arial" w:hAnsi="Arial"/>
                <w:sz w:val="16"/>
                <w:szCs w:val="16"/>
                <w:color w:val="auto"/>
              </w:rPr>
              <w:t>None(3)</w:t>
            </w:r>
          </w:p>
        </w:tc>
        <w:tc>
          <w:tcPr>
            <w:tcW w:w="2420" w:type="dxa"/>
            <w:vAlign w:val="bottom"/>
          </w:tcPr>
          <w:p>
            <w:pPr>
              <w:ind w:left="40"/>
              <w:spacing w:after="0"/>
              <w:rPr>
                <w:sz w:val="20"/>
                <w:szCs w:val="20"/>
                <w:color w:val="auto"/>
              </w:rPr>
            </w:pPr>
            <w:r>
              <w:rPr>
                <w:rFonts w:ascii="Arial" w:cs="Arial" w:eastAsia="Arial" w:hAnsi="Arial"/>
                <w:sz w:val="16"/>
                <w:szCs w:val="16"/>
                <w:color w:val="auto"/>
              </w:rPr>
              <w:t>$750,000 - $4,500,000</w:t>
            </w:r>
          </w:p>
        </w:tc>
        <w:tc>
          <w:tcPr>
            <w:tcW w:w="2140" w:type="dxa"/>
            <w:vAlign w:val="bottom"/>
          </w:tcPr>
          <w:p>
            <w:pPr>
              <w:jc w:val="right"/>
              <w:spacing w:after="0"/>
              <w:rPr>
                <w:sz w:val="20"/>
                <w:szCs w:val="20"/>
                <w:color w:val="auto"/>
              </w:rPr>
            </w:pPr>
            <w:r>
              <w:rPr>
                <w:rFonts w:ascii="Arial" w:cs="Arial" w:eastAsia="Arial" w:hAnsi="Arial"/>
                <w:sz w:val="16"/>
                <w:szCs w:val="16"/>
                <w:color w:val="auto"/>
              </w:rPr>
              <w:t>None(3)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60" w:type="dxa"/>
            <w:vAlign w:val="bottom"/>
            <w:shd w:val="clear" w:color="auto" w:fill="CCEEFF"/>
          </w:tcPr>
          <w:p>
            <w:pPr>
              <w:spacing w:after="0"/>
              <w:rPr>
                <w:sz w:val="17"/>
                <w:szCs w:val="17"/>
                <w:color w:val="auto"/>
              </w:rPr>
            </w:pPr>
          </w:p>
        </w:tc>
        <w:tc>
          <w:tcPr>
            <w:tcW w:w="3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Over $4,500,000</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340" w:type="dxa"/>
            <w:vAlign w:val="bottom"/>
            <w:shd w:val="clear" w:color="auto" w:fill="CCEEFF"/>
          </w:tcPr>
          <w:p>
            <w:pPr>
              <w:spacing w:after="0"/>
              <w:rPr>
                <w:sz w:val="17"/>
                <w:szCs w:val="17"/>
                <w:color w:val="auto"/>
              </w:rPr>
            </w:pPr>
          </w:p>
        </w:tc>
        <w:tc>
          <w:tcPr>
            <w:tcW w:w="2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Over $4,500,000</w:t>
            </w:r>
          </w:p>
        </w:tc>
        <w:tc>
          <w:tcPr>
            <w:tcW w:w="2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6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60" w:type="dxa"/>
            <w:vAlign w:val="bottom"/>
            <w:shd w:val="clear" w:color="auto" w:fill="CCEEFF"/>
          </w:tcPr>
          <w:p>
            <w:pPr>
              <w:spacing w:after="0"/>
              <w:rPr>
                <w:sz w:val="20"/>
                <w:szCs w:val="20"/>
                <w:color w:val="auto"/>
              </w:rPr>
            </w:pPr>
            <w:r>
              <w:rPr>
                <w:rFonts w:ascii="Arial" w:cs="Arial" w:eastAsia="Arial" w:hAnsi="Arial"/>
                <w:sz w:val="16"/>
                <w:szCs w:val="16"/>
                <w:color w:val="auto"/>
              </w:rPr>
              <w:t>Commercial Umbrella</w:t>
            </w:r>
          </w:p>
        </w:tc>
        <w:tc>
          <w:tcPr>
            <w:tcW w:w="3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Initial $1,000,000</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340" w:type="dxa"/>
            <w:vAlign w:val="bottom"/>
            <w:shd w:val="clear" w:color="auto" w:fill="CCEEFF"/>
          </w:tcPr>
          <w:p>
            <w:pPr>
              <w:spacing w:after="0"/>
              <w:rPr>
                <w:sz w:val="17"/>
                <w:szCs w:val="17"/>
                <w:color w:val="auto"/>
              </w:rPr>
            </w:pPr>
          </w:p>
        </w:tc>
        <w:tc>
          <w:tcPr>
            <w:tcW w:w="2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Initial $1,000,000</w:t>
            </w:r>
          </w:p>
        </w:tc>
        <w:tc>
          <w:tcPr>
            <w:tcW w:w="2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60" w:type="dxa"/>
            <w:vAlign w:val="bottom"/>
          </w:tcPr>
          <w:p>
            <w:pPr>
              <w:spacing w:after="0"/>
              <w:rPr>
                <w:sz w:val="17"/>
                <w:szCs w:val="17"/>
                <w:color w:val="auto"/>
              </w:rPr>
            </w:pPr>
          </w:p>
        </w:tc>
        <w:tc>
          <w:tcPr>
            <w:tcW w:w="3140" w:type="dxa"/>
            <w:vAlign w:val="bottom"/>
          </w:tcPr>
          <w:p>
            <w:pPr>
              <w:ind w:left="40"/>
              <w:spacing w:after="0"/>
              <w:rPr>
                <w:sz w:val="20"/>
                <w:szCs w:val="20"/>
                <w:color w:val="auto"/>
              </w:rPr>
            </w:pPr>
            <w:r>
              <w:rPr>
                <w:rFonts w:ascii="Arial" w:cs="Arial" w:eastAsia="Arial" w:hAnsi="Arial"/>
                <w:sz w:val="16"/>
                <w:szCs w:val="16"/>
                <w:color w:val="auto"/>
              </w:rPr>
              <w:t>$1,000,000 - $5,000,000</w:t>
            </w:r>
          </w:p>
        </w:tc>
        <w:tc>
          <w:tcPr>
            <w:tcW w:w="1760" w:type="dxa"/>
            <w:vAlign w:val="bottom"/>
            <w:gridSpan w:val="2"/>
          </w:tcPr>
          <w:p>
            <w:pPr>
              <w:jc w:val="right"/>
              <w:ind w:right="340"/>
              <w:spacing w:after="0"/>
              <w:rPr>
                <w:sz w:val="20"/>
                <w:szCs w:val="20"/>
                <w:color w:val="auto"/>
              </w:rPr>
            </w:pPr>
            <w:r>
              <w:rPr>
                <w:rFonts w:ascii="Arial" w:cs="Arial" w:eastAsia="Arial" w:hAnsi="Arial"/>
                <w:sz w:val="16"/>
                <w:szCs w:val="16"/>
                <w:color w:val="auto"/>
              </w:rPr>
              <w:t>None</w:t>
            </w:r>
          </w:p>
        </w:tc>
        <w:tc>
          <w:tcPr>
            <w:tcW w:w="2420" w:type="dxa"/>
            <w:vAlign w:val="bottom"/>
          </w:tcPr>
          <w:p>
            <w:pPr>
              <w:ind w:left="40"/>
              <w:spacing w:after="0"/>
              <w:rPr>
                <w:sz w:val="20"/>
                <w:szCs w:val="20"/>
                <w:color w:val="auto"/>
              </w:rPr>
            </w:pPr>
            <w:r>
              <w:rPr>
                <w:rFonts w:ascii="Arial" w:cs="Arial" w:eastAsia="Arial" w:hAnsi="Arial"/>
                <w:sz w:val="16"/>
                <w:szCs w:val="16"/>
                <w:color w:val="auto"/>
              </w:rPr>
              <w:t>$1,000,000 - $5,000,000</w:t>
            </w:r>
          </w:p>
        </w:tc>
        <w:tc>
          <w:tcPr>
            <w:tcW w:w="2140" w:type="dxa"/>
            <w:vAlign w:val="bottom"/>
          </w:tcPr>
          <w:p>
            <w:pPr>
              <w:jc w:val="right"/>
              <w:spacing w:after="0"/>
              <w:rPr>
                <w:sz w:val="20"/>
                <w:szCs w:val="20"/>
                <w:color w:val="auto"/>
              </w:rPr>
            </w:pPr>
            <w:r>
              <w:rPr>
                <w:rFonts w:ascii="Arial" w:cs="Arial" w:eastAsia="Arial" w:hAnsi="Arial"/>
                <w:sz w:val="16"/>
                <w:szCs w:val="16"/>
                <w:color w:val="auto"/>
              </w:rPr>
              <w:t>None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60" w:type="dxa"/>
            <w:vAlign w:val="bottom"/>
            <w:shd w:val="clear" w:color="auto" w:fill="CCEEFF"/>
          </w:tcPr>
          <w:p>
            <w:pPr>
              <w:spacing w:after="0"/>
              <w:rPr>
                <w:sz w:val="17"/>
                <w:szCs w:val="17"/>
                <w:color w:val="auto"/>
              </w:rPr>
            </w:pPr>
          </w:p>
        </w:tc>
        <w:tc>
          <w:tcPr>
            <w:tcW w:w="3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Over $5,000,000</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340" w:type="dxa"/>
            <w:vAlign w:val="bottom"/>
            <w:shd w:val="clear" w:color="auto" w:fill="CCEEFF"/>
          </w:tcPr>
          <w:p>
            <w:pPr>
              <w:spacing w:after="0"/>
              <w:rPr>
                <w:sz w:val="17"/>
                <w:szCs w:val="17"/>
                <w:color w:val="auto"/>
              </w:rPr>
            </w:pPr>
          </w:p>
        </w:tc>
        <w:tc>
          <w:tcPr>
            <w:tcW w:w="2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Over $5,000,000</w:t>
            </w:r>
          </w:p>
        </w:tc>
        <w:tc>
          <w:tcPr>
            <w:tcW w:w="2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6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60" w:type="dxa"/>
            <w:vAlign w:val="bottom"/>
            <w:shd w:val="clear" w:color="auto" w:fill="CCEEFF"/>
          </w:tcPr>
          <w:p>
            <w:pPr>
              <w:spacing w:after="0"/>
              <w:rPr>
                <w:sz w:val="20"/>
                <w:szCs w:val="20"/>
                <w:color w:val="auto"/>
              </w:rPr>
            </w:pPr>
            <w:r>
              <w:rPr>
                <w:rFonts w:ascii="Arial" w:cs="Arial" w:eastAsia="Arial" w:hAnsi="Arial"/>
                <w:sz w:val="16"/>
                <w:szCs w:val="16"/>
                <w:color w:val="auto"/>
              </w:rPr>
              <w:t>Catastrophe (4)</w:t>
            </w:r>
          </w:p>
        </w:tc>
        <w:tc>
          <w:tcPr>
            <w:tcW w:w="3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Initial $5,000,000</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$4,500,000</w:t>
            </w:r>
          </w:p>
        </w:tc>
        <w:tc>
          <w:tcPr>
            <w:tcW w:w="340" w:type="dxa"/>
            <w:vAlign w:val="bottom"/>
            <w:shd w:val="clear" w:color="auto" w:fill="CCEEFF"/>
          </w:tcPr>
          <w:p>
            <w:pPr>
              <w:spacing w:after="0"/>
              <w:rPr>
                <w:sz w:val="17"/>
                <w:szCs w:val="17"/>
                <w:color w:val="auto"/>
              </w:rPr>
            </w:pPr>
          </w:p>
        </w:tc>
        <w:tc>
          <w:tcPr>
            <w:tcW w:w="2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Initial $5,000,000</w:t>
            </w:r>
          </w:p>
        </w:tc>
        <w:tc>
          <w:tcPr>
            <w:tcW w:w="2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60" w:type="dxa"/>
            <w:vAlign w:val="bottom"/>
          </w:tcPr>
          <w:p>
            <w:pPr>
              <w:spacing w:after="0"/>
              <w:rPr>
                <w:sz w:val="17"/>
                <w:szCs w:val="17"/>
                <w:color w:val="auto"/>
              </w:rPr>
            </w:pPr>
          </w:p>
        </w:tc>
        <w:tc>
          <w:tcPr>
            <w:tcW w:w="3140" w:type="dxa"/>
            <w:vAlign w:val="bottom"/>
          </w:tcPr>
          <w:p>
            <w:pPr>
              <w:ind w:left="40"/>
              <w:spacing w:after="0"/>
              <w:rPr>
                <w:sz w:val="20"/>
                <w:szCs w:val="20"/>
                <w:color w:val="auto"/>
              </w:rPr>
            </w:pPr>
            <w:r>
              <w:rPr>
                <w:rFonts w:ascii="Arial" w:cs="Arial" w:eastAsia="Arial" w:hAnsi="Arial"/>
                <w:sz w:val="16"/>
                <w:szCs w:val="16"/>
                <w:color w:val="auto"/>
              </w:rPr>
              <w:t>$5,000,000 - $450,000,000</w:t>
            </w:r>
          </w:p>
        </w:tc>
        <w:tc>
          <w:tcPr>
            <w:tcW w:w="1760" w:type="dxa"/>
            <w:vAlign w:val="bottom"/>
            <w:gridSpan w:val="2"/>
          </w:tcPr>
          <w:p>
            <w:pPr>
              <w:jc w:val="right"/>
              <w:ind w:right="340"/>
              <w:spacing w:after="0"/>
              <w:rPr>
                <w:sz w:val="20"/>
                <w:szCs w:val="20"/>
                <w:color w:val="auto"/>
              </w:rPr>
            </w:pPr>
            <w:r>
              <w:rPr>
                <w:rFonts w:ascii="Arial" w:cs="Arial" w:eastAsia="Arial" w:hAnsi="Arial"/>
                <w:sz w:val="16"/>
                <w:szCs w:val="16"/>
                <w:color w:val="auto"/>
              </w:rPr>
              <w:t>None</w:t>
            </w:r>
          </w:p>
        </w:tc>
        <w:tc>
          <w:tcPr>
            <w:tcW w:w="2420" w:type="dxa"/>
            <w:vAlign w:val="bottom"/>
          </w:tcPr>
          <w:p>
            <w:pPr>
              <w:ind w:left="40"/>
              <w:spacing w:after="0"/>
              <w:rPr>
                <w:sz w:val="20"/>
                <w:szCs w:val="20"/>
                <w:color w:val="auto"/>
              </w:rPr>
            </w:pPr>
            <w:r>
              <w:rPr>
                <w:rFonts w:ascii="Arial" w:cs="Arial" w:eastAsia="Arial" w:hAnsi="Arial"/>
                <w:sz w:val="16"/>
                <w:szCs w:val="16"/>
                <w:color w:val="auto"/>
              </w:rPr>
              <w:t>$5,000,000 - $320,000,000</w:t>
            </w:r>
          </w:p>
        </w:tc>
        <w:tc>
          <w:tcPr>
            <w:tcW w:w="2140" w:type="dxa"/>
            <w:vAlign w:val="bottom"/>
          </w:tcPr>
          <w:p>
            <w:pPr>
              <w:jc w:val="right"/>
              <w:spacing w:after="0"/>
              <w:rPr>
                <w:sz w:val="20"/>
                <w:szCs w:val="20"/>
                <w:color w:val="auto"/>
              </w:rPr>
            </w:pPr>
            <w:r>
              <w:rPr>
                <w:rFonts w:ascii="Arial" w:cs="Arial" w:eastAsia="Arial" w:hAnsi="Arial"/>
                <w:sz w:val="16"/>
                <w:szCs w:val="16"/>
                <w:color w:val="auto"/>
              </w:rPr>
              <w:t>None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60" w:type="dxa"/>
            <w:vAlign w:val="bottom"/>
            <w:shd w:val="clear" w:color="auto" w:fill="CCEEFF"/>
          </w:tcPr>
          <w:p>
            <w:pPr>
              <w:spacing w:after="0"/>
              <w:rPr>
                <w:sz w:val="17"/>
                <w:szCs w:val="17"/>
                <w:color w:val="auto"/>
              </w:rPr>
            </w:pPr>
          </w:p>
        </w:tc>
        <w:tc>
          <w:tcPr>
            <w:tcW w:w="3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Over $450,000,000</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340" w:type="dxa"/>
            <w:vAlign w:val="bottom"/>
            <w:shd w:val="clear" w:color="auto" w:fill="CCEEFF"/>
          </w:tcPr>
          <w:p>
            <w:pPr>
              <w:spacing w:after="0"/>
              <w:rPr>
                <w:sz w:val="17"/>
                <w:szCs w:val="17"/>
                <w:color w:val="auto"/>
              </w:rPr>
            </w:pPr>
          </w:p>
        </w:tc>
        <w:tc>
          <w:tcPr>
            <w:tcW w:w="2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Over $320,000,000</w:t>
            </w:r>
          </w:p>
        </w:tc>
        <w:tc>
          <w:tcPr>
            <w:tcW w:w="2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300" w:hanging="299"/>
        <w:spacing w:after="0"/>
        <w:tabs>
          <w:tab w:leader="none" w:pos="3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Treaty for July 1, 2017 – June 30, 2018 and July 1, 2018 – June 30, 2019 is a two-year treaty with expiration date of June 30, 2019.</w:t>
      </w:r>
    </w:p>
    <w:p>
      <w:pPr>
        <w:spacing w:after="0" w:line="24" w:lineRule="exact"/>
        <w:rPr>
          <w:rFonts w:ascii="Arial" w:cs="Arial" w:eastAsia="Arial" w:hAnsi="Arial"/>
          <w:sz w:val="16"/>
          <w:szCs w:val="16"/>
          <w:color w:val="auto"/>
        </w:rPr>
      </w:pPr>
    </w:p>
    <w:p>
      <w:pPr>
        <w:ind w:left="300" w:hanging="299"/>
        <w:spacing w:after="0"/>
        <w:tabs>
          <w:tab w:leader="none" w:pos="3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Covered by excess of loss treaties up to $3,500,000 and by facultative facility from $3,500,000 to $10,000,000.</w:t>
      </w:r>
    </w:p>
    <w:p>
      <w:pPr>
        <w:spacing w:after="0" w:line="18" w:lineRule="exact"/>
        <w:rPr>
          <w:rFonts w:ascii="Arial" w:cs="Arial" w:eastAsia="Arial" w:hAnsi="Arial"/>
          <w:sz w:val="16"/>
          <w:szCs w:val="16"/>
          <w:color w:val="auto"/>
        </w:rPr>
      </w:pPr>
    </w:p>
    <w:p>
      <w:pPr>
        <w:ind w:left="300" w:hanging="299"/>
        <w:spacing w:after="0"/>
        <w:tabs>
          <w:tab w:leader="none" w:pos="3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Covered by excess of loss treaties.</w:t>
      </w:r>
    </w:p>
    <w:p>
      <w:pPr>
        <w:spacing w:after="0" w:line="18" w:lineRule="exact"/>
        <w:rPr>
          <w:rFonts w:ascii="Arial" w:cs="Arial" w:eastAsia="Arial" w:hAnsi="Arial"/>
          <w:sz w:val="16"/>
          <w:szCs w:val="16"/>
          <w:color w:val="auto"/>
        </w:rPr>
      </w:pPr>
    </w:p>
    <w:p>
      <w:pPr>
        <w:ind w:left="300" w:hanging="299"/>
        <w:spacing w:after="0"/>
        <w:tabs>
          <w:tab w:leader="none" w:pos="3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Catastrophe coverage is limited on an annual basis to two times the per occurrence amounts.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Off-Balance Sheet Arrangements</w:t>
      </w:r>
    </w:p>
    <w:p>
      <w:pPr>
        <w:spacing w:after="0" w:line="162" w:lineRule="exact"/>
        <w:rPr>
          <w:sz w:val="20"/>
          <w:szCs w:val="20"/>
          <w:color w:val="auto"/>
        </w:rPr>
      </w:pPr>
    </w:p>
    <w:p>
      <w:pPr>
        <w:ind w:firstLine="608"/>
        <w:spacing w:after="0" w:line="296" w:lineRule="auto"/>
        <w:rPr>
          <w:sz w:val="20"/>
          <w:szCs w:val="20"/>
          <w:color w:val="auto"/>
        </w:rPr>
      </w:pPr>
      <w:r>
        <w:rPr>
          <w:rFonts w:ascii="Arial" w:cs="Arial" w:eastAsia="Arial" w:hAnsi="Arial"/>
          <w:sz w:val="16"/>
          <w:szCs w:val="16"/>
          <w:color w:val="auto"/>
        </w:rPr>
        <w:t>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68" w:name="page69"/>
    <w:bookmarkEnd w:id="68"/>
    <w:p>
      <w:pPr>
        <w:spacing w:after="0"/>
        <w:rPr>
          <w:sz w:val="20"/>
          <w:szCs w:val="20"/>
          <w:color w:val="auto"/>
        </w:rPr>
      </w:pPr>
      <w:r>
        <w:rPr>
          <w:rFonts w:ascii="Arial" w:cs="Arial" w:eastAsia="Arial" w:hAnsi="Arial"/>
          <w:sz w:val="16"/>
          <w:szCs w:val="16"/>
          <w:b w:val="1"/>
          <w:bCs w:val="1"/>
          <w:color w:val="auto"/>
        </w:rPr>
        <w:t xml:space="preserve">Item 3. </w:t>
      </w:r>
      <w:r>
        <w:rPr>
          <w:rFonts w:ascii="Arial" w:cs="Arial" w:eastAsia="Arial" w:hAnsi="Arial"/>
          <w:sz w:val="16"/>
          <w:szCs w:val="16"/>
          <w:b w:val="1"/>
          <w:bCs w:val="1"/>
          <w:u w:val="single" w:color="auto"/>
          <w:color w:val="auto"/>
        </w:rPr>
        <w:t>Quantitative and Qualitative Disclosures About Market Risk</w:t>
      </w:r>
      <w:r>
        <w:rPr>
          <w:rFonts w:ascii="Arial" w:cs="Arial" w:eastAsia="Arial" w:hAnsi="Arial"/>
          <w:sz w:val="16"/>
          <w:szCs w:val="16"/>
          <w:color w:val="auto"/>
        </w:rPr>
        <w:t>.</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This item is not applicable to smaller reporting companies.</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4. </w:t>
      </w:r>
      <w:r>
        <w:rPr>
          <w:rFonts w:ascii="Arial" w:cs="Arial" w:eastAsia="Arial" w:hAnsi="Arial"/>
          <w:sz w:val="16"/>
          <w:szCs w:val="16"/>
          <w:b w:val="1"/>
          <w:bCs w:val="1"/>
          <w:u w:val="single" w:color="auto"/>
          <w:color w:val="auto"/>
        </w:rPr>
        <w:t>Controls and Procedures</w:t>
      </w:r>
      <w:r>
        <w:rPr>
          <w:rFonts w:ascii="Arial" w:cs="Arial" w:eastAsia="Arial" w:hAnsi="Arial"/>
          <w:sz w:val="16"/>
          <w:szCs w:val="16"/>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Evaluation of Disclosure Controls and Procedures</w:t>
      </w:r>
    </w:p>
    <w:p>
      <w:pPr>
        <w:spacing w:after="0" w:line="221" w:lineRule="exact"/>
        <w:rPr>
          <w:sz w:val="20"/>
          <w:szCs w:val="20"/>
          <w:color w:val="auto"/>
        </w:rPr>
      </w:pPr>
    </w:p>
    <w:p>
      <w:pPr>
        <w:jc w:val="both"/>
        <w:ind w:firstLine="608"/>
        <w:spacing w:after="0" w:line="268" w:lineRule="auto"/>
        <w:rPr>
          <w:sz w:val="20"/>
          <w:szCs w:val="20"/>
          <w:color w:val="auto"/>
        </w:rPr>
      </w:pPr>
      <w:r>
        <w:rPr>
          <w:rFonts w:ascii="Arial" w:cs="Arial" w:eastAsia="Arial" w:hAnsi="Arial"/>
          <w:sz w:val="16"/>
          <w:szCs w:val="16"/>
          <w:color w:val="auto"/>
        </w:rPr>
        <w:t>We maintain a system of disclosure controls and procedures as defined in Rule 13a-15(e) under the Exchange Act that are designed to assure that information required to be disclosed in the reports we file or submit under the Exchange Act is recorded, processed, summarized and reported within the time periods specified in the SEC’s rules and forms, and that such information is accumulated and communicated to management, including our Chief Executive Officer and Chief Financial Officer, as appropriate, to allow timely decisions regarding required disclosures. Based on this evaluation, our Chief Executive Officer and Chief Financial Officer have concluded that, as of the end of such period, our disclosure controls and procedures were: (i) not effective as of September 30, 2019 as a result of the material weakness identified in the quarter in recording, processing, summarizing, and reporting information on a timely basis that we are required to disclose in the reports that we file or submit under the Exchange Act, and (ii) not effective as of September 30, 2019 in ensuring that information that we are required to disclose in the reports that we file or submit under the Exchange Act is accumulated and communicated to our management, including our Chief Executive Officer and Chief Financial Officer, as appropriate, to allow timely decisions regarding required disclosure.</w:t>
      </w:r>
    </w:p>
    <w:p>
      <w:pPr>
        <w:spacing w:after="0" w:line="114" w:lineRule="exact"/>
        <w:rPr>
          <w:sz w:val="20"/>
          <w:szCs w:val="20"/>
          <w:color w:val="auto"/>
        </w:rPr>
      </w:pPr>
    </w:p>
    <w:p>
      <w:pPr>
        <w:jc w:val="both"/>
        <w:ind w:firstLine="608"/>
        <w:spacing w:after="0" w:line="290" w:lineRule="auto"/>
        <w:rPr>
          <w:sz w:val="20"/>
          <w:szCs w:val="20"/>
          <w:color w:val="auto"/>
        </w:rPr>
      </w:pPr>
      <w:r>
        <w:rPr>
          <w:rFonts w:ascii="Arial" w:cs="Arial" w:eastAsia="Arial" w:hAnsi="Arial"/>
          <w:sz w:val="15"/>
          <w:szCs w:val="15"/>
          <w:color w:val="auto"/>
        </w:rPr>
        <w:t>As required by Exchange Act Rule 13a-15(b), as of the end of the period covered by this Quarterly Report, under the supervision and with the participation of our Chief Executive Officer and Chief Financial Officer, we evaluated the effectiveness of our disclosure controls and procedures. Our management concluded that, as of September 30, 2019, our internal control over financial reporting was not effective. Management determined there was ineffective oversight over the process of setting appropriate liability case reserves, which has been assessed as a material weakness. Case reserve estimates are subject to individual judgment, and provide the primary information used as the basis for setting overall reserve levels including a provision for IBNR reserves. Notwithstanding the material weakness, management has concluded that the accompanying condensed consolidated financial statements included in this Form 10-Q fairly present, in all material respects, the financial position, results of operations, and cash flows for the periods presented in accordance with U.S. generally accepted accounting principles.</w:t>
      </w:r>
    </w:p>
    <w:p>
      <w:pPr>
        <w:spacing w:after="0" w:line="188" w:lineRule="exact"/>
        <w:rPr>
          <w:sz w:val="20"/>
          <w:szCs w:val="20"/>
          <w:color w:val="auto"/>
        </w:rPr>
      </w:pPr>
    </w:p>
    <w:p>
      <w:pPr>
        <w:jc w:val="both"/>
        <w:ind w:right="20" w:firstLine="608"/>
        <w:spacing w:after="0" w:line="296" w:lineRule="auto"/>
        <w:rPr>
          <w:sz w:val="20"/>
          <w:szCs w:val="20"/>
          <w:color w:val="auto"/>
        </w:rPr>
      </w:pPr>
      <w:r>
        <w:rPr>
          <w:rFonts w:ascii="Arial" w:cs="Arial" w:eastAsia="Arial" w:hAnsi="Arial"/>
          <w:sz w:val="16"/>
          <w:szCs w:val="16"/>
          <w:color w:val="auto"/>
        </w:rPr>
        <w:t>A material weakness is a deficiency, or combination of deficiencies, in internal control over financial reporting such that there is a reasonable possibility that a material misstatement of an entity's financial statements will not be prevented or detected and corrected on a timely basis.</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Identification of the Material Weakness in Internal Control over Financial Reporting</w:t>
      </w:r>
    </w:p>
    <w:p>
      <w:pPr>
        <w:spacing w:after="0" w:line="158" w:lineRule="exact"/>
        <w:rPr>
          <w:sz w:val="20"/>
          <w:szCs w:val="20"/>
          <w:color w:val="auto"/>
        </w:rPr>
      </w:pPr>
    </w:p>
    <w:p>
      <w:pPr>
        <w:jc w:val="both"/>
        <w:ind w:firstLine="608"/>
        <w:spacing w:after="0" w:line="296" w:lineRule="auto"/>
        <w:rPr>
          <w:sz w:val="20"/>
          <w:szCs w:val="20"/>
          <w:color w:val="auto"/>
        </w:rPr>
      </w:pPr>
      <w:r>
        <w:rPr>
          <w:rFonts w:ascii="Arial" w:cs="Arial" w:eastAsia="Arial" w:hAnsi="Arial"/>
          <w:sz w:val="16"/>
          <w:szCs w:val="16"/>
          <w:color w:val="auto"/>
        </w:rPr>
        <w:t>During our assessment we determined that the following material weaknesses existed as of September, 30, 2019 in the principles associated with both the control and monitoring activity components of the COSO framework:</w:t>
      </w:r>
    </w:p>
    <w:p>
      <w:pPr>
        <w:spacing w:after="0" w:line="91" w:lineRule="exact"/>
        <w:rPr>
          <w:sz w:val="20"/>
          <w:szCs w:val="20"/>
          <w:color w:val="auto"/>
        </w:rPr>
      </w:pPr>
    </w:p>
    <w:p>
      <w:pPr>
        <w:jc w:val="both"/>
        <w:ind w:firstLine="608"/>
        <w:spacing w:after="0" w:line="307" w:lineRule="auto"/>
        <w:rPr>
          <w:sz w:val="20"/>
          <w:szCs w:val="20"/>
          <w:color w:val="auto"/>
        </w:rPr>
      </w:pPr>
      <w:r>
        <w:rPr>
          <w:rFonts w:ascii="Arial" w:cs="Arial" w:eastAsia="Arial" w:hAnsi="Arial"/>
          <w:sz w:val="15"/>
          <w:szCs w:val="15"/>
          <w:color w:val="auto"/>
        </w:rPr>
        <w:t>The material weakness relates to the ineffective oversight over the establishment of case reserve levels, as discussed above. As of the date of this report, there have been no misstatements identified. Insurance loss reserving is an inherently judgmental process. It is dependent on individual opinions regarding specific information available at a given point in time. Recent reviews of our claims reserving process by multiple parties have led to the additional increase in reserves taken this quarter.</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Remediation Plans</w:t>
      </w:r>
    </w:p>
    <w:p>
      <w:pPr>
        <w:spacing w:after="0" w:line="221" w:lineRule="exact"/>
        <w:rPr>
          <w:sz w:val="20"/>
          <w:szCs w:val="20"/>
          <w:color w:val="auto"/>
        </w:rPr>
      </w:pPr>
    </w:p>
    <w:p>
      <w:pPr>
        <w:jc w:val="both"/>
        <w:ind w:firstLine="608"/>
        <w:spacing w:after="0" w:line="292" w:lineRule="auto"/>
        <w:rPr>
          <w:sz w:val="20"/>
          <w:szCs w:val="20"/>
          <w:color w:val="auto"/>
        </w:rPr>
      </w:pPr>
      <w:r>
        <w:rPr>
          <w:rFonts w:ascii="Arial" w:cs="Arial" w:eastAsia="Arial" w:hAnsi="Arial"/>
          <w:sz w:val="15"/>
          <w:szCs w:val="15"/>
          <w:color w:val="auto"/>
        </w:rPr>
        <w:t>Our management, with oversight from our Audit Committee, will initiate a plan to remediate the material weakness above. Management will work to ensure that all designed control activities are executed appropriately for the remainder of 2019. Management believes that such activities will allow the Company to select, develop, and perform ongoing and/or separate evaluations to ascertain whether our components of internal control are present and functioning. Because the reliability of the internal control process requires repeatable execution, the material weakness cannot be considered fully remediated until all remedial processes and procedures have been implemented, each applicable control has operated for a sufficient period of time, and management has concluded, through testing, that the controls are operating effectively. Until the material weakness is remediated, we will not be able to assert that our internal controls are effective.</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Internal Control over Financial Reporting</w:t>
      </w:r>
    </w:p>
    <w:p>
      <w:pPr>
        <w:spacing w:after="0" w:line="158" w:lineRule="exact"/>
        <w:rPr>
          <w:sz w:val="20"/>
          <w:szCs w:val="20"/>
          <w:color w:val="auto"/>
        </w:rPr>
      </w:pPr>
    </w:p>
    <w:p>
      <w:pPr>
        <w:jc w:val="both"/>
        <w:ind w:firstLine="608"/>
        <w:spacing w:after="0" w:line="296" w:lineRule="auto"/>
        <w:rPr>
          <w:sz w:val="20"/>
          <w:szCs w:val="20"/>
          <w:color w:val="auto"/>
        </w:rPr>
      </w:pPr>
      <w:r>
        <w:rPr>
          <w:rFonts w:ascii="Arial" w:cs="Arial" w:eastAsia="Arial" w:hAnsi="Arial"/>
          <w:sz w:val="16"/>
          <w:szCs w:val="16"/>
          <w:color w:val="auto"/>
        </w:rPr>
        <w:t>There was no change in our internal control over financial reporting during our most recently completed fiscal quarter that has materially affected, or is reasonably likely to materially affect, our internal control over financial reporting.</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418"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6"/>
          <w:szCs w:val="16"/>
          <w:b w:val="1"/>
          <w:bCs w:val="1"/>
          <w:color w:val="auto"/>
        </w:rPr>
        <w:t xml:space="preserve">PART II. </w:t>
      </w:r>
      <w:r>
        <w:rPr>
          <w:rFonts w:ascii="Arial" w:cs="Arial" w:eastAsia="Arial" w:hAnsi="Arial"/>
          <w:sz w:val="16"/>
          <w:szCs w:val="16"/>
          <w:b w:val="1"/>
          <w:bCs w:val="1"/>
          <w:u w:val="single" w:color="auto"/>
          <w:color w:val="auto"/>
        </w:rPr>
        <w:t>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 </w:t>
      </w:r>
      <w:r>
        <w:rPr>
          <w:rFonts w:ascii="Arial" w:cs="Arial" w:eastAsia="Arial" w:hAnsi="Arial"/>
          <w:sz w:val="16"/>
          <w:szCs w:val="16"/>
          <w:b w:val="1"/>
          <w:bCs w:val="1"/>
          <w:u w:val="single" w:color="auto"/>
          <w:color w:val="auto"/>
        </w:rPr>
        <w:t>Legal Proceedings</w:t>
      </w:r>
      <w:r>
        <w:rPr>
          <w:rFonts w:ascii="Arial" w:cs="Arial" w:eastAsia="Arial" w:hAnsi="Arial"/>
          <w:sz w:val="16"/>
          <w:szCs w:val="16"/>
          <w:color w:val="auto"/>
        </w:rPr>
        <w:t>.</w:t>
      </w:r>
    </w:p>
    <w:p>
      <w:pPr>
        <w:spacing w:after="0" w:line="225" w:lineRule="exact"/>
        <w:rPr>
          <w:sz w:val="20"/>
          <w:szCs w:val="20"/>
          <w:color w:val="auto"/>
        </w:rPr>
      </w:pPr>
    </w:p>
    <w:p>
      <w:pPr>
        <w:jc w:val="both"/>
        <w:ind w:firstLine="608"/>
        <w:spacing w:after="0" w:line="290" w:lineRule="auto"/>
        <w:rPr>
          <w:sz w:val="20"/>
          <w:szCs w:val="20"/>
          <w:color w:val="auto"/>
        </w:rPr>
      </w:pPr>
      <w:r>
        <w:rPr>
          <w:rFonts w:ascii="Arial" w:cs="Arial" w:eastAsia="Arial" w:hAnsi="Arial"/>
          <w:sz w:val="15"/>
          <w:szCs w:val="15"/>
          <w:color w:val="auto"/>
        </w:rPr>
        <w:t xml:space="preserve">On June 12, 2019, Phillip Woolgar filed a suit naming the Company and certain present or former officers and directors as defendants in a putative class action captioned </w:t>
      </w:r>
      <w:r>
        <w:rPr>
          <w:rFonts w:ascii="Arial" w:cs="Arial" w:eastAsia="Arial" w:hAnsi="Arial"/>
          <w:sz w:val="15"/>
          <w:szCs w:val="15"/>
          <w:i w:val="1"/>
          <w:iCs w:val="1"/>
          <w:color w:val="auto"/>
        </w:rPr>
        <w:t>Woolgar v. Kingstone Companies et al.</w:t>
      </w:r>
      <w:r>
        <w:rPr>
          <w:rFonts w:ascii="Arial" w:cs="Arial" w:eastAsia="Arial" w:hAnsi="Arial"/>
          <w:sz w:val="15"/>
          <w:szCs w:val="15"/>
          <w:color w:val="auto"/>
        </w:rPr>
        <w:t>, 19 cv 05500 (S.D.N.Y.), asserting claims under Section 10(b) of the Exchange Act and SEC Rule 10b-5 promulgated thereunder and Section 20(a) of the Exchange Act. Plaintiff seeks to represent a class of persons or entities that purchased Kingstone securities between March 14, 2018, and April 29, 2019, and alleges violations of the federal securities law in connection with the Company’s April 29, 2019 announcement regarding losses related to winter catastrophe events. The lawsuit alleges that the Company failed to disclose that it did not adequately follow industry best practices related to claims handling and thus did not record sufficient claim reserves, and that as a result, Defendants’ positive statements about the Company’s business, operations and prospects misled investors. Plaintiff seeks, among other things, an undetermined amount of money damages. We believe the lawsuit to be without merit.</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1A. </w:t>
      </w:r>
      <w:r>
        <w:rPr>
          <w:rFonts w:ascii="Arial" w:cs="Arial" w:eastAsia="Arial" w:hAnsi="Arial"/>
          <w:sz w:val="16"/>
          <w:szCs w:val="16"/>
          <w:b w:val="1"/>
          <w:bCs w:val="1"/>
          <w:u w:val="single" w:color="auto"/>
          <w:color w:val="auto"/>
        </w:rPr>
        <w:t>Risk Factors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-3810</wp:posOffset>
            </wp:positionV>
            <wp:extent cx="260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205" w:lineRule="exact"/>
        <w:rPr>
          <w:sz w:val="20"/>
          <w:szCs w:val="20"/>
          <w:color w:val="auto"/>
        </w:rPr>
      </w:pPr>
    </w:p>
    <w:p>
      <w:pPr>
        <w:jc w:val="both"/>
        <w:ind w:firstLine="608"/>
        <w:spacing w:after="0" w:line="296" w:lineRule="auto"/>
        <w:rPr>
          <w:sz w:val="20"/>
          <w:szCs w:val="20"/>
          <w:color w:val="auto"/>
        </w:rPr>
      </w:pPr>
      <w:r>
        <w:rPr>
          <w:rFonts w:ascii="Arial" w:cs="Arial" w:eastAsia="Arial" w:hAnsi="Arial"/>
          <w:sz w:val="16"/>
          <w:szCs w:val="16"/>
          <w:color w:val="auto"/>
        </w:rPr>
        <w:t>There have been no material changes from the risk factors previously disclosed in Part I Item 1A of our Annual Report on Form 10-K for the year ended December 31, 2018 except for the following:</w:t>
      </w:r>
    </w:p>
    <w:p>
      <w:pPr>
        <w:spacing w:after="0" w:line="15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i w:val="1"/>
          <w:iCs w:val="1"/>
          <w:color w:val="auto"/>
        </w:rPr>
        <w:t>Our failure to implement and maintain adequate internal controls over financial reporting in our business could have a material adverse effect on our business, financial condition, results of operations and stock price.</w:t>
      </w:r>
    </w:p>
    <w:p>
      <w:pPr>
        <w:spacing w:after="0" w:line="154" w:lineRule="exact"/>
        <w:rPr>
          <w:sz w:val="20"/>
          <w:szCs w:val="20"/>
          <w:color w:val="auto"/>
        </w:rPr>
      </w:pPr>
    </w:p>
    <w:p>
      <w:pPr>
        <w:jc w:val="both"/>
        <w:ind w:firstLine="608"/>
        <w:spacing w:after="0" w:line="280" w:lineRule="auto"/>
        <w:rPr>
          <w:sz w:val="20"/>
          <w:szCs w:val="20"/>
          <w:color w:val="auto"/>
        </w:rPr>
      </w:pPr>
      <w:r>
        <w:rPr>
          <w:rFonts w:ascii="Arial" w:cs="Arial" w:eastAsia="Arial" w:hAnsi="Arial"/>
          <w:sz w:val="16"/>
          <w:szCs w:val="16"/>
          <w:color w:val="auto"/>
        </w:rPr>
        <w:t>"Internal controls over financial reporting" refer to those procedures within a company that are designed to reasonably ensure the accuracy of the company's financial statements. Section 404 of the Sarbanes-Oxley Act of 2002 requires our management to annually assess the effectiveness of our internal controls over financial reporting.</w:t>
      </w:r>
    </w:p>
    <w:p>
      <w:pPr>
        <w:spacing w:after="0" w:line="167" w:lineRule="exact"/>
        <w:rPr>
          <w:sz w:val="20"/>
          <w:szCs w:val="20"/>
          <w:color w:val="auto"/>
        </w:rPr>
      </w:pPr>
    </w:p>
    <w:p>
      <w:pPr>
        <w:jc w:val="both"/>
        <w:ind w:firstLine="608"/>
        <w:spacing w:after="0" w:line="280" w:lineRule="auto"/>
        <w:rPr>
          <w:sz w:val="20"/>
          <w:szCs w:val="20"/>
          <w:color w:val="auto"/>
        </w:rPr>
      </w:pPr>
      <w:r>
        <w:rPr>
          <w:rFonts w:ascii="Arial" w:cs="Arial" w:eastAsia="Arial" w:hAnsi="Arial"/>
          <w:sz w:val="16"/>
          <w:szCs w:val="16"/>
          <w:color w:val="auto"/>
        </w:rPr>
        <w:t>As discussed in Part I, Item 4 of this Form 10-Q, we have determined that, as of September 30, 2019, a material weakness in internal control over financial reporting existed with regard to the process surrounding the establishment of case reserve levels. We will initiate a plan to remedy the material weakness in order that all design control activities are executed appropriately for the remainder of 2019.</w:t>
      </w:r>
    </w:p>
    <w:p>
      <w:pPr>
        <w:spacing w:after="0" w:line="167" w:lineRule="exact"/>
        <w:rPr>
          <w:sz w:val="20"/>
          <w:szCs w:val="20"/>
          <w:color w:val="auto"/>
        </w:rPr>
      </w:pPr>
    </w:p>
    <w:p>
      <w:pPr>
        <w:jc w:val="both"/>
        <w:ind w:firstLine="608"/>
        <w:spacing w:after="0" w:line="272" w:lineRule="auto"/>
        <w:rPr>
          <w:sz w:val="20"/>
          <w:szCs w:val="20"/>
          <w:color w:val="auto"/>
        </w:rPr>
      </w:pPr>
      <w:r>
        <w:rPr>
          <w:rFonts w:ascii="Arial" w:cs="Arial" w:eastAsia="Arial" w:hAnsi="Arial"/>
          <w:sz w:val="16"/>
          <w:szCs w:val="16"/>
          <w:color w:val="auto"/>
        </w:rPr>
        <w:t>If we fail to achieve and maintain adequate internal controls, or if we have material weaknesses in our internal controls, in each case in accordance with applicable standards, we may be unable to conclude on an ongoing basis that we have effective internal controls over financial reporting in accordance with Section 404. Because effective internal controls are necessary for us to produce reliable financial reports, our business, financial condition and results of operations could be harmed, investors could lose confidence in our reported financial information, and the market price for our stock could decline if our internal controls are ineffective or if material weaknesses in our internal controls are identified.</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2. </w:t>
      </w:r>
      <w:r>
        <w:rPr>
          <w:rFonts w:ascii="Arial" w:cs="Arial" w:eastAsia="Arial" w:hAnsi="Arial"/>
          <w:sz w:val="16"/>
          <w:szCs w:val="16"/>
          <w:b w:val="1"/>
          <w:bCs w:val="1"/>
          <w:u w:val="single" w:color="auto"/>
          <w:color w:val="auto"/>
        </w:rPr>
        <w:t>Unregistered Sales of Equity Securities and Use of Proceeds</w:t>
      </w:r>
      <w:r>
        <w:rPr>
          <w:rFonts w:ascii="Arial" w:cs="Arial" w:eastAsia="Arial" w:hAnsi="Arial"/>
          <w:sz w:val="16"/>
          <w:szCs w:val="16"/>
          <w:color w:val="auto"/>
        </w:rPr>
        <w:t>.</w:t>
      </w:r>
    </w:p>
    <w:p>
      <w:pPr>
        <w:spacing w:after="0" w:line="162" w:lineRule="exact"/>
        <w:rPr>
          <w:sz w:val="20"/>
          <w:szCs w:val="20"/>
          <w:color w:val="auto"/>
        </w:rPr>
      </w:pPr>
    </w:p>
    <w:p>
      <w:pPr>
        <w:ind w:left="880" w:hanging="271"/>
        <w:spacing w:after="0"/>
        <w:tabs>
          <w:tab w:leader="none" w:pos="8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None.</w:t>
      </w:r>
    </w:p>
    <w:p>
      <w:pPr>
        <w:spacing w:after="0" w:line="221" w:lineRule="exact"/>
        <w:rPr>
          <w:rFonts w:ascii="Arial" w:cs="Arial" w:eastAsia="Arial" w:hAnsi="Arial"/>
          <w:sz w:val="16"/>
          <w:szCs w:val="16"/>
          <w:color w:val="auto"/>
        </w:rPr>
      </w:pPr>
    </w:p>
    <w:p>
      <w:pPr>
        <w:ind w:left="880" w:hanging="271"/>
        <w:spacing w:after="0"/>
        <w:tabs>
          <w:tab w:leader="none" w:pos="8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Not applicable.</w:t>
      </w:r>
    </w:p>
    <w:p>
      <w:pPr>
        <w:spacing w:after="0" w:line="221" w:lineRule="exact"/>
        <w:rPr>
          <w:rFonts w:ascii="Arial" w:cs="Arial" w:eastAsia="Arial" w:hAnsi="Arial"/>
          <w:sz w:val="16"/>
          <w:szCs w:val="16"/>
          <w:color w:val="auto"/>
        </w:rPr>
      </w:pPr>
    </w:p>
    <w:p>
      <w:pPr>
        <w:ind w:left="840" w:hanging="231"/>
        <w:spacing w:after="0"/>
        <w:tabs>
          <w:tab w:leader="none" w:pos="8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There were no purchases of common stock made by us or any “affiliated purchaser” during the quarter ended September 30, 2019.</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3. </w:t>
      </w:r>
      <w:r>
        <w:rPr>
          <w:rFonts w:ascii="Arial" w:cs="Arial" w:eastAsia="Arial" w:hAnsi="Arial"/>
          <w:sz w:val="16"/>
          <w:szCs w:val="16"/>
          <w:b w:val="1"/>
          <w:bCs w:val="1"/>
          <w:u w:val="single" w:color="auto"/>
          <w:color w:val="auto"/>
        </w:rPr>
        <w:t>Defaults Upon Senior Securities</w:t>
      </w:r>
      <w:r>
        <w:rPr>
          <w:rFonts w:ascii="Arial" w:cs="Arial" w:eastAsia="Arial" w:hAnsi="Arial"/>
          <w:sz w:val="16"/>
          <w:szCs w:val="16"/>
          <w:color w:val="auto"/>
        </w:rPr>
        <w:t>.</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None.</w:t>
      </w:r>
    </w:p>
    <w:p>
      <w:pPr>
        <w:spacing w:after="0" w:line="217" w:lineRule="exact"/>
        <w:rPr>
          <w:sz w:val="20"/>
          <w:szCs w:val="20"/>
          <w:color w:val="auto"/>
        </w:rPr>
      </w:pPr>
    </w:p>
    <w:p>
      <w:pPr>
        <w:jc w:val="center"/>
        <w:ind w:right="9160"/>
        <w:spacing w:after="0"/>
        <w:rPr>
          <w:sz w:val="20"/>
          <w:szCs w:val="20"/>
          <w:color w:val="auto"/>
        </w:rPr>
      </w:pPr>
      <w:r>
        <w:rPr>
          <w:rFonts w:ascii="Arial" w:cs="Arial" w:eastAsia="Arial" w:hAnsi="Arial"/>
          <w:sz w:val="14"/>
          <w:szCs w:val="14"/>
          <w:b w:val="1"/>
          <w:bCs w:val="1"/>
          <w:color w:val="auto"/>
        </w:rPr>
        <w:t xml:space="preserve">Item 4. </w:t>
      </w:r>
      <w:r>
        <w:rPr>
          <w:rFonts w:ascii="Arial" w:cs="Arial" w:eastAsia="Arial" w:hAnsi="Arial"/>
          <w:sz w:val="14"/>
          <w:szCs w:val="14"/>
          <w:b w:val="1"/>
          <w:bCs w:val="1"/>
          <w:u w:val="single" w:color="auto"/>
          <w:color w:val="auto"/>
        </w:rPr>
        <w:t>Mine Safety Disclosures</w:t>
      </w:r>
      <w:r>
        <w:rPr>
          <w:rFonts w:ascii="Arial" w:cs="Arial" w:eastAsia="Arial" w:hAnsi="Arial"/>
          <w:sz w:val="14"/>
          <w:szCs w:val="14"/>
          <w:color w:val="auto"/>
        </w:rPr>
        <w:t>.</w:t>
      </w:r>
    </w:p>
    <w:p>
      <w:pPr>
        <w:spacing w:after="0" w:line="24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Not applicable.</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5. </w:t>
      </w:r>
      <w:r>
        <w:rPr>
          <w:rFonts w:ascii="Arial" w:cs="Arial" w:eastAsia="Arial" w:hAnsi="Arial"/>
          <w:sz w:val="16"/>
          <w:szCs w:val="16"/>
          <w:b w:val="1"/>
          <w:bCs w:val="1"/>
          <w:u w:val="single" w:color="auto"/>
          <w:color w:val="auto"/>
        </w:rPr>
        <w:t>Other Information</w:t>
      </w:r>
      <w:r>
        <w:rPr>
          <w:rFonts w:ascii="Arial" w:cs="Arial" w:eastAsia="Arial" w:hAnsi="Arial"/>
          <w:sz w:val="16"/>
          <w:szCs w:val="16"/>
          <w:color w:val="auto"/>
        </w:rPr>
        <w:t>.</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None.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532" w:right="239" w:bottom="1440" w:gutter="0" w:footer="0" w:header="0"/>
        </w:sectPr>
      </w:pPr>
    </w:p>
    <w:bookmarkStart w:id="70" w:name="page71"/>
    <w:bookmarkEnd w:id="70"/>
    <w:p>
      <w:pPr>
        <w:spacing w:after="0"/>
        <w:rPr>
          <w:sz w:val="20"/>
          <w:szCs w:val="20"/>
          <w:color w:val="auto"/>
        </w:rPr>
      </w:pPr>
      <w:r>
        <w:rPr>
          <w:rFonts w:ascii="Arial" w:cs="Arial" w:eastAsia="Arial" w:hAnsi="Arial"/>
          <w:sz w:val="16"/>
          <w:szCs w:val="16"/>
          <w:b w:val="1"/>
          <w:bCs w:val="1"/>
          <w:color w:val="auto"/>
        </w:rPr>
        <w:t xml:space="preserve">Item 6. </w:t>
      </w:r>
      <w:r>
        <w:rPr>
          <w:rFonts w:ascii="Arial" w:cs="Arial" w:eastAsia="Arial" w:hAnsi="Arial"/>
          <w:sz w:val="16"/>
          <w:szCs w:val="16"/>
          <w:b w:val="1"/>
          <w:bCs w:val="1"/>
          <w:u w:val="single" w:color="auto"/>
          <w:color w:val="auto"/>
        </w:rPr>
        <w:t>Exhibits</w:t>
      </w:r>
      <w:r>
        <w:rPr>
          <w:rFonts w:ascii="Arial" w:cs="Arial" w:eastAsia="Arial" w:hAnsi="Arial"/>
          <w:sz w:val="16"/>
          <w:szCs w:val="16"/>
          <w:color w:val="auto"/>
        </w:rPr>
        <w: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80" w:type="dxa"/>
            <w:vAlign w:val="bottom"/>
            <w:shd w:val="clear" w:color="auto" w:fill="CCEEFF"/>
          </w:tcPr>
          <w:p>
            <w:pPr>
              <w:spacing w:after="0"/>
              <w:rPr>
                <w:sz w:val="16"/>
                <w:szCs w:val="16"/>
                <w:color w:val="auto"/>
              </w:rPr>
            </w:pPr>
          </w:p>
        </w:tc>
        <w:tc>
          <w:tcPr>
            <w:tcW w:w="56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3(a)</w:t>
            </w:r>
          </w:p>
        </w:tc>
        <w:tc>
          <w:tcPr>
            <w:tcW w:w="1048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7"/>
              </w:rPr>
              <w:t>Restated Certificate of Incorporation, as amended (incorporated by reference to Exhibit 3(a) to the Company’s Quarterly Report on Form 10-Q for the</w:t>
            </w:r>
          </w:p>
        </w:tc>
      </w:tr>
      <w:tr>
        <w:trPr>
          <w:trHeight w:val="211"/>
        </w:trPr>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period ended March 31, 2014 filed on May 15, 2014).</w:t>
            </w:r>
          </w:p>
        </w:tc>
      </w:tr>
      <w:tr>
        <w:trPr>
          <w:trHeight w:val="203"/>
        </w:trPr>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80" w:type="dxa"/>
            <w:vAlign w:val="bottom"/>
          </w:tcPr>
          <w:p>
            <w:pPr>
              <w:spacing w:after="0"/>
              <w:rPr>
                <w:sz w:val="17"/>
                <w:szCs w:val="17"/>
                <w:color w:val="auto"/>
              </w:rPr>
            </w:pPr>
          </w:p>
        </w:tc>
      </w:tr>
      <w:tr>
        <w:trPr>
          <w:trHeight w:val="203"/>
        </w:trPr>
        <w:tc>
          <w:tcPr>
            <w:tcW w:w="38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3(b)</w:t>
            </w:r>
          </w:p>
        </w:tc>
        <w:tc>
          <w:tcPr>
            <w:tcW w:w="10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By-laws, as amended (incorporated by reference to Exhibit 3.1 to the Company’s Current Report on Form 8-K filed on November 9, 2009).</w:t>
            </w:r>
          </w:p>
        </w:tc>
      </w:tr>
      <w:tr>
        <w:trPr>
          <w:trHeight w:val="203"/>
        </w:trPr>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80" w:type="dxa"/>
            <w:vAlign w:val="bottom"/>
          </w:tcPr>
          <w:p>
            <w:pPr>
              <w:spacing w:after="0"/>
              <w:rPr>
                <w:sz w:val="17"/>
                <w:szCs w:val="17"/>
                <w:color w:val="auto"/>
              </w:rPr>
            </w:pPr>
          </w:p>
        </w:tc>
      </w:tr>
      <w:tr>
        <w:trPr>
          <w:trHeight w:val="194"/>
        </w:trPr>
        <w:tc>
          <w:tcPr>
            <w:tcW w:w="380" w:type="dxa"/>
            <w:vAlign w:val="bottom"/>
            <w:shd w:val="clear" w:color="auto" w:fill="CCEEFF"/>
          </w:tcPr>
          <w:p>
            <w:pPr>
              <w:spacing w:after="0"/>
              <w:rPr>
                <w:sz w:val="16"/>
                <w:szCs w:val="16"/>
                <w:color w:val="auto"/>
              </w:rPr>
            </w:pPr>
          </w:p>
        </w:tc>
        <w:tc>
          <w:tcPr>
            <w:tcW w:w="56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w w:val="90"/>
              </w:rPr>
              <w:t>10(a)</w:t>
            </w:r>
          </w:p>
        </w:tc>
        <w:tc>
          <w:tcPr>
            <w:tcW w:w="1048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8"/>
              </w:rPr>
              <w:t>Agreement and General Release, dated as of July 19, 2019, by and among Kingstone Companies, Inc., Kingstone Insurance Company and Dale A.</w:t>
            </w:r>
          </w:p>
        </w:tc>
      </w:tr>
      <w:tr>
        <w:trPr>
          <w:trHeight w:val="211"/>
        </w:trPr>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Thatcher (incorporated by reference to Exhibit 10.1 to the Company’s Current Report on Form 8-K filed on July 19, 2019).</w:t>
            </w:r>
          </w:p>
        </w:tc>
      </w:tr>
      <w:tr>
        <w:trPr>
          <w:trHeight w:val="203"/>
        </w:trPr>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80" w:type="dxa"/>
            <w:vAlign w:val="bottom"/>
          </w:tcPr>
          <w:p>
            <w:pPr>
              <w:spacing w:after="0"/>
              <w:rPr>
                <w:sz w:val="17"/>
                <w:szCs w:val="17"/>
                <w:color w:val="auto"/>
              </w:rPr>
            </w:pPr>
          </w:p>
        </w:tc>
      </w:tr>
      <w:tr>
        <w:trPr>
          <w:trHeight w:val="194"/>
        </w:trPr>
        <w:tc>
          <w:tcPr>
            <w:tcW w:w="380" w:type="dxa"/>
            <w:vAlign w:val="bottom"/>
            <w:shd w:val="clear" w:color="auto" w:fill="CCEEFF"/>
          </w:tcPr>
          <w:p>
            <w:pPr>
              <w:spacing w:after="0"/>
              <w:rPr>
                <w:sz w:val="16"/>
                <w:szCs w:val="16"/>
                <w:color w:val="auto"/>
              </w:rPr>
            </w:pPr>
          </w:p>
        </w:tc>
        <w:tc>
          <w:tcPr>
            <w:tcW w:w="56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w w:val="90"/>
              </w:rPr>
              <w:t>10(b)</w:t>
            </w:r>
          </w:p>
        </w:tc>
        <w:tc>
          <w:tcPr>
            <w:tcW w:w="1048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6"/>
              </w:rPr>
              <w:t>Employment Agreement, dated as of August 27, 2019, by and between Kingstone Companies, Inc., and Meryl S. Golden (incorporated by reference to</w:t>
            </w:r>
          </w:p>
        </w:tc>
      </w:tr>
      <w:tr>
        <w:trPr>
          <w:trHeight w:val="211"/>
        </w:trPr>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Exhibit 99.1 to the Company’s Current Report on Form 8-K filed on September 17, 2019).</w:t>
            </w:r>
          </w:p>
        </w:tc>
      </w:tr>
      <w:tr>
        <w:trPr>
          <w:trHeight w:val="203"/>
        </w:trPr>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80" w:type="dxa"/>
            <w:vAlign w:val="bottom"/>
          </w:tcPr>
          <w:p>
            <w:pPr>
              <w:spacing w:after="0"/>
              <w:rPr>
                <w:sz w:val="17"/>
                <w:szCs w:val="17"/>
                <w:color w:val="auto"/>
              </w:rPr>
            </w:pPr>
          </w:p>
        </w:tc>
      </w:tr>
      <w:tr>
        <w:trPr>
          <w:trHeight w:val="183"/>
        </w:trPr>
        <w:tc>
          <w:tcPr>
            <w:tcW w:w="380" w:type="dxa"/>
            <w:vAlign w:val="bottom"/>
            <w:shd w:val="clear" w:color="auto" w:fill="CCEEFF"/>
          </w:tcPr>
          <w:p>
            <w:pPr>
              <w:spacing w:after="0"/>
              <w:rPr>
                <w:sz w:val="15"/>
                <w:szCs w:val="15"/>
                <w:color w:val="auto"/>
              </w:rPr>
            </w:pPr>
          </w:p>
        </w:tc>
        <w:tc>
          <w:tcPr>
            <w:tcW w:w="560" w:type="dxa"/>
            <w:vAlign w:val="bottom"/>
            <w:gridSpan w:val="3"/>
            <w:shd w:val="clear" w:color="auto" w:fill="CCEEFF"/>
          </w:tcPr>
          <w:p>
            <w:pPr>
              <w:jc w:val="right"/>
              <w:ind w:right="200"/>
              <w:spacing w:after="0" w:line="165" w:lineRule="exact"/>
              <w:rPr>
                <w:sz w:val="20"/>
                <w:szCs w:val="20"/>
                <w:color w:val="auto"/>
              </w:rPr>
            </w:pPr>
            <w:r>
              <w:rPr>
                <w:rFonts w:ascii="Arial" w:cs="Arial" w:eastAsia="Arial" w:hAnsi="Arial"/>
                <w:sz w:val="16"/>
                <w:szCs w:val="16"/>
                <w:color w:val="0000EE"/>
                <w:w w:val="90"/>
              </w:rPr>
              <w:t>31(a)</w:t>
            </w:r>
          </w:p>
        </w:tc>
        <w:tc>
          <w:tcPr>
            <w:tcW w:w="10480" w:type="dxa"/>
            <w:vAlign w:val="bottom"/>
            <w:shd w:val="clear" w:color="auto" w:fill="CCEEFF"/>
          </w:tcPr>
          <w:p>
            <w:pPr>
              <w:ind w:left="220"/>
              <w:spacing w:after="0" w:line="165" w:lineRule="exact"/>
              <w:rPr>
                <w:sz w:val="20"/>
                <w:szCs w:val="20"/>
                <w:color w:val="auto"/>
              </w:rPr>
            </w:pPr>
            <w:r>
              <w:rPr>
                <w:rFonts w:ascii="Arial" w:cs="Arial" w:eastAsia="Arial" w:hAnsi="Arial"/>
                <w:sz w:val="16"/>
                <w:szCs w:val="16"/>
                <w:color w:val="auto"/>
              </w:rPr>
              <w:t>Rule 13a-14(a)/15d-14(a) Certification of Principal Executive Officer as adopted pursuant to Section 302 of the Sarbanes-Oxley Act of 2002</w:t>
            </w:r>
          </w:p>
        </w:tc>
      </w:tr>
      <w:tr>
        <w:trPr>
          <w:trHeight w:val="203"/>
        </w:trPr>
        <w:tc>
          <w:tcPr>
            <w:tcW w:w="380" w:type="dxa"/>
            <w:vAlign w:val="bottom"/>
            <w:tcBorders>
              <w:top w:val="single" w:sz="8" w:color="CCEEFF"/>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480" w:type="dxa"/>
            <w:vAlign w:val="bottom"/>
            <w:tcBorders>
              <w:top w:val="single" w:sz="8" w:color="CCEEFF"/>
            </w:tcBorders>
          </w:tcPr>
          <w:p>
            <w:pPr>
              <w:spacing w:after="0"/>
              <w:rPr>
                <w:sz w:val="17"/>
                <w:szCs w:val="17"/>
                <w:color w:val="auto"/>
              </w:rPr>
            </w:pPr>
          </w:p>
        </w:tc>
      </w:tr>
      <w:tr>
        <w:trPr>
          <w:trHeight w:val="183"/>
        </w:trPr>
        <w:tc>
          <w:tcPr>
            <w:tcW w:w="380" w:type="dxa"/>
            <w:vAlign w:val="bottom"/>
            <w:shd w:val="clear" w:color="auto" w:fill="CCEEFF"/>
          </w:tcPr>
          <w:p>
            <w:pPr>
              <w:spacing w:after="0"/>
              <w:rPr>
                <w:sz w:val="15"/>
                <w:szCs w:val="15"/>
                <w:color w:val="auto"/>
              </w:rPr>
            </w:pPr>
          </w:p>
        </w:tc>
        <w:tc>
          <w:tcPr>
            <w:tcW w:w="560" w:type="dxa"/>
            <w:vAlign w:val="bottom"/>
            <w:gridSpan w:val="3"/>
            <w:shd w:val="clear" w:color="auto" w:fill="CCEEFF"/>
          </w:tcPr>
          <w:p>
            <w:pPr>
              <w:jc w:val="right"/>
              <w:ind w:right="200"/>
              <w:spacing w:after="0" w:line="165" w:lineRule="exact"/>
              <w:rPr>
                <w:sz w:val="20"/>
                <w:szCs w:val="20"/>
                <w:color w:val="auto"/>
              </w:rPr>
            </w:pPr>
            <w:r>
              <w:rPr>
                <w:rFonts w:ascii="Arial" w:cs="Arial" w:eastAsia="Arial" w:hAnsi="Arial"/>
                <w:sz w:val="16"/>
                <w:szCs w:val="16"/>
                <w:color w:val="0000EE"/>
                <w:w w:val="90"/>
              </w:rPr>
              <w:t>31(b)</w:t>
            </w:r>
          </w:p>
        </w:tc>
        <w:tc>
          <w:tcPr>
            <w:tcW w:w="10480" w:type="dxa"/>
            <w:vAlign w:val="bottom"/>
            <w:shd w:val="clear" w:color="auto" w:fill="CCEEFF"/>
          </w:tcPr>
          <w:p>
            <w:pPr>
              <w:ind w:left="220"/>
              <w:spacing w:after="0" w:line="165" w:lineRule="exact"/>
              <w:rPr>
                <w:sz w:val="20"/>
                <w:szCs w:val="20"/>
                <w:color w:val="auto"/>
              </w:rPr>
            </w:pPr>
            <w:r>
              <w:rPr>
                <w:rFonts w:ascii="Arial" w:cs="Arial" w:eastAsia="Arial" w:hAnsi="Arial"/>
                <w:sz w:val="16"/>
                <w:szCs w:val="16"/>
                <w:color w:val="auto"/>
              </w:rPr>
              <w:t>Rule 13a-14(a)/15d-14(a) Certification of Principal Financial Officer as adopted pursuant to Section 302 of the Sarbanes-Oxley Act of 2002</w:t>
            </w:r>
          </w:p>
        </w:tc>
      </w:tr>
      <w:tr>
        <w:trPr>
          <w:trHeight w:val="203"/>
        </w:trPr>
        <w:tc>
          <w:tcPr>
            <w:tcW w:w="380" w:type="dxa"/>
            <w:vAlign w:val="bottom"/>
            <w:tcBorders>
              <w:top w:val="single" w:sz="8" w:color="CCEEFF"/>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480" w:type="dxa"/>
            <w:vAlign w:val="bottom"/>
            <w:tcBorders>
              <w:top w:val="single" w:sz="8" w:color="CCEEFF"/>
            </w:tcBorders>
          </w:tcPr>
          <w:p>
            <w:pPr>
              <w:spacing w:after="0"/>
              <w:rPr>
                <w:sz w:val="17"/>
                <w:szCs w:val="17"/>
                <w:color w:val="auto"/>
              </w:rPr>
            </w:pPr>
          </w:p>
        </w:tc>
      </w:tr>
      <w:tr>
        <w:trPr>
          <w:trHeight w:val="165"/>
        </w:trPr>
        <w:tc>
          <w:tcPr>
            <w:tcW w:w="940" w:type="dxa"/>
            <w:vAlign w:val="bottom"/>
            <w:gridSpan w:val="4"/>
            <w:shd w:val="clear" w:color="auto" w:fill="CCEEFF"/>
          </w:tcPr>
          <w:p>
            <w:pPr>
              <w:jc w:val="right"/>
              <w:ind w:right="200"/>
              <w:spacing w:after="0" w:line="165" w:lineRule="exact"/>
              <w:rPr>
                <w:sz w:val="20"/>
                <w:szCs w:val="20"/>
                <w:color w:val="auto"/>
              </w:rPr>
            </w:pPr>
            <w:r>
              <w:rPr>
                <w:rFonts w:ascii="Arial" w:cs="Arial" w:eastAsia="Arial" w:hAnsi="Arial"/>
                <w:sz w:val="16"/>
                <w:szCs w:val="16"/>
                <w:color w:val="0000EE"/>
              </w:rPr>
              <w:t>32+</w:t>
            </w:r>
          </w:p>
        </w:tc>
        <w:tc>
          <w:tcPr>
            <w:tcW w:w="10480" w:type="dxa"/>
            <w:vAlign w:val="bottom"/>
            <w:shd w:val="clear" w:color="auto" w:fill="CCEEFF"/>
          </w:tcPr>
          <w:p>
            <w:pPr>
              <w:ind w:left="220"/>
              <w:spacing w:after="0" w:line="165" w:lineRule="exact"/>
              <w:rPr>
                <w:sz w:val="20"/>
                <w:szCs w:val="20"/>
                <w:color w:val="auto"/>
              </w:rPr>
            </w:pPr>
            <w:r>
              <w:rPr>
                <w:rFonts w:ascii="Arial" w:cs="Arial" w:eastAsia="Arial" w:hAnsi="Arial"/>
                <w:sz w:val="16"/>
                <w:szCs w:val="16"/>
                <w:color w:val="auto"/>
                <w:w w:val="99"/>
              </w:rPr>
              <w:t>Certification of Chief Executive Officer and Chief Financial Officer Pursuant to 18 U.S.C. Section 1350, as Adopted Pursuant to Section 906 of the</w:t>
            </w:r>
          </w:p>
        </w:tc>
      </w:tr>
      <w:tr>
        <w:trPr>
          <w:trHeight w:val="221"/>
        </w:trPr>
        <w:tc>
          <w:tcPr>
            <w:tcW w:w="3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0000EE"/>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04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Sarbanes-Oxley Act of 2002</w:t>
            </w:r>
          </w:p>
        </w:tc>
      </w:tr>
      <w:tr>
        <w:trPr>
          <w:trHeight w:val="203"/>
        </w:trPr>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80" w:type="dxa"/>
            <w:vAlign w:val="bottom"/>
          </w:tcPr>
          <w:p>
            <w:pPr>
              <w:spacing w:after="0"/>
              <w:rPr>
                <w:sz w:val="17"/>
                <w:szCs w:val="17"/>
                <w:color w:val="auto"/>
              </w:rPr>
            </w:pPr>
          </w:p>
        </w:tc>
      </w:tr>
      <w:tr>
        <w:trPr>
          <w:trHeight w:val="209"/>
        </w:trPr>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XBRL Instance Document</w:t>
            </w:r>
          </w:p>
        </w:tc>
      </w:tr>
      <w:tr>
        <w:trPr>
          <w:trHeight w:val="399"/>
        </w:trPr>
        <w:tc>
          <w:tcPr>
            <w:tcW w:w="940" w:type="dxa"/>
            <w:vAlign w:val="bottom"/>
            <w:gridSpan w:val="4"/>
            <w:shd w:val="clear" w:color="auto" w:fill="CCEEFF"/>
          </w:tcPr>
          <w:p>
            <w:pPr>
              <w:ind w:left="100"/>
              <w:spacing w:after="0"/>
              <w:rPr>
                <w:sz w:val="20"/>
                <w:szCs w:val="20"/>
                <w:color w:val="auto"/>
              </w:rPr>
            </w:pPr>
            <w:r>
              <w:rPr>
                <w:rFonts w:ascii="Arial" w:cs="Arial" w:eastAsia="Arial" w:hAnsi="Arial"/>
                <w:sz w:val="16"/>
                <w:szCs w:val="16"/>
                <w:color w:val="auto"/>
              </w:rPr>
              <w:t>101.INS</w:t>
            </w:r>
          </w:p>
        </w:tc>
        <w:tc>
          <w:tcPr>
            <w:tcW w:w="10480" w:type="dxa"/>
            <w:vAlign w:val="bottom"/>
            <w:shd w:val="clear" w:color="auto" w:fill="CCEEFF"/>
          </w:tcPr>
          <w:p>
            <w:pPr>
              <w:spacing w:after="0"/>
              <w:rPr>
                <w:sz w:val="24"/>
                <w:szCs w:val="24"/>
                <w:color w:val="auto"/>
              </w:rPr>
            </w:pPr>
          </w:p>
        </w:tc>
      </w:tr>
      <w:tr>
        <w:trPr>
          <w:trHeight w:val="203"/>
        </w:trPr>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80" w:type="dxa"/>
            <w:vAlign w:val="bottom"/>
          </w:tcPr>
          <w:p>
            <w:pPr>
              <w:spacing w:after="0"/>
              <w:rPr>
                <w:sz w:val="17"/>
                <w:szCs w:val="17"/>
                <w:color w:val="auto"/>
              </w:rPr>
            </w:pPr>
          </w:p>
        </w:tc>
      </w:tr>
      <w:tr>
        <w:trPr>
          <w:trHeight w:val="203"/>
        </w:trPr>
        <w:tc>
          <w:tcPr>
            <w:tcW w:w="940" w:type="dxa"/>
            <w:vAlign w:val="bottom"/>
            <w:gridSpan w:val="4"/>
            <w:shd w:val="clear" w:color="auto" w:fill="CCEEFF"/>
          </w:tcPr>
          <w:p>
            <w:pPr>
              <w:jc w:val="right"/>
              <w:ind w:right="200"/>
              <w:spacing w:after="0"/>
              <w:rPr>
                <w:sz w:val="20"/>
                <w:szCs w:val="20"/>
                <w:color w:val="auto"/>
              </w:rPr>
            </w:pPr>
            <w:r>
              <w:rPr>
                <w:rFonts w:ascii="Arial" w:cs="Arial" w:eastAsia="Arial" w:hAnsi="Arial"/>
                <w:sz w:val="16"/>
                <w:szCs w:val="16"/>
                <w:color w:val="auto"/>
              </w:rPr>
              <w:t>101.SCH</w:t>
            </w:r>
          </w:p>
        </w:tc>
        <w:tc>
          <w:tcPr>
            <w:tcW w:w="10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101.SCH XBRL Taxonomy Extension Schema.</w:t>
            </w:r>
          </w:p>
        </w:tc>
      </w:tr>
      <w:tr>
        <w:trPr>
          <w:trHeight w:val="203"/>
        </w:trPr>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80" w:type="dxa"/>
            <w:vAlign w:val="bottom"/>
          </w:tcPr>
          <w:p>
            <w:pPr>
              <w:spacing w:after="0"/>
              <w:rPr>
                <w:sz w:val="17"/>
                <w:szCs w:val="17"/>
                <w:color w:val="auto"/>
              </w:rPr>
            </w:pPr>
          </w:p>
        </w:tc>
      </w:tr>
      <w:tr>
        <w:trPr>
          <w:trHeight w:val="203"/>
        </w:trPr>
        <w:tc>
          <w:tcPr>
            <w:tcW w:w="940" w:type="dxa"/>
            <w:vAlign w:val="bottom"/>
            <w:gridSpan w:val="4"/>
            <w:shd w:val="clear" w:color="auto" w:fill="CCEEFF"/>
          </w:tcPr>
          <w:p>
            <w:pPr>
              <w:jc w:val="right"/>
              <w:ind w:right="200"/>
              <w:spacing w:after="0"/>
              <w:rPr>
                <w:sz w:val="20"/>
                <w:szCs w:val="20"/>
                <w:color w:val="auto"/>
              </w:rPr>
            </w:pPr>
            <w:r>
              <w:rPr>
                <w:rFonts w:ascii="Arial" w:cs="Arial" w:eastAsia="Arial" w:hAnsi="Arial"/>
                <w:sz w:val="16"/>
                <w:szCs w:val="16"/>
                <w:color w:val="auto"/>
              </w:rPr>
              <w:t>101.CAL</w:t>
            </w:r>
          </w:p>
        </w:tc>
        <w:tc>
          <w:tcPr>
            <w:tcW w:w="10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101.CAL XBRL Taxonomy Extension Calculation Linkbase.</w:t>
            </w:r>
          </w:p>
        </w:tc>
      </w:tr>
      <w:tr>
        <w:trPr>
          <w:trHeight w:val="203"/>
        </w:trPr>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80" w:type="dxa"/>
            <w:vAlign w:val="bottom"/>
          </w:tcPr>
          <w:p>
            <w:pPr>
              <w:spacing w:after="0"/>
              <w:rPr>
                <w:sz w:val="17"/>
                <w:szCs w:val="17"/>
                <w:color w:val="auto"/>
              </w:rPr>
            </w:pPr>
          </w:p>
        </w:tc>
      </w:tr>
      <w:tr>
        <w:trPr>
          <w:trHeight w:val="203"/>
        </w:trPr>
        <w:tc>
          <w:tcPr>
            <w:tcW w:w="940" w:type="dxa"/>
            <w:vAlign w:val="bottom"/>
            <w:gridSpan w:val="4"/>
            <w:shd w:val="clear" w:color="auto" w:fill="CCEEFF"/>
          </w:tcPr>
          <w:p>
            <w:pPr>
              <w:jc w:val="right"/>
              <w:ind w:right="200"/>
              <w:spacing w:after="0"/>
              <w:rPr>
                <w:sz w:val="20"/>
                <w:szCs w:val="20"/>
                <w:color w:val="auto"/>
              </w:rPr>
            </w:pPr>
            <w:r>
              <w:rPr>
                <w:rFonts w:ascii="Arial" w:cs="Arial" w:eastAsia="Arial" w:hAnsi="Arial"/>
                <w:sz w:val="16"/>
                <w:szCs w:val="16"/>
                <w:color w:val="auto"/>
              </w:rPr>
              <w:t>101.DEF</w:t>
            </w:r>
          </w:p>
        </w:tc>
        <w:tc>
          <w:tcPr>
            <w:tcW w:w="10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101.DEF XBRL Taxonomy Extension Definition Linkbase.</w:t>
            </w:r>
          </w:p>
        </w:tc>
      </w:tr>
      <w:tr>
        <w:trPr>
          <w:trHeight w:val="203"/>
        </w:trPr>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80" w:type="dxa"/>
            <w:vAlign w:val="bottom"/>
          </w:tcPr>
          <w:p>
            <w:pPr>
              <w:spacing w:after="0"/>
              <w:rPr>
                <w:sz w:val="17"/>
                <w:szCs w:val="17"/>
                <w:color w:val="auto"/>
              </w:rPr>
            </w:pPr>
          </w:p>
        </w:tc>
      </w:tr>
      <w:tr>
        <w:trPr>
          <w:trHeight w:val="203"/>
        </w:trPr>
        <w:tc>
          <w:tcPr>
            <w:tcW w:w="940" w:type="dxa"/>
            <w:vAlign w:val="bottom"/>
            <w:gridSpan w:val="4"/>
            <w:shd w:val="clear" w:color="auto" w:fill="CCEEFF"/>
          </w:tcPr>
          <w:p>
            <w:pPr>
              <w:jc w:val="right"/>
              <w:ind w:right="200"/>
              <w:spacing w:after="0"/>
              <w:rPr>
                <w:sz w:val="20"/>
                <w:szCs w:val="20"/>
                <w:color w:val="auto"/>
              </w:rPr>
            </w:pPr>
            <w:r>
              <w:rPr>
                <w:rFonts w:ascii="Arial" w:cs="Arial" w:eastAsia="Arial" w:hAnsi="Arial"/>
                <w:sz w:val="16"/>
                <w:szCs w:val="16"/>
                <w:color w:val="auto"/>
              </w:rPr>
              <w:t>101.LAB</w:t>
            </w:r>
          </w:p>
        </w:tc>
        <w:tc>
          <w:tcPr>
            <w:tcW w:w="10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101.LAB XBRL Taxonomy Extension Label Linkbase.</w:t>
            </w:r>
          </w:p>
        </w:tc>
      </w:tr>
      <w:tr>
        <w:trPr>
          <w:trHeight w:val="203"/>
        </w:trPr>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80" w:type="dxa"/>
            <w:vAlign w:val="bottom"/>
          </w:tcPr>
          <w:p>
            <w:pPr>
              <w:spacing w:after="0"/>
              <w:rPr>
                <w:sz w:val="17"/>
                <w:szCs w:val="17"/>
                <w:color w:val="auto"/>
              </w:rPr>
            </w:pPr>
          </w:p>
        </w:tc>
      </w:tr>
      <w:tr>
        <w:trPr>
          <w:trHeight w:val="209"/>
        </w:trPr>
        <w:tc>
          <w:tcPr>
            <w:tcW w:w="940" w:type="dxa"/>
            <w:vAlign w:val="bottom"/>
            <w:gridSpan w:val="4"/>
            <w:shd w:val="clear" w:color="auto" w:fill="CCEEFF"/>
          </w:tcPr>
          <w:p>
            <w:pPr>
              <w:jc w:val="right"/>
              <w:ind w:right="200"/>
              <w:spacing w:after="0"/>
              <w:rPr>
                <w:sz w:val="20"/>
                <w:szCs w:val="20"/>
                <w:color w:val="auto"/>
              </w:rPr>
            </w:pPr>
            <w:r>
              <w:rPr>
                <w:rFonts w:ascii="Arial" w:cs="Arial" w:eastAsia="Arial" w:hAnsi="Arial"/>
                <w:sz w:val="16"/>
                <w:szCs w:val="16"/>
                <w:color w:val="auto"/>
              </w:rPr>
              <w:t>101.PRE</w:t>
            </w:r>
          </w:p>
        </w:tc>
        <w:tc>
          <w:tcPr>
            <w:tcW w:w="10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101.PRE XBRL Taxonomy Extension Presentation Linkbase.</w:t>
            </w:r>
          </w:p>
        </w:tc>
      </w:tr>
      <w:tr>
        <w:trPr>
          <w:trHeight w:val="197"/>
        </w:trPr>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80" w:type="dxa"/>
            <w:vAlign w:val="bottom"/>
            <w:shd w:val="clear" w:color="auto" w:fill="CCEEFF"/>
          </w:tcPr>
          <w:p>
            <w:pPr>
              <w:spacing w:after="0"/>
              <w:rPr>
                <w:sz w:val="17"/>
                <w:szCs w:val="17"/>
                <w:color w:val="auto"/>
              </w:rPr>
            </w:pPr>
          </w:p>
        </w:tc>
      </w:tr>
    </w:tbl>
    <w:p>
      <w:pPr>
        <w:jc w:val="both"/>
        <w:ind w:left="1160" w:right="80" w:hanging="517"/>
        <w:spacing w:after="0" w:line="274" w:lineRule="auto"/>
        <w:tabs>
          <w:tab w:leader="none" w:pos="11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This exhibit will not be deemed “filed” for purposes of Section 18 of the Securities Exchange Act of 1934, as amended, or otherwise subject to the liability of that section. Such exhibit shall not be deemed incorporated into any filing under the Securities Act of 1933, as amended, or the Securities Act of 1934, as amended.</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481" w:right="23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6"/>
          <w:szCs w:val="16"/>
          <w:b w:val="1"/>
          <w:bCs w:val="1"/>
          <w:u w:val="single" w:color="auto"/>
          <w:color w:val="auto"/>
        </w:rPr>
        <w:t>SIGNATURES</w:t>
      </w:r>
    </w:p>
    <w:p>
      <w:pPr>
        <w:spacing w:after="0" w:line="225" w:lineRule="exact"/>
        <w:rPr>
          <w:sz w:val="20"/>
          <w:szCs w:val="20"/>
          <w:color w:val="auto"/>
        </w:rPr>
      </w:pPr>
    </w:p>
    <w:p>
      <w:pPr>
        <w:ind w:firstLine="608"/>
        <w:spacing w:after="0" w:line="29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20" w:type="dxa"/>
            <w:vAlign w:val="bottom"/>
          </w:tcPr>
          <w:p>
            <w:pPr>
              <w:spacing w:after="0"/>
              <w:rPr>
                <w:sz w:val="18"/>
                <w:szCs w:val="18"/>
                <w:color w:val="auto"/>
              </w:rPr>
            </w:pPr>
          </w:p>
        </w:tc>
        <w:tc>
          <w:tcPr>
            <w:tcW w:w="6340" w:type="dxa"/>
            <w:vAlign w:val="bottom"/>
            <w:gridSpan w:val="2"/>
          </w:tcPr>
          <w:p>
            <w:pPr>
              <w:ind w:left="2000"/>
              <w:spacing w:after="0"/>
              <w:rPr>
                <w:sz w:val="20"/>
                <w:szCs w:val="20"/>
                <w:color w:val="auto"/>
              </w:rPr>
            </w:pPr>
            <w:r>
              <w:rPr>
                <w:rFonts w:ascii="Arial" w:cs="Arial" w:eastAsia="Arial" w:hAnsi="Arial"/>
                <w:sz w:val="16"/>
                <w:szCs w:val="16"/>
                <w:b w:val="1"/>
                <w:bCs w:val="1"/>
                <w:color w:val="auto"/>
              </w:rPr>
              <w:t>KINGSTONE COMPANIES, INC.</w:t>
            </w:r>
          </w:p>
        </w:tc>
      </w:tr>
      <w:tr>
        <w:trPr>
          <w:trHeight w:val="426"/>
        </w:trPr>
        <w:tc>
          <w:tcPr>
            <w:tcW w:w="3720" w:type="dxa"/>
            <w:vAlign w:val="bottom"/>
          </w:tcPr>
          <w:p>
            <w:pPr>
              <w:spacing w:after="0"/>
              <w:rPr>
                <w:sz w:val="20"/>
                <w:szCs w:val="20"/>
                <w:color w:val="auto"/>
              </w:rPr>
            </w:pPr>
            <w:r>
              <w:rPr>
                <w:rFonts w:ascii="Arial" w:cs="Arial" w:eastAsia="Arial" w:hAnsi="Arial"/>
                <w:sz w:val="16"/>
                <w:szCs w:val="16"/>
                <w:color w:val="auto"/>
              </w:rPr>
              <w:t>Date: November 12, 2019</w:t>
            </w:r>
          </w:p>
        </w:tc>
        <w:tc>
          <w:tcPr>
            <w:tcW w:w="6340" w:type="dxa"/>
            <w:vAlign w:val="bottom"/>
            <w:gridSpan w:val="2"/>
          </w:tcPr>
          <w:p>
            <w:pPr>
              <w:ind w:left="2000"/>
              <w:spacing w:after="0"/>
              <w:rPr>
                <w:sz w:val="20"/>
                <w:szCs w:val="20"/>
                <w:color w:val="auto"/>
              </w:rPr>
            </w:pPr>
            <w:r>
              <w:rPr>
                <w:rFonts w:ascii="Arial" w:cs="Arial" w:eastAsia="Arial" w:hAnsi="Arial"/>
                <w:sz w:val="16"/>
                <w:szCs w:val="16"/>
                <w:color w:val="auto"/>
              </w:rPr>
              <w:t>By:  /s/ Barry B. Goldstein</w:t>
            </w:r>
          </w:p>
        </w:tc>
      </w:tr>
      <w:tr>
        <w:trPr>
          <w:trHeight w:val="194"/>
        </w:trPr>
        <w:tc>
          <w:tcPr>
            <w:tcW w:w="37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40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Barry B. Goldstein</w:t>
            </w:r>
          </w:p>
        </w:tc>
      </w:tr>
      <w:tr>
        <w:trPr>
          <w:trHeight w:val="209"/>
        </w:trPr>
        <w:tc>
          <w:tcPr>
            <w:tcW w:w="37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6"/>
                <w:szCs w:val="16"/>
                <w:color w:val="auto"/>
              </w:rPr>
              <w:t>Chief Executive Officer</w:t>
            </w:r>
          </w:p>
        </w:tc>
      </w:tr>
      <w:tr>
        <w:trPr>
          <w:trHeight w:val="654"/>
        </w:trPr>
        <w:tc>
          <w:tcPr>
            <w:tcW w:w="3720" w:type="dxa"/>
            <w:vAlign w:val="bottom"/>
          </w:tcPr>
          <w:p>
            <w:pPr>
              <w:spacing w:after="0"/>
              <w:rPr>
                <w:sz w:val="20"/>
                <w:szCs w:val="20"/>
                <w:color w:val="auto"/>
              </w:rPr>
            </w:pPr>
            <w:r>
              <w:rPr>
                <w:rFonts w:ascii="Arial" w:cs="Arial" w:eastAsia="Arial" w:hAnsi="Arial"/>
                <w:sz w:val="16"/>
                <w:szCs w:val="16"/>
                <w:color w:val="auto"/>
              </w:rPr>
              <w:t>Date: November 12, 2019</w:t>
            </w:r>
          </w:p>
        </w:tc>
        <w:tc>
          <w:tcPr>
            <w:tcW w:w="6340" w:type="dxa"/>
            <w:vAlign w:val="bottom"/>
            <w:gridSpan w:val="2"/>
          </w:tcPr>
          <w:p>
            <w:pPr>
              <w:ind w:left="2000"/>
              <w:spacing w:after="0"/>
              <w:rPr>
                <w:sz w:val="20"/>
                <w:szCs w:val="20"/>
                <w:color w:val="auto"/>
              </w:rPr>
            </w:pPr>
            <w:r>
              <w:rPr>
                <w:rFonts w:ascii="Arial" w:cs="Arial" w:eastAsia="Arial" w:hAnsi="Arial"/>
                <w:sz w:val="16"/>
                <w:szCs w:val="16"/>
                <w:color w:val="auto"/>
              </w:rPr>
              <w:t>By:  /s/ Victor Brodsky</w:t>
            </w:r>
          </w:p>
        </w:tc>
      </w:tr>
      <w:tr>
        <w:trPr>
          <w:trHeight w:val="194"/>
        </w:trPr>
        <w:tc>
          <w:tcPr>
            <w:tcW w:w="37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40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Victor Brodsky</w:t>
            </w:r>
          </w:p>
        </w:tc>
      </w:tr>
      <w:tr>
        <w:trPr>
          <w:trHeight w:val="209"/>
        </w:trPr>
        <w:tc>
          <w:tcPr>
            <w:tcW w:w="37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6"/>
                <w:szCs w:val="16"/>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481"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6"/>
          <w:szCs w:val="16"/>
          <w:b w:val="1"/>
          <w:bCs w:val="1"/>
          <w:color w:val="auto"/>
        </w:rPr>
        <w:t>Exhibit 31(a)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CERTIFICATION</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I, Barry B. Goldstein, certify that:</w:t>
      </w:r>
    </w:p>
    <w:p>
      <w:pPr>
        <w:spacing w:after="0" w:line="200" w:lineRule="exact"/>
        <w:rPr>
          <w:sz w:val="20"/>
          <w:szCs w:val="20"/>
          <w:color w:val="auto"/>
        </w:rPr>
      </w:pPr>
    </w:p>
    <w:p>
      <w:pPr>
        <w:spacing w:after="0" w:line="224" w:lineRule="exact"/>
        <w:rPr>
          <w:sz w:val="20"/>
          <w:szCs w:val="20"/>
          <w:color w:val="auto"/>
        </w:rPr>
      </w:pPr>
    </w:p>
    <w:p>
      <w:pPr>
        <w:ind w:left="1040" w:hanging="1039"/>
        <w:spacing w:after="0"/>
        <w:tabs>
          <w:tab w:leader="none" w:pos="10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Kingstone Companies, Inc.;</w:t>
      </w:r>
    </w:p>
    <w:p>
      <w:pPr>
        <w:spacing w:after="0" w:line="200" w:lineRule="exact"/>
        <w:rPr>
          <w:rFonts w:ascii="Arial" w:cs="Arial" w:eastAsia="Arial" w:hAnsi="Arial"/>
          <w:sz w:val="16"/>
          <w:szCs w:val="16"/>
          <w:color w:val="auto"/>
        </w:rPr>
      </w:pPr>
    </w:p>
    <w:p>
      <w:pPr>
        <w:spacing w:after="0" w:line="224" w:lineRule="exact"/>
        <w:rPr>
          <w:rFonts w:ascii="Arial" w:cs="Arial" w:eastAsia="Arial" w:hAnsi="Arial"/>
          <w:sz w:val="16"/>
          <w:szCs w:val="16"/>
          <w:color w:val="auto"/>
        </w:rPr>
      </w:pPr>
    </w:p>
    <w:p>
      <w:pPr>
        <w:ind w:left="1040" w:right="60" w:hanging="1039"/>
        <w:spacing w:after="0" w:line="332" w:lineRule="auto"/>
        <w:tabs>
          <w:tab w:leader="none" w:pos="10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33" w:lineRule="exact"/>
        <w:rPr>
          <w:rFonts w:ascii="Arial" w:cs="Arial" w:eastAsia="Arial" w:hAnsi="Arial"/>
          <w:sz w:val="15"/>
          <w:szCs w:val="15"/>
          <w:color w:val="auto"/>
        </w:rPr>
      </w:pPr>
    </w:p>
    <w:p>
      <w:pPr>
        <w:ind w:left="1040" w:right="140" w:hanging="1039"/>
        <w:spacing w:after="0" w:line="296" w:lineRule="auto"/>
        <w:tabs>
          <w:tab w:leader="none" w:pos="10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6" w:lineRule="exact"/>
        <w:rPr>
          <w:rFonts w:ascii="Arial" w:cs="Arial" w:eastAsia="Arial" w:hAnsi="Arial"/>
          <w:sz w:val="16"/>
          <w:szCs w:val="16"/>
          <w:color w:val="auto"/>
        </w:rPr>
      </w:pPr>
    </w:p>
    <w:p>
      <w:pPr>
        <w:ind w:left="1040" w:hanging="1039"/>
        <w:spacing w:after="0" w:line="280" w:lineRule="auto"/>
        <w:tabs>
          <w:tab w:leader="none" w:pos="10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69" w:lineRule="exact"/>
        <w:rPr>
          <w:rFonts w:ascii="Arial" w:cs="Arial" w:eastAsia="Arial" w:hAnsi="Arial"/>
          <w:sz w:val="16"/>
          <w:szCs w:val="16"/>
          <w:color w:val="auto"/>
        </w:rPr>
      </w:pPr>
    </w:p>
    <w:p>
      <w:pPr>
        <w:ind w:left="2060" w:right="20" w:hanging="1020"/>
        <w:spacing w:after="0" w:line="280" w:lineRule="auto"/>
        <w:tabs>
          <w:tab w:leader="none" w:pos="2060" w:val="left"/>
        </w:tabs>
        <w:numPr>
          <w:ilvl w:val="1"/>
          <w:numId w:val="2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69" w:lineRule="exact"/>
        <w:rPr>
          <w:rFonts w:ascii="Arial" w:cs="Arial" w:eastAsia="Arial" w:hAnsi="Arial"/>
          <w:sz w:val="16"/>
          <w:szCs w:val="16"/>
          <w:color w:val="auto"/>
        </w:rPr>
      </w:pPr>
    </w:p>
    <w:p>
      <w:pPr>
        <w:ind w:left="2060" w:right="300" w:hanging="1020"/>
        <w:spacing w:after="0" w:line="280" w:lineRule="auto"/>
        <w:tabs>
          <w:tab w:leader="none" w:pos="2060" w:val="left"/>
        </w:tabs>
        <w:numPr>
          <w:ilvl w:val="1"/>
          <w:numId w:val="2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69" w:lineRule="exact"/>
        <w:rPr>
          <w:rFonts w:ascii="Arial" w:cs="Arial" w:eastAsia="Arial" w:hAnsi="Arial"/>
          <w:sz w:val="16"/>
          <w:szCs w:val="16"/>
          <w:color w:val="auto"/>
        </w:rPr>
      </w:pPr>
    </w:p>
    <w:p>
      <w:pPr>
        <w:jc w:val="both"/>
        <w:ind w:left="2060" w:right="460" w:hanging="1020"/>
        <w:spacing w:after="0" w:line="373" w:lineRule="auto"/>
        <w:tabs>
          <w:tab w:leader="none" w:pos="2060" w:val="left"/>
        </w:tabs>
        <w:numPr>
          <w:ilvl w:val="1"/>
          <w:numId w:val="27"/>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0" w:lineRule="exact"/>
        <w:rPr>
          <w:rFonts w:ascii="Arial" w:cs="Arial" w:eastAsia="Arial" w:hAnsi="Arial"/>
          <w:sz w:val="14"/>
          <w:szCs w:val="14"/>
          <w:color w:val="auto"/>
        </w:rPr>
      </w:pPr>
    </w:p>
    <w:p>
      <w:pPr>
        <w:ind w:left="2060" w:hanging="1020"/>
        <w:spacing w:after="0" w:line="280" w:lineRule="auto"/>
        <w:tabs>
          <w:tab w:leader="none" w:pos="2060" w:val="left"/>
        </w:tabs>
        <w:numPr>
          <w:ilvl w:val="1"/>
          <w:numId w:val="2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69" w:lineRule="exact"/>
        <w:rPr>
          <w:rFonts w:ascii="Arial" w:cs="Arial" w:eastAsia="Arial" w:hAnsi="Arial"/>
          <w:sz w:val="16"/>
          <w:szCs w:val="16"/>
          <w:color w:val="auto"/>
        </w:rPr>
      </w:pPr>
    </w:p>
    <w:p>
      <w:pPr>
        <w:ind w:left="1040" w:right="700" w:hanging="1039"/>
        <w:spacing w:after="0" w:line="332" w:lineRule="auto"/>
        <w:tabs>
          <w:tab w:leader="none" w:pos="10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33" w:lineRule="exact"/>
        <w:rPr>
          <w:rFonts w:ascii="Arial" w:cs="Arial" w:eastAsia="Arial" w:hAnsi="Arial"/>
          <w:sz w:val="15"/>
          <w:szCs w:val="15"/>
          <w:color w:val="auto"/>
        </w:rPr>
      </w:pPr>
    </w:p>
    <w:p>
      <w:pPr>
        <w:ind w:left="2060" w:right="680" w:hanging="1020"/>
        <w:spacing w:after="0" w:line="332" w:lineRule="auto"/>
        <w:tabs>
          <w:tab w:leader="none" w:pos="2060" w:val="left"/>
        </w:tabs>
        <w:numPr>
          <w:ilvl w:val="1"/>
          <w:numId w:val="27"/>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33" w:lineRule="exact"/>
        <w:rPr>
          <w:rFonts w:ascii="Arial" w:cs="Arial" w:eastAsia="Arial" w:hAnsi="Arial"/>
          <w:sz w:val="15"/>
          <w:szCs w:val="15"/>
          <w:color w:val="auto"/>
        </w:rPr>
      </w:pPr>
    </w:p>
    <w:p>
      <w:pPr>
        <w:ind w:left="2060" w:right="400" w:hanging="1020"/>
        <w:spacing w:after="0" w:line="296" w:lineRule="auto"/>
        <w:tabs>
          <w:tab w:leader="none" w:pos="206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Date: November 12, 2019</w:t>
      </w:r>
    </w:p>
    <w:p>
      <w:pPr>
        <w:spacing w:after="0" w:line="221" w:lineRule="exact"/>
        <w:rPr>
          <w:sz w:val="20"/>
          <w:szCs w:val="20"/>
          <w:color w:val="auto"/>
        </w:rPr>
      </w:pPr>
    </w:p>
    <w:p>
      <w:pPr>
        <w:ind w:left="5260"/>
        <w:spacing w:after="0"/>
        <w:rPr>
          <w:sz w:val="20"/>
          <w:szCs w:val="20"/>
          <w:color w:val="auto"/>
        </w:rPr>
      </w:pPr>
      <w:r>
        <w:rPr>
          <w:rFonts w:ascii="Arial" w:cs="Arial" w:eastAsia="Arial" w:hAnsi="Arial"/>
          <w:sz w:val="16"/>
          <w:szCs w:val="16"/>
          <w:u w:val="single" w:color="auto"/>
          <w:color w:val="auto"/>
        </w:rPr>
        <w:t>/s/ Barry B. Goldstein</w:t>
      </w:r>
    </w:p>
    <w:p>
      <w:pPr>
        <w:spacing w:after="0" w:line="25"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Barry B. Goldstein</w:t>
      </w:r>
    </w:p>
    <w:p>
      <w:pPr>
        <w:spacing w:after="0" w:line="19"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271145</wp:posOffset>
            </wp:positionV>
            <wp:extent cx="725487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6"/>
          <w:szCs w:val="16"/>
          <w:b w:val="1"/>
          <w:bCs w:val="1"/>
          <w:color w:val="auto"/>
        </w:rPr>
        <w:t>Exhibit 31(b)</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CERTIFICATION</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I, Victor Brodsky, certify that:</w:t>
      </w:r>
    </w:p>
    <w:p>
      <w:pPr>
        <w:spacing w:after="0" w:line="221" w:lineRule="exact"/>
        <w:rPr>
          <w:sz w:val="20"/>
          <w:szCs w:val="20"/>
          <w:color w:val="auto"/>
        </w:rPr>
      </w:pPr>
    </w:p>
    <w:p>
      <w:pPr>
        <w:ind w:left="1040" w:hanging="1039"/>
        <w:spacing w:after="0"/>
        <w:tabs>
          <w:tab w:leader="none" w:pos="10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Kingstone Companies, Inc.;</w:t>
      </w:r>
    </w:p>
    <w:p>
      <w:pPr>
        <w:spacing w:after="0" w:line="221" w:lineRule="exact"/>
        <w:rPr>
          <w:rFonts w:ascii="Arial" w:cs="Arial" w:eastAsia="Arial" w:hAnsi="Arial"/>
          <w:sz w:val="16"/>
          <w:szCs w:val="16"/>
          <w:color w:val="auto"/>
        </w:rPr>
      </w:pPr>
    </w:p>
    <w:p>
      <w:pPr>
        <w:ind w:left="1040" w:hanging="1039"/>
        <w:spacing w:after="0" w:line="332" w:lineRule="auto"/>
        <w:tabs>
          <w:tab w:leader="none" w:pos="10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0" w:lineRule="exact"/>
        <w:rPr>
          <w:rFonts w:ascii="Arial" w:cs="Arial" w:eastAsia="Arial" w:hAnsi="Arial"/>
          <w:sz w:val="15"/>
          <w:szCs w:val="15"/>
          <w:color w:val="auto"/>
        </w:rPr>
      </w:pPr>
    </w:p>
    <w:p>
      <w:pPr>
        <w:ind w:left="1040" w:hanging="1039"/>
        <w:spacing w:after="0" w:line="296" w:lineRule="auto"/>
        <w:tabs>
          <w:tab w:leader="none" w:pos="10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4" w:lineRule="exact"/>
        <w:rPr>
          <w:rFonts w:ascii="Arial" w:cs="Arial" w:eastAsia="Arial" w:hAnsi="Arial"/>
          <w:sz w:val="16"/>
          <w:szCs w:val="16"/>
          <w:color w:val="auto"/>
        </w:rPr>
      </w:pPr>
    </w:p>
    <w:p>
      <w:pPr>
        <w:jc w:val="both"/>
        <w:ind w:left="1040" w:hanging="1039"/>
        <w:spacing w:after="0" w:line="280" w:lineRule="auto"/>
        <w:tabs>
          <w:tab w:leader="none" w:pos="10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6" w:lineRule="exact"/>
        <w:rPr>
          <w:rFonts w:ascii="Arial" w:cs="Arial" w:eastAsia="Arial" w:hAnsi="Arial"/>
          <w:sz w:val="16"/>
          <w:szCs w:val="16"/>
          <w:color w:val="auto"/>
        </w:rPr>
      </w:pPr>
    </w:p>
    <w:p>
      <w:pPr>
        <w:jc w:val="both"/>
        <w:ind w:left="2060" w:hanging="1020"/>
        <w:spacing w:after="0" w:line="280" w:lineRule="auto"/>
        <w:tabs>
          <w:tab w:leader="none" w:pos="2060" w:val="left"/>
        </w:tabs>
        <w:numPr>
          <w:ilvl w:val="1"/>
          <w:numId w:val="2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6" w:lineRule="exact"/>
        <w:rPr>
          <w:rFonts w:ascii="Arial" w:cs="Arial" w:eastAsia="Arial" w:hAnsi="Arial"/>
          <w:sz w:val="16"/>
          <w:szCs w:val="16"/>
          <w:color w:val="auto"/>
        </w:rPr>
      </w:pPr>
    </w:p>
    <w:p>
      <w:pPr>
        <w:jc w:val="both"/>
        <w:ind w:left="2060" w:hanging="1020"/>
        <w:spacing w:after="0" w:line="280" w:lineRule="auto"/>
        <w:tabs>
          <w:tab w:leader="none" w:pos="2060" w:val="left"/>
        </w:tabs>
        <w:numPr>
          <w:ilvl w:val="1"/>
          <w:numId w:val="2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6" w:lineRule="exact"/>
        <w:rPr>
          <w:rFonts w:ascii="Arial" w:cs="Arial" w:eastAsia="Arial" w:hAnsi="Arial"/>
          <w:sz w:val="16"/>
          <w:szCs w:val="16"/>
          <w:color w:val="auto"/>
        </w:rPr>
      </w:pPr>
    </w:p>
    <w:p>
      <w:pPr>
        <w:ind w:left="2060" w:hanging="1020"/>
        <w:spacing w:after="0" w:line="332" w:lineRule="auto"/>
        <w:tabs>
          <w:tab w:leader="none" w:pos="2060" w:val="left"/>
        </w:tabs>
        <w:numPr>
          <w:ilvl w:val="1"/>
          <w:numId w:val="2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0" w:lineRule="exact"/>
        <w:rPr>
          <w:rFonts w:ascii="Arial" w:cs="Arial" w:eastAsia="Arial" w:hAnsi="Arial"/>
          <w:sz w:val="15"/>
          <w:szCs w:val="15"/>
          <w:color w:val="auto"/>
        </w:rPr>
      </w:pPr>
    </w:p>
    <w:p>
      <w:pPr>
        <w:jc w:val="both"/>
        <w:ind w:left="2060" w:hanging="1020"/>
        <w:spacing w:after="0" w:line="280" w:lineRule="auto"/>
        <w:tabs>
          <w:tab w:leader="none" w:pos="2060" w:val="left"/>
        </w:tabs>
        <w:numPr>
          <w:ilvl w:val="1"/>
          <w:numId w:val="2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Arial" w:cs="Arial" w:eastAsia="Arial" w:hAnsi="Arial"/>
          <w:sz w:val="16"/>
          <w:szCs w:val="16"/>
          <w:color w:val="auto"/>
        </w:rPr>
      </w:pPr>
    </w:p>
    <w:p>
      <w:pPr>
        <w:ind w:left="1040" w:hanging="1039"/>
        <w:spacing w:after="0" w:line="296" w:lineRule="auto"/>
        <w:tabs>
          <w:tab w:leader="none" w:pos="10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4" w:lineRule="exact"/>
        <w:rPr>
          <w:rFonts w:ascii="Arial" w:cs="Arial" w:eastAsia="Arial" w:hAnsi="Arial"/>
          <w:sz w:val="16"/>
          <w:szCs w:val="16"/>
          <w:color w:val="auto"/>
        </w:rPr>
      </w:pPr>
    </w:p>
    <w:p>
      <w:pPr>
        <w:ind w:left="2060" w:hanging="1020"/>
        <w:spacing w:after="0" w:line="296" w:lineRule="auto"/>
        <w:tabs>
          <w:tab w:leader="none" w:pos="206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4" w:lineRule="exact"/>
        <w:rPr>
          <w:rFonts w:ascii="Arial" w:cs="Arial" w:eastAsia="Arial" w:hAnsi="Arial"/>
          <w:sz w:val="16"/>
          <w:szCs w:val="16"/>
          <w:color w:val="auto"/>
        </w:rPr>
      </w:pPr>
    </w:p>
    <w:p>
      <w:pPr>
        <w:ind w:left="2060" w:hanging="1020"/>
        <w:spacing w:after="0" w:line="296" w:lineRule="auto"/>
        <w:tabs>
          <w:tab w:leader="none" w:pos="206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color w:val="auto"/>
        </w:rPr>
        <w:t>Date: November 12, 2019</w:t>
      </w:r>
    </w:p>
    <w:p>
      <w:pPr>
        <w:spacing w:after="0" w:line="25" w:lineRule="exact"/>
        <w:rPr>
          <w:sz w:val="20"/>
          <w:szCs w:val="20"/>
          <w:color w:val="auto"/>
        </w:rPr>
      </w:pPr>
    </w:p>
    <w:p>
      <w:pPr>
        <w:ind w:left="5260"/>
        <w:spacing w:after="0"/>
        <w:rPr>
          <w:sz w:val="20"/>
          <w:szCs w:val="20"/>
          <w:color w:val="auto"/>
        </w:rPr>
      </w:pPr>
      <w:r>
        <w:rPr>
          <w:rFonts w:ascii="Arial" w:cs="Arial" w:eastAsia="Arial" w:hAnsi="Arial"/>
          <w:sz w:val="16"/>
          <w:szCs w:val="16"/>
          <w:u w:val="single" w:color="auto"/>
          <w:color w:val="auto"/>
        </w:rPr>
        <w:t>/s/ Victor Brodsky</w:t>
      </w:r>
    </w:p>
    <w:p>
      <w:pPr>
        <w:spacing w:after="0" w:line="19"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Victor Brodsky</w:t>
      </w:r>
    </w:p>
    <w:p>
      <w:pPr>
        <w:spacing w:after="0" w:line="19"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142240</wp:posOffset>
            </wp:positionV>
            <wp:extent cx="725487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6"/>
          <w:szCs w:val="16"/>
          <w:b w:val="1"/>
          <w:bCs w:val="1"/>
          <w:color w:val="auto"/>
        </w:rPr>
        <w:t>Exhibit 32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AND CHIEF FINANCIAL OFFICER</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00" w:lineRule="exact"/>
        <w:rPr>
          <w:sz w:val="20"/>
          <w:szCs w:val="20"/>
          <w:color w:val="auto"/>
        </w:rPr>
      </w:pPr>
    </w:p>
    <w:p>
      <w:pPr>
        <w:spacing w:after="0" w:line="218" w:lineRule="exact"/>
        <w:rPr>
          <w:sz w:val="20"/>
          <w:szCs w:val="20"/>
          <w:color w:val="auto"/>
        </w:rPr>
      </w:pPr>
    </w:p>
    <w:p>
      <w:pPr>
        <w:jc w:val="both"/>
        <w:ind w:firstLine="608"/>
        <w:spacing w:after="0" w:line="275" w:lineRule="auto"/>
        <w:rPr>
          <w:sz w:val="20"/>
          <w:szCs w:val="20"/>
          <w:color w:val="auto"/>
        </w:rPr>
      </w:pPr>
      <w:r>
        <w:rPr>
          <w:rFonts w:ascii="Arial" w:cs="Arial" w:eastAsia="Arial" w:hAnsi="Arial"/>
          <w:sz w:val="16"/>
          <w:szCs w:val="16"/>
          <w:color w:val="auto"/>
        </w:rPr>
        <w:t>The undersigned hereby certify, pursuant to, and as required by, 18 U.S.C. Section 1350, as adopted pursuant to Section 906 of the Sarbanes-Oxley Act of 2002, that the Quarterly Report of Kingstone Companies, Inc. (the “Company”) on Form 10-Q for the period ended September 30, 2019 fully complies with the requirements of Section 13(a) or 15(d) of the Securities Exchange Act of 1934, as amended, and that information contained in such Quarterly Report on Form 10-Q fairly presents, in all material respects, the financial condition and results of operations of the Company.</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60" w:type="dxa"/>
            <w:vAlign w:val="bottom"/>
          </w:tcPr>
          <w:p>
            <w:pPr>
              <w:spacing w:after="0"/>
              <w:rPr>
                <w:sz w:val="20"/>
                <w:szCs w:val="20"/>
                <w:color w:val="auto"/>
              </w:rPr>
            </w:pPr>
            <w:r>
              <w:rPr>
                <w:rFonts w:ascii="Arial" w:cs="Arial" w:eastAsia="Arial" w:hAnsi="Arial"/>
                <w:sz w:val="16"/>
                <w:szCs w:val="16"/>
                <w:color w:val="auto"/>
              </w:rPr>
              <w:t>Dated: November 12, 2019</w:t>
            </w:r>
          </w:p>
        </w:tc>
        <w:tc>
          <w:tcPr>
            <w:tcW w:w="7160" w:type="dxa"/>
            <w:vAlign w:val="bottom"/>
            <w:gridSpan w:val="4"/>
          </w:tcPr>
          <w:p>
            <w:pPr>
              <w:spacing w:after="0"/>
              <w:rPr>
                <w:sz w:val="20"/>
                <w:szCs w:val="20"/>
                <w:color w:val="auto"/>
              </w:rPr>
            </w:pPr>
            <w:r>
              <w:rPr>
                <w:rFonts w:ascii="Arial" w:cs="Arial" w:eastAsia="Arial" w:hAnsi="Arial"/>
                <w:sz w:val="16"/>
                <w:szCs w:val="16"/>
                <w:color w:val="auto"/>
              </w:rPr>
              <w:t>/s/ Barry B. Goldstein</w:t>
            </w:r>
          </w:p>
        </w:tc>
      </w:tr>
      <w:tr>
        <w:trPr>
          <w:trHeight w:val="212"/>
        </w:trPr>
        <w:tc>
          <w:tcPr>
            <w:tcW w:w="4260" w:type="dxa"/>
            <w:vAlign w:val="bottom"/>
          </w:tcPr>
          <w:p>
            <w:pPr>
              <w:spacing w:after="0"/>
              <w:rPr>
                <w:sz w:val="18"/>
                <w:szCs w:val="18"/>
                <w:color w:val="auto"/>
              </w:rPr>
            </w:pPr>
          </w:p>
        </w:tc>
        <w:tc>
          <w:tcPr>
            <w:tcW w:w="1440" w:type="dxa"/>
            <w:vAlign w:val="bottom"/>
            <w:tcBorders>
              <w:top w:val="single" w:sz="8" w:color="auto"/>
            </w:tcBorders>
            <w:gridSpan w:val="3"/>
          </w:tcPr>
          <w:p>
            <w:pPr>
              <w:spacing w:after="0"/>
              <w:rPr>
                <w:sz w:val="20"/>
                <w:szCs w:val="20"/>
                <w:color w:val="auto"/>
              </w:rPr>
            </w:pPr>
            <w:r>
              <w:rPr>
                <w:rFonts w:ascii="Arial" w:cs="Arial" w:eastAsia="Arial" w:hAnsi="Arial"/>
                <w:sz w:val="16"/>
                <w:szCs w:val="16"/>
                <w:color w:val="auto"/>
              </w:rPr>
              <w:t>Barry B. Goldstein</w:t>
            </w:r>
          </w:p>
        </w:tc>
        <w:tc>
          <w:tcPr>
            <w:tcW w:w="5720" w:type="dxa"/>
            <w:vAlign w:val="bottom"/>
          </w:tcPr>
          <w:p>
            <w:pPr>
              <w:spacing w:after="0"/>
              <w:rPr>
                <w:sz w:val="18"/>
                <w:szCs w:val="18"/>
                <w:color w:val="auto"/>
              </w:rPr>
            </w:pPr>
          </w:p>
        </w:tc>
      </w:tr>
      <w:tr>
        <w:trPr>
          <w:trHeight w:val="209"/>
        </w:trPr>
        <w:tc>
          <w:tcPr>
            <w:tcW w:w="4260" w:type="dxa"/>
            <w:vAlign w:val="bottom"/>
          </w:tcPr>
          <w:p>
            <w:pPr>
              <w:spacing w:after="0"/>
              <w:rPr>
                <w:sz w:val="18"/>
                <w:szCs w:val="18"/>
                <w:color w:val="auto"/>
              </w:rPr>
            </w:pPr>
          </w:p>
        </w:tc>
        <w:tc>
          <w:tcPr>
            <w:tcW w:w="7160" w:type="dxa"/>
            <w:vAlign w:val="bottom"/>
            <w:gridSpan w:val="4"/>
          </w:tcPr>
          <w:p>
            <w:pPr>
              <w:spacing w:after="0"/>
              <w:rPr>
                <w:sz w:val="20"/>
                <w:szCs w:val="20"/>
                <w:color w:val="auto"/>
              </w:rPr>
            </w:pPr>
            <w:r>
              <w:rPr>
                <w:rFonts w:ascii="Arial" w:cs="Arial" w:eastAsia="Arial" w:hAnsi="Arial"/>
                <w:sz w:val="16"/>
                <w:szCs w:val="16"/>
                <w:color w:val="auto"/>
              </w:rPr>
              <w:t>Chief Executive Officer</w:t>
            </w:r>
          </w:p>
        </w:tc>
      </w:tr>
      <w:tr>
        <w:trPr>
          <w:trHeight w:val="509"/>
        </w:trPr>
        <w:tc>
          <w:tcPr>
            <w:tcW w:w="4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120" w:type="dxa"/>
            <w:vAlign w:val="bottom"/>
            <w:gridSpan w:val="3"/>
          </w:tcPr>
          <w:p>
            <w:pPr>
              <w:spacing w:after="0"/>
              <w:rPr>
                <w:sz w:val="20"/>
                <w:szCs w:val="20"/>
                <w:color w:val="auto"/>
              </w:rPr>
            </w:pPr>
            <w:r>
              <w:rPr>
                <w:rFonts w:ascii="Arial" w:cs="Arial" w:eastAsia="Arial" w:hAnsi="Arial"/>
                <w:sz w:val="16"/>
                <w:szCs w:val="16"/>
                <w:color w:val="auto"/>
              </w:rPr>
              <w:t>/s/ Victor Brodsky</w:t>
            </w:r>
          </w:p>
        </w:tc>
      </w:tr>
      <w:tr>
        <w:trPr>
          <w:trHeight w:val="20"/>
        </w:trPr>
        <w:tc>
          <w:tcPr>
            <w:tcW w:w="4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920" w:type="dxa"/>
            <w:vAlign w:val="bottom"/>
            <w:gridSpan w:val="2"/>
          </w:tcPr>
          <w:p>
            <w:pPr>
              <w:spacing w:after="0" w:line="20" w:lineRule="exact"/>
              <w:rPr>
                <w:sz w:val="1"/>
                <w:szCs w:val="1"/>
                <w:color w:val="auto"/>
              </w:rPr>
            </w:pPr>
          </w:p>
        </w:tc>
      </w:tr>
      <w:tr>
        <w:trPr>
          <w:trHeight w:val="212"/>
        </w:trPr>
        <w:tc>
          <w:tcPr>
            <w:tcW w:w="4260" w:type="dxa"/>
            <w:vAlign w:val="bottom"/>
          </w:tcPr>
          <w:p>
            <w:pPr>
              <w:spacing w:after="0"/>
              <w:rPr>
                <w:sz w:val="18"/>
                <w:szCs w:val="18"/>
                <w:color w:val="auto"/>
              </w:rPr>
            </w:pPr>
          </w:p>
        </w:tc>
        <w:tc>
          <w:tcPr>
            <w:tcW w:w="7160" w:type="dxa"/>
            <w:vAlign w:val="bottom"/>
            <w:gridSpan w:val="4"/>
          </w:tcPr>
          <w:p>
            <w:pPr>
              <w:spacing w:after="0"/>
              <w:rPr>
                <w:sz w:val="20"/>
                <w:szCs w:val="20"/>
                <w:color w:val="auto"/>
              </w:rPr>
            </w:pPr>
            <w:r>
              <w:rPr>
                <w:rFonts w:ascii="Arial" w:cs="Arial" w:eastAsia="Arial" w:hAnsi="Arial"/>
                <w:sz w:val="16"/>
                <w:szCs w:val="16"/>
                <w:color w:val="auto"/>
              </w:rPr>
              <w:t>Victor Brodsky</w:t>
            </w:r>
          </w:p>
        </w:tc>
      </w:tr>
      <w:tr>
        <w:trPr>
          <w:trHeight w:val="209"/>
        </w:trPr>
        <w:tc>
          <w:tcPr>
            <w:tcW w:w="4260" w:type="dxa"/>
            <w:vAlign w:val="bottom"/>
          </w:tcPr>
          <w:p>
            <w:pPr>
              <w:spacing w:after="0"/>
              <w:rPr>
                <w:sz w:val="18"/>
                <w:szCs w:val="18"/>
                <w:color w:val="auto"/>
              </w:rPr>
            </w:pPr>
          </w:p>
        </w:tc>
        <w:tc>
          <w:tcPr>
            <w:tcW w:w="7160" w:type="dxa"/>
            <w:vAlign w:val="bottom"/>
            <w:gridSpan w:val="4"/>
          </w:tcPr>
          <w:p>
            <w:pPr>
              <w:spacing w:after="0"/>
              <w:rPr>
                <w:sz w:val="20"/>
                <w:szCs w:val="20"/>
                <w:color w:val="auto"/>
              </w:rPr>
            </w:pPr>
            <w:r>
              <w:rPr>
                <w:rFonts w:ascii="Arial" w:cs="Arial" w:eastAsia="Arial" w:hAnsi="Arial"/>
                <w:sz w:val="16"/>
                <w:szCs w:val="16"/>
                <w:color w:val="auto"/>
              </w:rPr>
              <w:t>Chief Financial Officer</w:t>
            </w:r>
          </w:p>
        </w:tc>
      </w:tr>
      <w:tr>
        <w:trPr>
          <w:trHeight w:val="205"/>
        </w:trPr>
        <w:tc>
          <w:tcPr>
            <w:tcW w:w="42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720" w:type="dxa"/>
            <w:vAlign w:val="bottom"/>
            <w:tcBorders>
              <w:bottom w:val="single" w:sz="8" w:color="auto"/>
            </w:tcBorders>
          </w:tcPr>
          <w:p>
            <w:pPr>
              <w:spacing w:after="0"/>
              <w:rPr>
                <w:sz w:val="17"/>
                <w:szCs w:val="17"/>
                <w:color w:val="auto"/>
              </w:rPr>
            </w:pPr>
          </w:p>
        </w:tc>
      </w:tr>
    </w:tbl>
    <w:p>
      <w:pPr>
        <w:spacing w:after="0" w:line="1" w:lineRule="exact"/>
        <w:rPr>
          <w:sz w:val="20"/>
          <w:szCs w:val="20"/>
          <w:color w:val="auto"/>
        </w:rPr>
      </w:pPr>
    </w:p>
    <w:sectPr>
      <w:pgSz w:w="11900" w:h="16838" w:orient="portrait"/>
      <w:cols w:equalWidth="0" w:num="1">
        <w:col w:w="11420"/>
      </w:cols>
      <w:pgMar w:left="240" w:top="15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1)"/>
      <w:numFmt w:val="upperLetter"/>
      <w:start w:val="1"/>
    </w:lvl>
  </w:abstractNum>
  <w:abstractNum w:abstractNumId="9">
    <w:nsid w:val="7C83E458"/>
    <w:multiLevelType w:val="hybridMultilevel"/>
    <w:lvl w:ilvl="0">
      <w:lvlJc w:val="left"/>
      <w:lvlText w:val="(%1)"/>
      <w:numFmt w:val="decimal"/>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1)"/>
      <w:numFmt w:val="decimal"/>
      <w:start w:val="1"/>
    </w:lvl>
  </w:abstractNum>
  <w:abstractNum w:abstractNumId="15">
    <w:nsid w:val="721DA317"/>
    <w:multiLevelType w:val="hybridMultilevel"/>
    <w:lvl w:ilvl="0">
      <w:lvlJc w:val="left"/>
      <w:lvlText w:val="(%1)"/>
      <w:numFmt w:val="decimal"/>
      <w:start w:val="1"/>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1)"/>
      <w:numFmt w:val="decimal"/>
      <w:start w:val="1"/>
    </w:lvl>
  </w:abstractNum>
  <w:abstractNum w:abstractNumId="21">
    <w:nsid w:val="79838CB2"/>
    <w:multiLevelType w:val="hybridMultilevel"/>
    <w:lvl w:ilvl="0">
      <w:lvlJc w:val="left"/>
      <w:lvlText w:val="(%1)"/>
      <w:numFmt w:val="decimal"/>
      <w:start w:val="1"/>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1)"/>
      <w:numFmt w:val="decimal"/>
      <w:start w:val="1"/>
    </w:lvl>
  </w:abstractNum>
  <w:abstractNum w:abstractNumId="24">
    <w:nsid w:val="189A769B"/>
    <w:multiLevelType w:val="hybridMultilevel"/>
    <w:lvl w:ilvl="0">
      <w:lvlJc w:val="left"/>
      <w:lvlText w:val="(%1)"/>
      <w:numFmt w:val="lowerLetter"/>
      <w:start w:val="1"/>
    </w:lvl>
  </w:abstractNum>
  <w:abstractNum w:abstractNumId="25">
    <w:nsid w:val="54E49EB4"/>
    <w:multiLevelType w:val="hybridMultilevel"/>
    <w:lvl w:ilvl="0">
      <w:lvlJc w:val="left"/>
      <w:lvlText w:val="+"/>
      <w:numFmt w:val="bullet"/>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2019-11-28T10:22:29Z</dcterms:created>
  <dcterms:modified xsi:type="dcterms:W3CDTF">2019-11-28T10:22:29Z</dcterms:modified>
</cp:coreProperties>
</file>