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9" w:lineRule="exact"/>
        <w:rPr>
          <w:sz w:val="24"/>
          <w:szCs w:val="24"/>
          <w:color w:val="auto"/>
        </w:rPr>
      </w:pPr>
    </w:p>
    <w:p>
      <w:pPr>
        <w:ind w:left="460" w:hanging="331"/>
        <w:spacing w:after="0"/>
        <w:tabs>
          <w:tab w:leader="none" w:pos="4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9" w:lineRule="exact"/>
        <w:rPr>
          <w:sz w:val="24"/>
          <w:szCs w:val="24"/>
          <w:color w:val="auto"/>
        </w:rPr>
      </w:pPr>
    </w:p>
    <w:p>
      <w:pPr>
        <w:ind w:left="460" w:hanging="316"/>
        <w:spacing w:after="0"/>
        <w:tabs>
          <w:tab w:leader="none" w:pos="4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20"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_________to _________</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0-1665</w:t>
      </w:r>
    </w:p>
    <w:p>
      <w:pPr>
        <w:spacing w:after="0" w:line="2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KINGSTONE COMPANIES,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1050925</wp:posOffset>
            </wp:positionH>
            <wp:positionV relativeFrom="paragraph">
              <wp:posOffset>45085</wp:posOffset>
            </wp:positionV>
            <wp:extent cx="5040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40630" cy="8255"/>
                    </a:xfrm>
                    <a:prstGeom prst="rect">
                      <a:avLst/>
                    </a:prstGeom>
                    <a:noFill/>
                  </pic:spPr>
                </pic:pic>
              </a:graphicData>
            </a:graphic>
          </wp:anchor>
        </w:drawing>
      </w:r>
    </w:p>
    <w:p>
      <w:pPr>
        <w:spacing w:after="0" w:line="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6" w:lineRule="exact"/>
        <w:rPr>
          <w:sz w:val="24"/>
          <w:szCs w:val="24"/>
          <w:color w:val="auto"/>
        </w:rPr>
      </w:pPr>
    </w:p>
    <w:tbl>
      <w:tblPr>
        <w:tblLayout w:type="fixed"/>
        <w:tblInd w:w="880" w:type="dxa"/>
        <w:tblCellMar>
          <w:top w:w="0" w:type="dxa"/>
          <w:left w:w="0" w:type="dxa"/>
          <w:bottom w:w="0" w:type="dxa"/>
          <w:right w:w="0" w:type="dxa"/>
        </w:tblCellMar>
      </w:tblPr>
      <w:tr>
        <w:trPr>
          <w:trHeight w:val="245"/>
        </w:trPr>
        <w:tc>
          <w:tcPr>
            <w:tcW w:w="4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36-2476480</w:t>
            </w:r>
          </w:p>
        </w:tc>
      </w:tr>
      <w:tr>
        <w:trPr>
          <w:trHeight w:val="175"/>
        </w:trPr>
        <w:tc>
          <w:tcPr>
            <w:tcW w:w="46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00" w:type="dxa"/>
            <w:vAlign w:val="bottom"/>
          </w:tcPr>
          <w:p>
            <w:pPr>
              <w:spacing w:after="0"/>
              <w:rPr>
                <w:sz w:val="15"/>
                <w:szCs w:val="15"/>
                <w:color w:val="auto"/>
              </w:rPr>
            </w:pPr>
          </w:p>
        </w:tc>
        <w:tc>
          <w:tcPr>
            <w:tcW w:w="47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2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120 Wood Road</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Kingston, NY 12401</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(845) 802-7900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0"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KINS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52"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0"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60" w:type="dxa"/>
            <w:vAlign w:val="bottom"/>
          </w:tcPr>
          <w:p>
            <w:pPr>
              <w:ind w:left="600"/>
              <w:spacing w:after="0"/>
              <w:rPr>
                <w:sz w:val="20"/>
                <w:szCs w:val="20"/>
                <w:color w:val="auto"/>
              </w:rPr>
            </w:pPr>
            <w:r>
              <w:rPr>
                <w:rFonts w:ascii="Wingdings" w:cs="Wingdings" w:eastAsia="Wingdings" w:hAnsi="Wingdings"/>
                <w:sz w:val="18"/>
                <w:szCs w:val="18"/>
                <w:b w:val="1"/>
                <w:bCs w:val="1"/>
                <w:color w:val="auto"/>
              </w:rPr>
              <w:t>o</w:t>
            </w:r>
          </w:p>
        </w:tc>
        <w:tc>
          <w:tcPr>
            <w:tcW w:w="3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99"/>
              </w:rPr>
              <w:t>o</w:t>
            </w:r>
          </w:p>
        </w:tc>
      </w:tr>
      <w:tr>
        <w:trPr>
          <w:trHeight w:val="25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60" w:type="dxa"/>
            <w:vAlign w:val="bottom"/>
          </w:tcPr>
          <w:p>
            <w:pPr>
              <w:ind w:left="600"/>
              <w:spacing w:after="0"/>
              <w:rPr>
                <w:sz w:val="20"/>
                <w:szCs w:val="20"/>
                <w:color w:val="auto"/>
              </w:rPr>
            </w:pPr>
            <w:r>
              <w:rPr>
                <w:rFonts w:ascii="Wingdings" w:cs="Wingdings" w:eastAsia="Wingdings" w:hAnsi="Wingdings"/>
                <w:sz w:val="18"/>
                <w:szCs w:val="18"/>
                <w:b w:val="1"/>
                <w:bCs w:val="1"/>
                <w:color w:val="auto"/>
              </w:rPr>
              <w:t>x</w:t>
            </w:r>
          </w:p>
        </w:tc>
        <w:tc>
          <w:tcPr>
            <w:tcW w:w="3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83"/>
              </w:rPr>
              <w:t>x</w:t>
            </w:r>
          </w:p>
        </w:tc>
      </w:tr>
      <w:tr>
        <w:trPr>
          <w:trHeight w:val="256"/>
        </w:trPr>
        <w:tc>
          <w:tcPr>
            <w:tcW w:w="22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99"/>
              </w:rPr>
              <w:t>o</w:t>
            </w:r>
          </w:p>
        </w:tc>
      </w:tr>
    </w:tbl>
    <w:p>
      <w:pPr>
        <w:spacing w:after="0" w:line="30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11, 2025, there were 14,140,604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7" w:right="319" w:bottom="1001"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0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0000FF"/>
              </w:rPr>
              <w:t>Table of Contents</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80" w:type="dxa"/>
            <w:vAlign w:val="bottom"/>
            <w:gridSpan w:val="9"/>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9"/>
              </w:rPr>
              <w:t>KINGSTONE COMPANIES, INC.</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40" w:type="dxa"/>
            <w:vAlign w:val="bottom"/>
            <w:gridSpan w:val="8"/>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28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w:t>
            </w:r>
          </w:p>
        </w:tc>
        <w:tc>
          <w:tcPr>
            <w:tcW w:w="87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at June 30, 2025 (Unaudited) and December 31, 2024</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7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Income and Comprehensive Income (Unaudited) for the three months and six</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760" w:type="dxa"/>
            <w:vAlign w:val="bottom"/>
            <w:tcBorders>
              <w:top w:val="single" w:sz="8" w:color="0000FF"/>
              <w:bottom w:val="single" w:sz="8" w:color="0000FF"/>
            </w:tcBorders>
            <w:gridSpan w:val="12"/>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months ended June 30, 2025 and 2024</w:t>
            </w:r>
          </w:p>
        </w:tc>
        <w:tc>
          <w:tcPr>
            <w:tcW w:w="1580" w:type="dxa"/>
            <w:vAlign w:val="bottom"/>
            <w:tcBorders>
              <w:top w:val="single" w:sz="8" w:color="0000FF"/>
              <w:bottom w:val="single" w:sz="8" w:color="CCEEFF"/>
            </w:tcBorders>
            <w:shd w:val="clear" w:color="auto" w:fill="CCEEFF"/>
          </w:tcPr>
          <w:p>
            <w:pPr>
              <w:spacing w:after="0"/>
              <w:rPr>
                <w:sz w:val="16"/>
                <w:szCs w:val="16"/>
                <w:color w:val="auto"/>
              </w:rPr>
            </w:pPr>
          </w:p>
        </w:tc>
        <w:tc>
          <w:tcPr>
            <w:tcW w:w="560" w:type="dxa"/>
            <w:vAlign w:val="bottom"/>
            <w:tcBorders>
              <w:top w:val="single" w:sz="8" w:color="0000FF"/>
              <w:bottom w:val="single" w:sz="8" w:color="CCEEFF"/>
            </w:tcBorders>
            <w:shd w:val="clear" w:color="auto" w:fill="CCEEFF"/>
          </w:tcPr>
          <w:p>
            <w:pPr>
              <w:spacing w:after="0"/>
              <w:rPr>
                <w:sz w:val="16"/>
                <w:szCs w:val="16"/>
                <w:color w:val="auto"/>
              </w:rPr>
            </w:pPr>
          </w:p>
        </w:tc>
        <w:tc>
          <w:tcPr>
            <w:tcW w:w="1540" w:type="dxa"/>
            <w:vAlign w:val="bottom"/>
            <w:tcBorders>
              <w:top w:val="single" w:sz="8" w:color="0000FF"/>
              <w:bottom w:val="single" w:sz="8" w:color="CCEEFF"/>
            </w:tcBorders>
            <w:shd w:val="clear" w:color="auto" w:fill="CCEEFF"/>
          </w:tcPr>
          <w:p>
            <w:pPr>
              <w:spacing w:after="0"/>
              <w:rPr>
                <w:sz w:val="16"/>
                <w:szCs w:val="16"/>
                <w:color w:val="auto"/>
              </w:rPr>
            </w:pPr>
          </w:p>
        </w:tc>
        <w:tc>
          <w:tcPr>
            <w:tcW w:w="176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20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8700" w:type="dxa"/>
            <w:vAlign w:val="bottom"/>
            <w:tcBorders>
              <w:top w:val="single" w:sz="8" w:color="CCEEFF"/>
            </w:tcBorders>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(Unaudited) for the three months and six months ended</w:t>
            </w: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0" w:type="dxa"/>
            <w:vAlign w:val="bottom"/>
            <w:tcBorders>
              <w:top w:val="single" w:sz="8" w:color="0000FF"/>
            </w:tcBorders>
            <w:gridSpan w:val="18"/>
          </w:tcPr>
          <w:p>
            <w:pPr>
              <w:spacing w:after="0" w:line="142" w:lineRule="exact"/>
              <w:rPr>
                <w:sz w:val="20"/>
                <w:szCs w:val="20"/>
                <w:color w:val="auto"/>
              </w:rPr>
            </w:pPr>
            <w:r>
              <w:rPr>
                <w:rFonts w:ascii="Times New Roman" w:cs="Times New Roman" w:eastAsia="Times New Roman" w:hAnsi="Times New Roman"/>
                <w:sz w:val="16"/>
                <w:szCs w:val="16"/>
                <w:color w:val="0000FF"/>
              </w:rPr>
              <w:t>June 30, 2025 and 2024</w:t>
            </w:r>
          </w:p>
        </w:tc>
        <w:tc>
          <w:tcPr>
            <w:tcW w:w="300" w:type="dxa"/>
            <w:vAlign w:val="bottom"/>
            <w:gridSpan w:val="2"/>
          </w:tcPr>
          <w:p>
            <w:pPr>
              <w:spacing w:after="0"/>
              <w:rPr>
                <w:sz w:val="13"/>
                <w:szCs w:val="13"/>
                <w:color w:val="auto"/>
              </w:rPr>
            </w:pPr>
          </w:p>
        </w:tc>
        <w:tc>
          <w:tcPr>
            <w:tcW w:w="920" w:type="dxa"/>
            <w:vAlign w:val="bottom"/>
            <w:tcBorders>
              <w:top w:val="single" w:sz="8" w:color="CCEEFF"/>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7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 for the six months ended June 30, 2025 and 2024</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8200" w:type="dxa"/>
            <w:vAlign w:val="bottom"/>
            <w:tcBorders>
              <w:top w:val="single" w:sz="8" w:color="0000FF"/>
            </w:tcBorders>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500" w:type="dxa"/>
            <w:vAlign w:val="bottom"/>
            <w:tcBorders>
              <w:top w:val="single" w:sz="8" w:color="CCEEFF"/>
            </w:tcBorders>
            <w:gridSpan w:val="3"/>
          </w:tcPr>
          <w:p>
            <w:pPr>
              <w:spacing w:after="0"/>
              <w:rPr>
                <w:sz w:val="16"/>
                <w:szCs w:val="16"/>
                <w:color w:val="auto"/>
              </w:rPr>
            </w:pPr>
          </w:p>
        </w:tc>
        <w:tc>
          <w:tcPr>
            <w:tcW w:w="9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w:t>
            </w:r>
          </w:p>
        </w:tc>
        <w:tc>
          <w:tcPr>
            <w:tcW w:w="87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5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 —</w:t>
            </w:r>
          </w:p>
        </w:tc>
        <w:tc>
          <w:tcPr>
            <w:tcW w:w="87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 —</w:t>
            </w:r>
          </w:p>
        </w:tc>
        <w:tc>
          <w:tcPr>
            <w:tcW w:w="87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1028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1 —</w:t>
            </w:r>
          </w:p>
        </w:tc>
        <w:tc>
          <w:tcPr>
            <w:tcW w:w="640" w:type="dxa"/>
            <w:vAlign w:val="bottom"/>
            <w:gridSpan w:val="3"/>
            <w:shd w:val="clear" w:color="auto" w:fill="CCEEFF"/>
          </w:tcPr>
          <w:p>
            <w:pPr>
              <w:spacing w:after="0"/>
              <w:rPr>
                <w:sz w:val="16"/>
                <w:szCs w:val="16"/>
                <w:color w:val="auto"/>
              </w:rPr>
            </w:pPr>
          </w:p>
        </w:tc>
        <w:tc>
          <w:tcPr>
            <w:tcW w:w="87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Item 1A —</w:t>
            </w:r>
          </w:p>
        </w:tc>
        <w:tc>
          <w:tcPr>
            <w:tcW w:w="87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2 —</w:t>
            </w:r>
          </w:p>
        </w:tc>
        <w:tc>
          <w:tcPr>
            <w:tcW w:w="640" w:type="dxa"/>
            <w:vAlign w:val="bottom"/>
            <w:tcBorders>
              <w:bottom w:val="single" w:sz="8" w:color="CCEEFF"/>
            </w:tcBorders>
            <w:gridSpan w:val="3"/>
            <w:shd w:val="clear" w:color="auto" w:fill="CCEEFF"/>
          </w:tcPr>
          <w:p>
            <w:pPr>
              <w:spacing w:after="0"/>
              <w:rPr>
                <w:sz w:val="18"/>
                <w:szCs w:val="18"/>
                <w:color w:val="auto"/>
              </w:rPr>
            </w:pPr>
          </w:p>
        </w:tc>
        <w:tc>
          <w:tcPr>
            <w:tcW w:w="4340" w:type="dxa"/>
            <w:vAlign w:val="bottom"/>
            <w:tcBorders>
              <w:bottom w:val="single" w:sz="8" w:color="0000FF"/>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360" w:type="dxa"/>
            <w:vAlign w:val="bottom"/>
            <w:tcBorders>
              <w:bottom w:val="single" w:sz="8" w:color="CCEEFF"/>
            </w:tcBorders>
            <w:gridSpan w:val="7"/>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Item 3 —</w:t>
            </w:r>
          </w:p>
        </w:tc>
        <w:tc>
          <w:tcPr>
            <w:tcW w:w="87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4 —</w:t>
            </w:r>
          </w:p>
        </w:tc>
        <w:tc>
          <w:tcPr>
            <w:tcW w:w="640" w:type="dxa"/>
            <w:vAlign w:val="bottom"/>
            <w:gridSpan w:val="3"/>
            <w:shd w:val="clear" w:color="auto" w:fill="CCEEFF"/>
          </w:tcPr>
          <w:p>
            <w:pPr>
              <w:spacing w:after="0"/>
              <w:rPr>
                <w:sz w:val="18"/>
                <w:szCs w:val="18"/>
                <w:color w:val="auto"/>
              </w:rPr>
            </w:pPr>
          </w:p>
        </w:tc>
        <w:tc>
          <w:tcPr>
            <w:tcW w:w="87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700" w:type="dxa"/>
            <w:vAlign w:val="bottom"/>
            <w:tcBorders>
              <w:top w:val="single" w:sz="8" w:color="0000FF"/>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8"/>
              </w:rPr>
              <w:t>Item 5 —</w:t>
            </w:r>
          </w:p>
        </w:tc>
        <w:tc>
          <w:tcPr>
            <w:tcW w:w="640" w:type="dxa"/>
            <w:vAlign w:val="bottom"/>
            <w:tcBorders>
              <w:top w:val="single" w:sz="8" w:color="CCEEFF"/>
            </w:tcBorders>
            <w:gridSpan w:val="3"/>
          </w:tcPr>
          <w:p>
            <w:pPr>
              <w:spacing w:after="0"/>
              <w:rPr>
                <w:sz w:val="16"/>
                <w:szCs w:val="16"/>
                <w:color w:val="auto"/>
              </w:rPr>
            </w:pPr>
          </w:p>
        </w:tc>
        <w:tc>
          <w:tcPr>
            <w:tcW w:w="1760" w:type="dxa"/>
            <w:vAlign w:val="bottom"/>
            <w:tcBorders>
              <w:top w:val="single" w:sz="8" w:color="0000FF"/>
            </w:tcBorders>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6940" w:type="dxa"/>
            <w:vAlign w:val="bottom"/>
            <w:tcBorders>
              <w:top w:val="single" w:sz="8" w:color="CCEEFF"/>
            </w:tcBorders>
            <w:gridSpan w:val="10"/>
          </w:tcPr>
          <w:p>
            <w:pPr>
              <w:spacing w:after="0"/>
              <w:rPr>
                <w:sz w:val="16"/>
                <w:szCs w:val="16"/>
                <w:color w:val="auto"/>
              </w:rPr>
            </w:pPr>
          </w:p>
        </w:tc>
        <w:tc>
          <w:tcPr>
            <w:tcW w:w="9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6 —</w:t>
            </w:r>
          </w:p>
        </w:tc>
        <w:tc>
          <w:tcPr>
            <w:tcW w:w="640" w:type="dxa"/>
            <w:vAlign w:val="bottom"/>
            <w:tcBorders>
              <w:bottom w:val="single" w:sz="8" w:color="CCEEFF"/>
            </w:tcBorders>
            <w:gridSpan w:val="3"/>
            <w:shd w:val="clear" w:color="auto" w:fill="CCEEFF"/>
          </w:tcPr>
          <w:p>
            <w:pPr>
              <w:spacing w:after="0"/>
              <w:rPr>
                <w:sz w:val="18"/>
                <w:szCs w:val="18"/>
                <w:color w:val="auto"/>
              </w:rPr>
            </w:pPr>
          </w:p>
        </w:tc>
        <w:tc>
          <w:tcPr>
            <w:tcW w:w="60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8100" w:type="dxa"/>
            <w:vAlign w:val="bottom"/>
            <w:tcBorders>
              <w:bottom w:val="single" w:sz="8" w:color="CCEEFF"/>
            </w:tcBorders>
            <w:gridSpan w:val="19"/>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Borders>
              <w:bottom w:val="single" w:sz="8" w:color="0000FF"/>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7"/>
              </w:rPr>
              <w:t>Signatures</w:t>
            </w:r>
          </w:p>
        </w:tc>
        <w:tc>
          <w:tcPr>
            <w:tcW w:w="7940" w:type="dxa"/>
            <w:vAlign w:val="bottom"/>
            <w:gridSpan w:val="18"/>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40" w:type="dxa"/>
            <w:vAlign w:val="bottom"/>
            <w:gridSpan w:val="13"/>
          </w:tcPr>
          <w:p>
            <w:pPr>
              <w:jc w:val="center"/>
              <w:ind w:left="3611"/>
              <w:spacing w:after="0"/>
              <w:rPr>
                <w:sz w:val="20"/>
                <w:szCs w:val="20"/>
                <w:color w:val="auto"/>
              </w:rPr>
            </w:pPr>
            <w:r>
              <w:rPr>
                <w:rFonts w:ascii="Times New Roman" w:cs="Times New Roman" w:eastAsia="Times New Roman" w:hAnsi="Times New Roman"/>
                <w:sz w:val="18"/>
                <w:szCs w:val="18"/>
                <w:color w:val="auto"/>
                <w:w w:val="88"/>
              </w:rPr>
              <w:t>2</w:t>
            </w: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88"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This Quarterly Report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within the meaning of the Private Securities Litigation Reform Act of 1995. The events described in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contained in this Quarterly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(“Risk Factors”) of our Annual Report on Form 10-K for the year ended December 31, 2024, Part I, Item 2 of this Quarterly Report and Part II, Item 1A of this Quarterly Report.</w:t>
      </w:r>
    </w:p>
    <w:p>
      <w:pPr>
        <w:spacing w:after="0" w:line="160"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Any one or more of these uncertainties, risks and other influences could materially affect our results of operations and whether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made by us ultimately prove to be accurate. Our actual results, performance and achievements could differ materially from those expressed or implied in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undertake no obligation to publicly update or revise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whether from new information, future events or otherwise except as required by law.</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b w:val="1"/>
          <w:bCs w:val="1"/>
          <w:u w:val="single" w:color="auto"/>
          <w:color w:val="auto"/>
        </w:rPr>
        <w:t>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59"/>
        </w:trPr>
        <w:tc>
          <w:tcPr>
            <w:tcW w:w="81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Fixed-maturity securities, held-to-maturity, at amortized cost (fair value of $5,967,140 at June 30, 2025 and</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$5,959,265 at December 31, 2024)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7,045,231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7,047,342</w:t>
            </w:r>
          </w:p>
        </w:tc>
        <w:tc>
          <w:tcPr>
            <w:tcW w:w="0" w:type="dxa"/>
            <w:vAlign w:val="bottom"/>
          </w:tcPr>
          <w:p>
            <w:pPr>
              <w:spacing w:after="0"/>
              <w:rPr>
                <w:sz w:val="1"/>
                <w:szCs w:val="1"/>
                <w:color w:val="auto"/>
              </w:rPr>
            </w:pPr>
          </w:p>
        </w:tc>
      </w:tr>
      <w:tr>
        <w:trPr>
          <w:trHeight w:val="211"/>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Fixed-maturity securities, available-for-sale, at fair value (amortized cost of $228,986,581 at June 30, 2025</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$202,308,158 at December 31, 2024)</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217,679,350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186,893,438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securities, at fair value (cost of $13,546,654 at June 30, 2025 and $13,527,554 at December 31, 2024)</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10,027,099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10,296,505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investments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5,083,438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4,380,656</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239,835,118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208,617,941</w:t>
            </w:r>
          </w:p>
        </w:tc>
        <w:tc>
          <w:tcPr>
            <w:tcW w:w="0" w:type="dxa"/>
            <w:vAlign w:val="bottom"/>
          </w:tcPr>
          <w:p>
            <w:pPr>
              <w:spacing w:after="0"/>
              <w:rPr>
                <w:sz w:val="1"/>
                <w:szCs w:val="1"/>
                <w:color w:val="auto"/>
              </w:rPr>
            </w:pPr>
          </w:p>
        </w:tc>
      </w:tr>
      <w:tr>
        <w:trPr>
          <w:trHeight w:val="250"/>
        </w:trPr>
        <w:tc>
          <w:tcPr>
            <w:tcW w:w="8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33,714,432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28,669,441</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Premiums receivable, net of allowance for credit losses of $461,200 at June 30, 2025, 2025 and $402,290 at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17,277,970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21,766,988</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Reinsurance receivables,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55,439,043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69,322,436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reinsurance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3,649,273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23,848,030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24,732,371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7,853,192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9,283,970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5,107,644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5,597,920</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6,196,823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6,424,776</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393,421,525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374,915,843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and loss adjustment expense reserves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133,927,454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126,210,428</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premiums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130,263,096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134,701,733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 premiums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5,712,581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3,503,063</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5,440,516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10,509,121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ceding commission revenue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6,995,648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11,541,239</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7,984,147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10,570,388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3,159,483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net (current $1,259,559 and long-term $3,801,149 at June 30, 2025, current $6,849,257 and long-term</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$4,322,163 at December 31, 2024)</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5,060,708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11,171,420</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298,543,633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308,207,392</w:t>
            </w:r>
          </w:p>
        </w:tc>
        <w:tc>
          <w:tcPr>
            <w:tcW w:w="0" w:type="dxa"/>
            <w:vAlign w:val="bottom"/>
          </w:tcPr>
          <w:p>
            <w:pPr>
              <w:spacing w:after="0"/>
              <w:rPr>
                <w:sz w:val="1"/>
                <w:szCs w:val="1"/>
                <w:color w:val="auto"/>
              </w:rPr>
            </w:pPr>
          </w:p>
        </w:tc>
      </w:tr>
      <w:tr>
        <w:trPr>
          <w:trHeight w:val="256"/>
        </w:trPr>
        <w:tc>
          <w:tcPr>
            <w:tcW w:w="8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$0.01 par value; authorized 2,500,000 shares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$0.01 par value; authorized 20,000,000 shares; issued 15,661,240 shares at June 30, 2025 and</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14,448,205 shares at December 31, 2024; outstanding 14,137,115 shares at June 30, 2025 and 12,924,080</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at December 31, 2024</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156,612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144,482</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in excess of par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98,840,728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89,063,326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(8,930,559)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(12,175,476)</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10,379,118</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(4,755,874)</w:t>
            </w:r>
          </w:p>
        </w:tc>
        <w:tc>
          <w:tcPr>
            <w:tcW w:w="0" w:type="dxa"/>
            <w:vAlign w:val="bottom"/>
          </w:tcPr>
          <w:p>
            <w:pPr>
              <w:spacing w:after="0"/>
              <w:rPr>
                <w:sz w:val="1"/>
                <w:szCs w:val="1"/>
                <w:color w:val="auto"/>
              </w:rPr>
            </w:pPr>
          </w:p>
        </w:tc>
      </w:tr>
      <w:tr>
        <w:trPr>
          <w:trHeight w:val="250"/>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Stockholders' Equity before treasury stock</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100,445,899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72,276,458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at cost, 1,524,125 shares at June 30, 2025 and 1,524,125 at December 31, 2024</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(5,568,007)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(5,568,007)</w:t>
            </w: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94,877,892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66,708,451</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393,421,525</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374,915,843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19" w:right="339" w:bottom="10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01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17"/>
                <w:szCs w:val="17"/>
                <w:color w:val="auto"/>
              </w:rPr>
            </w:pPr>
          </w:p>
        </w:tc>
        <w:tc>
          <w:tcPr>
            <w:tcW w:w="234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45"/>
        </w:trPr>
        <w:tc>
          <w:tcPr>
            <w:tcW w:w="6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premiums earned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46,215,260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30,303,612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89,738,323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59,123,514</w:t>
            </w:r>
          </w:p>
        </w:tc>
        <w:tc>
          <w:tcPr>
            <w:tcW w:w="0" w:type="dxa"/>
            <w:vAlign w:val="bottom"/>
          </w:tcPr>
          <w:p>
            <w:pPr>
              <w:spacing w:after="0"/>
              <w:rPr>
                <w:sz w:val="1"/>
                <w:szCs w:val="1"/>
                <w:color w:val="auto"/>
              </w:rPr>
            </w:pPr>
          </w:p>
        </w:tc>
      </w:tr>
      <w:tr>
        <w:trPr>
          <w:trHeight w:val="250"/>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Ceding commission revenue</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3,081,556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4,561,961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6,040,247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9,129,072</w:t>
            </w:r>
          </w:p>
        </w:tc>
        <w:tc>
          <w:tcPr>
            <w:tcW w:w="0" w:type="dxa"/>
            <w:vAlign w:val="bottom"/>
          </w:tcPr>
          <w:p>
            <w:pPr>
              <w:spacing w:after="0"/>
              <w:rPr>
                <w:sz w:val="1"/>
                <w:szCs w:val="1"/>
                <w:color w:val="auto"/>
              </w:rPr>
            </w:pPr>
          </w:p>
        </w:tc>
      </w:tr>
      <w:tr>
        <w:trPr>
          <w:trHeight w:val="26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2,300,267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1,764,596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4,348,863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3,267,456</w:t>
            </w:r>
          </w:p>
        </w:tc>
        <w:tc>
          <w:tcPr>
            <w:tcW w:w="0" w:type="dxa"/>
            <w:vAlign w:val="bottom"/>
          </w:tcPr>
          <w:p>
            <w:pPr>
              <w:spacing w:after="0"/>
              <w:rPr>
                <w:sz w:val="1"/>
                <w:szCs w:val="1"/>
                <w:color w:val="auto"/>
              </w:rPr>
            </w:pPr>
          </w:p>
        </w:tc>
      </w:tr>
      <w:tr>
        <w:trPr>
          <w:trHeight w:val="250"/>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gains (losses) on investments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546,451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(233,606)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408,472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492,785</w:t>
            </w:r>
          </w:p>
        </w:tc>
        <w:tc>
          <w:tcPr>
            <w:tcW w:w="0" w:type="dxa"/>
            <w:vAlign w:val="bottom"/>
          </w:tcPr>
          <w:p>
            <w:pPr>
              <w:spacing w:after="0"/>
              <w:rPr>
                <w:sz w:val="1"/>
                <w:szCs w:val="1"/>
                <w:color w:val="auto"/>
              </w:rPr>
            </w:pPr>
          </w:p>
        </w:tc>
      </w:tr>
      <w:tr>
        <w:trPr>
          <w:trHeight w:val="26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Realized gain on sale of real estate</w:t>
            </w:r>
          </w:p>
        </w:tc>
        <w:tc>
          <w:tcPr>
            <w:tcW w:w="1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1,965,989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151,245</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105,552</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291,660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254,465</w:t>
            </w:r>
          </w:p>
        </w:tc>
        <w:tc>
          <w:tcPr>
            <w:tcW w:w="0" w:type="dxa"/>
            <w:vAlign w:val="bottom"/>
          </w:tcPr>
          <w:p>
            <w:pPr>
              <w:spacing w:after="0"/>
              <w:rPr>
                <w:sz w:val="1"/>
                <w:szCs w:val="1"/>
                <w:color w:val="auto"/>
              </w:rPr>
            </w:pPr>
          </w:p>
        </w:tc>
      </w:tr>
      <w:tr>
        <w:trPr>
          <w:trHeight w:val="250"/>
        </w:trPr>
        <w:tc>
          <w:tcPr>
            <w:tcW w:w="6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52,294,779</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36,502,115</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102,793,554</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72,267,292</w:t>
            </w:r>
          </w:p>
        </w:tc>
        <w:tc>
          <w:tcPr>
            <w:tcW w:w="0" w:type="dxa"/>
            <w:vAlign w:val="bottom"/>
          </w:tcPr>
          <w:p>
            <w:pPr>
              <w:spacing w:after="0"/>
              <w:rPr>
                <w:sz w:val="1"/>
                <w:szCs w:val="1"/>
                <w:color w:val="auto"/>
              </w:rPr>
            </w:pPr>
          </w:p>
        </w:tc>
      </w:tr>
      <w:tr>
        <w:trPr>
          <w:trHeight w:val="203"/>
        </w:trPr>
        <w:tc>
          <w:tcPr>
            <w:tcW w:w="6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17,927,162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14,238,308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45,102,240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32,097,895</w:t>
            </w:r>
          </w:p>
        </w:tc>
        <w:tc>
          <w:tcPr>
            <w:tcW w:w="0" w:type="dxa"/>
            <w:vAlign w:val="bottom"/>
          </w:tcPr>
          <w:p>
            <w:pPr>
              <w:spacing w:after="0"/>
              <w:rPr>
                <w:sz w:val="1"/>
                <w:szCs w:val="1"/>
                <w:color w:val="auto"/>
              </w:rPr>
            </w:pPr>
          </w:p>
        </w:tc>
      </w:tr>
      <w:tr>
        <w:trPr>
          <w:trHeight w:val="26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Commission expense</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10,629,629</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8,232,480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19,942,509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16,084,292</w:t>
            </w:r>
          </w:p>
        </w:tc>
        <w:tc>
          <w:tcPr>
            <w:tcW w:w="0" w:type="dxa"/>
            <w:vAlign w:val="bottom"/>
          </w:tcPr>
          <w:p>
            <w:pPr>
              <w:spacing w:after="0"/>
              <w:rPr>
                <w:sz w:val="1"/>
                <w:szCs w:val="1"/>
                <w:color w:val="auto"/>
              </w:rPr>
            </w:pPr>
          </w:p>
        </w:tc>
      </w:tr>
      <w:tr>
        <w:trPr>
          <w:trHeight w:val="250"/>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7,727,367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5,900,525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15,132,789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11,781,130</w:t>
            </w:r>
          </w:p>
        </w:tc>
        <w:tc>
          <w:tcPr>
            <w:tcW w:w="0" w:type="dxa"/>
            <w:vAlign w:val="bottom"/>
          </w:tcPr>
          <w:p>
            <w:pPr>
              <w:spacing w:after="0"/>
              <w:rPr>
                <w:sz w:val="1"/>
                <w:szCs w:val="1"/>
                <w:color w:val="auto"/>
              </w:rPr>
            </w:pPr>
          </w:p>
        </w:tc>
      </w:tr>
      <w:tr>
        <w:trPr>
          <w:trHeight w:val="26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1,153,480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800,966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2,189,217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1,579,048</w:t>
            </w:r>
          </w:p>
        </w:tc>
        <w:tc>
          <w:tcPr>
            <w:tcW w:w="0" w:type="dxa"/>
            <w:vAlign w:val="bottom"/>
          </w:tcPr>
          <w:p>
            <w:pPr>
              <w:spacing w:after="0"/>
              <w:rPr>
                <w:sz w:val="1"/>
                <w:szCs w:val="1"/>
                <w:color w:val="auto"/>
              </w:rPr>
            </w:pPr>
          </w:p>
        </w:tc>
      </w:tr>
      <w:tr>
        <w:trPr>
          <w:trHeight w:val="250"/>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613,364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619,934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1,237,227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1,216,447</w:t>
            </w:r>
          </w:p>
        </w:tc>
        <w:tc>
          <w:tcPr>
            <w:tcW w:w="0" w:type="dxa"/>
            <w:vAlign w:val="bottom"/>
          </w:tcPr>
          <w:p>
            <w:pPr>
              <w:spacing w:after="0"/>
              <w:rPr>
                <w:sz w:val="1"/>
                <w:szCs w:val="1"/>
                <w:color w:val="auto"/>
              </w:rPr>
            </w:pPr>
          </w:p>
        </w:tc>
      </w:tr>
      <w:tr>
        <w:trPr>
          <w:trHeight w:val="26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77,074</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989,723</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304,528</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1,983,598</w:t>
            </w:r>
          </w:p>
        </w:tc>
        <w:tc>
          <w:tcPr>
            <w:tcW w:w="0" w:type="dxa"/>
            <w:vAlign w:val="bottom"/>
          </w:tcPr>
          <w:p>
            <w:pPr>
              <w:spacing w:after="0"/>
              <w:rPr>
                <w:sz w:val="1"/>
                <w:szCs w:val="1"/>
                <w:color w:val="auto"/>
              </w:rPr>
            </w:pPr>
          </w:p>
        </w:tc>
      </w:tr>
      <w:tr>
        <w:trPr>
          <w:trHeight w:val="244"/>
        </w:trPr>
        <w:tc>
          <w:tcPr>
            <w:tcW w:w="61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38,128,076</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30,781,936</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83,908,510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64,742,410</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operations before taxes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14,166,703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5,720,179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18,885,044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7,524,882</w:t>
            </w:r>
          </w:p>
        </w:tc>
        <w:tc>
          <w:tcPr>
            <w:tcW w:w="0" w:type="dxa"/>
            <w:vAlign w:val="bottom"/>
          </w:tcPr>
          <w:p>
            <w:pPr>
              <w:spacing w:after="0"/>
              <w:rPr>
                <w:sz w:val="1"/>
                <w:szCs w:val="1"/>
                <w:color w:val="auto"/>
              </w:rPr>
            </w:pPr>
          </w:p>
        </w:tc>
      </w:tr>
      <w:tr>
        <w:trPr>
          <w:trHeight w:val="26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2,914,371</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1,205,242</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3,750,052</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1,583,266</w:t>
            </w:r>
          </w:p>
        </w:tc>
        <w:tc>
          <w:tcPr>
            <w:tcW w:w="0" w:type="dxa"/>
            <w:vAlign w:val="bottom"/>
          </w:tcPr>
          <w:p>
            <w:pPr>
              <w:spacing w:after="0"/>
              <w:rPr>
                <w:sz w:val="1"/>
                <w:szCs w:val="1"/>
                <w:color w:val="auto"/>
              </w:rPr>
            </w:pPr>
          </w:p>
        </w:tc>
      </w:tr>
      <w:tr>
        <w:trPr>
          <w:trHeight w:val="243"/>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11,252,332</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4,514,937</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15,134,992</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5,941,616</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decrease (increase) in unrealized losses on available-for-sale-securities</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1,289,253</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4,101,685</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(450,563)</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adjustment for realized losses included in net income</w:t>
            </w: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0" w:type="dxa"/>
            <w:vAlign w:val="bottom"/>
          </w:tcPr>
          <w:p>
            <w:pPr>
              <w:spacing w:after="0"/>
              <w:rPr>
                <w:sz w:val="1"/>
                <w:szCs w:val="1"/>
                <w:color w:val="auto"/>
              </w:rPr>
            </w:pPr>
          </w:p>
        </w:tc>
      </w:tr>
      <w:tr>
        <w:trPr>
          <w:trHeight w:val="243"/>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decrease (increase) in unrealized losses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1,293,331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114,446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4,107,489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(443,034)</w:t>
            </w:r>
          </w:p>
        </w:tc>
        <w:tc>
          <w:tcPr>
            <w:tcW w:w="0" w:type="dxa"/>
            <w:vAlign w:val="bottom"/>
          </w:tcPr>
          <w:p>
            <w:pPr>
              <w:spacing w:after="0"/>
              <w:rPr>
                <w:sz w:val="1"/>
                <w:szCs w:val="1"/>
                <w:color w:val="auto"/>
              </w:rPr>
            </w:pPr>
          </w:p>
        </w:tc>
      </w:tr>
      <w:tr>
        <w:trPr>
          <w:trHeight w:val="218"/>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 benefit related to items of other comprehensive income</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w:t>
            </w: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(271,600)</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(24,034)</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(862,572)</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93,038</w:t>
            </w:r>
          </w:p>
        </w:tc>
        <w:tc>
          <w:tcPr>
            <w:tcW w:w="0" w:type="dxa"/>
            <w:vAlign w:val="bottom"/>
          </w:tcPr>
          <w:p>
            <w:pPr>
              <w:spacing w:after="0"/>
              <w:rPr>
                <w:sz w:val="1"/>
                <w:szCs w:val="1"/>
                <w:color w:val="auto"/>
              </w:rPr>
            </w:pPr>
          </w:p>
        </w:tc>
      </w:tr>
      <w:tr>
        <w:trPr>
          <w:trHeight w:val="244"/>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1,021,731</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90,412</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3,244,917</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(349,996)</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12,274,063</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4,605,349</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18,379,909</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5,591,620</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2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8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
        </w:trPr>
        <w:tc>
          <w:tcPr>
            <w:tcW w:w="6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13,925,707</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11,019,347</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13,700,308</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11,009,442</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20" w:type="dxa"/>
            <w:vAlign w:val="bottom"/>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14,387,538</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12,110,946</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14,148,748</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11,987,976</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Accumulated</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(Accumulated</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6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6"/>
                <w:szCs w:val="16"/>
                <w:color w:val="auto"/>
              </w:rPr>
              <w:t>Preferred Stock</w:t>
            </w:r>
          </w:p>
        </w:tc>
        <w:tc>
          <w:tcPr>
            <w:tcW w:w="17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Capital</w:t>
            </w:r>
          </w:p>
        </w:tc>
        <w:tc>
          <w:tcPr>
            <w:tcW w:w="100" w:type="dxa"/>
            <w:vAlign w:val="bottom"/>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Deficit)</w:t>
            </w:r>
          </w:p>
        </w:tc>
        <w:tc>
          <w:tcPr>
            <w:tcW w:w="18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6"/>
                <w:szCs w:val="16"/>
                <w:color w:val="auto"/>
              </w:rPr>
              <w:t>Treasury Stock</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1600" w:type="dxa"/>
            <w:vAlign w:val="bottom"/>
            <w:gridSpan w:val="6"/>
            <w:vMerge w:val="continue"/>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1000" w:type="dxa"/>
            <w:vAlign w:val="bottom"/>
            <w:gridSpan w:val="2"/>
            <w:vMerge w:val="restart"/>
          </w:tcPr>
          <w:p>
            <w:pPr>
              <w:jc w:val="center"/>
              <w:ind w:right="140"/>
              <w:spacing w:after="0" w:line="142" w:lineRule="exact"/>
              <w:rPr>
                <w:sz w:val="20"/>
                <w:szCs w:val="20"/>
                <w:color w:val="auto"/>
              </w:rPr>
            </w:pPr>
            <w:r>
              <w:rPr>
                <w:rFonts w:ascii="Times New Roman" w:cs="Times New Roman" w:eastAsia="Times New Roman" w:hAnsi="Times New Roman"/>
                <w:sz w:val="16"/>
                <w:szCs w:val="16"/>
                <w:color w:val="auto"/>
              </w:rPr>
              <w:t>in Excess</w:t>
            </w:r>
          </w:p>
        </w:tc>
        <w:tc>
          <w:tcPr>
            <w:tcW w:w="12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6"/>
                <w:szCs w:val="16"/>
                <w:color w:val="auto"/>
              </w:rPr>
              <w:t>Comprehensive</w:t>
            </w:r>
          </w:p>
        </w:tc>
        <w:tc>
          <w:tcPr>
            <w:tcW w:w="140" w:type="dxa"/>
            <w:vAlign w:val="bottom"/>
          </w:tcPr>
          <w:p>
            <w:pPr>
              <w:spacing w:after="0"/>
              <w:rPr>
                <w:sz w:val="11"/>
                <w:szCs w:val="11"/>
                <w:color w:val="auto"/>
              </w:rPr>
            </w:pPr>
          </w:p>
        </w:tc>
        <w:tc>
          <w:tcPr>
            <w:tcW w:w="920" w:type="dxa"/>
            <w:vAlign w:val="bottom"/>
            <w:gridSpan w:val="2"/>
            <w:vMerge w:val="restart"/>
          </w:tcPr>
          <w:p>
            <w:pPr>
              <w:jc w:val="center"/>
              <w:ind w:right="220"/>
              <w:spacing w:after="0" w:line="142" w:lineRule="exact"/>
              <w:rPr>
                <w:sz w:val="20"/>
                <w:szCs w:val="20"/>
                <w:color w:val="auto"/>
              </w:rPr>
            </w:pPr>
            <w:r>
              <w:rPr>
                <w:rFonts w:ascii="Times New Roman" w:cs="Times New Roman" w:eastAsia="Times New Roman" w:hAnsi="Times New Roman"/>
                <w:sz w:val="16"/>
                <w:szCs w:val="16"/>
                <w:color w:val="auto"/>
              </w:rPr>
              <w:t>Retained</w:t>
            </w:r>
          </w:p>
        </w:tc>
        <w:tc>
          <w:tcPr>
            <w:tcW w:w="1800" w:type="dxa"/>
            <w:vAlign w:val="bottom"/>
            <w:gridSpan w:val="4"/>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Amount</w:t>
            </w:r>
          </w:p>
        </w:tc>
        <w:tc>
          <w:tcPr>
            <w:tcW w:w="80" w:type="dxa"/>
            <w:vAlign w:val="bottom"/>
          </w:tcPr>
          <w:p>
            <w:pPr>
              <w:spacing w:after="0"/>
              <w:rPr>
                <w:sz w:val="20"/>
                <w:szCs w:val="20"/>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Shares</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of Par</w:t>
            </w:r>
          </w:p>
        </w:tc>
        <w:tc>
          <w:tcPr>
            <w:tcW w:w="100" w:type="dxa"/>
            <w:vAlign w:val="bottom"/>
          </w:tcPr>
          <w:p>
            <w:pPr>
              <w:spacing w:after="0"/>
              <w:rPr>
                <w:sz w:val="20"/>
                <w:szCs w:val="20"/>
                <w:color w:val="auto"/>
              </w:rPr>
            </w:pP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Loss</w:t>
            </w:r>
          </w:p>
        </w:tc>
        <w:tc>
          <w:tcPr>
            <w:tcW w:w="14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Earnings</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April 1, 2025</w:t>
            </w: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15,283,417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$ 152,834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$ 98,450,640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(9,952,290)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(873,214)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1,524,125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$(5,568,007)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$ 82,209,963</w:t>
            </w: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471,857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471,857</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deducted from</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awards for</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payment of withholding</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(1,202)</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(17,620)</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Offering costs 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previously issued common</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(61,310)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(61,310)</w:t>
            </w:r>
          </w:p>
        </w:tc>
        <w:tc>
          <w:tcPr>
            <w:tcW w:w="0" w:type="dxa"/>
            <w:vAlign w:val="bottom"/>
          </w:tcPr>
          <w:p>
            <w:pPr>
              <w:spacing w:after="0"/>
              <w:rPr>
                <w:sz w:val="1"/>
                <w:szCs w:val="1"/>
                <w:color w:val="auto"/>
              </w:rPr>
            </w:pPr>
          </w:p>
        </w:tc>
      </w:tr>
      <w:tr>
        <w:trPr>
          <w:trHeight w:val="22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warrants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371,634</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3,716</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11,252,332</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11,252,332</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in unrealized</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losses on available-for-sale</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1,021,731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1,021,731</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net of tax</w:t>
            </w:r>
          </w:p>
        </w:tc>
        <w:tc>
          <w:tcPr>
            <w:tcW w:w="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June 30, 2025</w:t>
            </w: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15,661,240</w:t>
            </w:r>
          </w:p>
        </w:tc>
        <w:tc>
          <w:tcPr>
            <w:tcW w:w="8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$ 156,612</w:t>
            </w:r>
          </w:p>
        </w:tc>
        <w:tc>
          <w:tcPr>
            <w:tcW w:w="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$ 98,840,728</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(8,930,559)</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10,379,118</w:t>
            </w: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1,524,125</w:t>
            </w: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$(5,568,007)</w:t>
            </w:r>
          </w:p>
        </w:tc>
        <w:tc>
          <w:tcPr>
            <w:tcW w:w="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$ 94,877,892</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Accumulated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16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6"/>
                <w:szCs w:val="16"/>
                <w:color w:val="auto"/>
              </w:rPr>
              <w:t>Preferred Stock</w:t>
            </w:r>
          </w:p>
        </w:tc>
        <w:tc>
          <w:tcPr>
            <w:tcW w:w="17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1000" w:type="dxa"/>
            <w:vAlign w:val="bottom"/>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color w:val="auto"/>
                <w:w w:val="99"/>
              </w:rPr>
              <w:t>Capital</w:t>
            </w:r>
          </w:p>
        </w:tc>
        <w:tc>
          <w:tcPr>
            <w:tcW w:w="100" w:type="dxa"/>
            <w:vAlign w:val="bottom"/>
          </w:tcPr>
          <w:p>
            <w:pPr>
              <w:spacing w:after="0"/>
              <w:rPr>
                <w:sz w:val="15"/>
                <w:szCs w:val="15"/>
                <w:color w:val="auto"/>
              </w:rPr>
            </w:pPr>
          </w:p>
        </w:tc>
        <w:tc>
          <w:tcPr>
            <w:tcW w:w="112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color w:val="auto"/>
                <w:w w:val="98"/>
              </w:rPr>
              <w:t>Other</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6"/>
                <w:szCs w:val="16"/>
                <w:color w:val="auto"/>
              </w:rPr>
              <w:t>Treasury Stock</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880" w:type="dxa"/>
            <w:vAlign w:val="bottom"/>
          </w:tcPr>
          <w:p>
            <w:pPr>
              <w:spacing w:after="0"/>
              <w:rPr>
                <w:sz w:val="12"/>
                <w:szCs w:val="12"/>
                <w:color w:val="auto"/>
              </w:rPr>
            </w:pPr>
          </w:p>
        </w:tc>
        <w:tc>
          <w:tcPr>
            <w:tcW w:w="1600" w:type="dxa"/>
            <w:vAlign w:val="bottom"/>
            <w:gridSpan w:val="6"/>
            <w:vMerge w:val="continue"/>
          </w:tcPr>
          <w:p>
            <w:pPr>
              <w:spacing w:after="0"/>
              <w:rPr>
                <w:sz w:val="12"/>
                <w:szCs w:val="12"/>
                <w:color w:val="auto"/>
              </w:rPr>
            </w:pPr>
          </w:p>
        </w:tc>
        <w:tc>
          <w:tcPr>
            <w:tcW w:w="1760" w:type="dxa"/>
            <w:vAlign w:val="bottom"/>
            <w:gridSpan w:val="4"/>
            <w:vMerge w:val="continue"/>
          </w:tcPr>
          <w:p>
            <w:pPr>
              <w:spacing w:after="0"/>
              <w:rPr>
                <w:sz w:val="12"/>
                <w:szCs w:val="12"/>
                <w:color w:val="auto"/>
              </w:rPr>
            </w:pPr>
          </w:p>
        </w:tc>
        <w:tc>
          <w:tcPr>
            <w:tcW w:w="1000" w:type="dxa"/>
            <w:vAlign w:val="bottom"/>
            <w:gridSpan w:val="2"/>
            <w:vMerge w:val="restart"/>
          </w:tcPr>
          <w:p>
            <w:pPr>
              <w:jc w:val="center"/>
              <w:ind w:right="140"/>
              <w:spacing w:after="0" w:line="156" w:lineRule="exact"/>
              <w:rPr>
                <w:sz w:val="20"/>
                <w:szCs w:val="20"/>
                <w:color w:val="auto"/>
              </w:rPr>
            </w:pPr>
            <w:r>
              <w:rPr>
                <w:rFonts w:ascii="Times New Roman" w:cs="Times New Roman" w:eastAsia="Times New Roman" w:hAnsi="Times New Roman"/>
                <w:sz w:val="16"/>
                <w:szCs w:val="16"/>
                <w:color w:val="auto"/>
              </w:rPr>
              <w:t>in Excess</w:t>
            </w:r>
          </w:p>
        </w:tc>
        <w:tc>
          <w:tcPr>
            <w:tcW w:w="1220" w:type="dxa"/>
            <w:vAlign w:val="bottom"/>
            <w:gridSpan w:val="3"/>
            <w:vMerge w:val="restart"/>
          </w:tcPr>
          <w:p>
            <w:pPr>
              <w:jc w:val="center"/>
              <w:ind w:right="120"/>
              <w:spacing w:after="0" w:line="156" w:lineRule="exact"/>
              <w:rPr>
                <w:sz w:val="20"/>
                <w:szCs w:val="20"/>
                <w:color w:val="auto"/>
              </w:rPr>
            </w:pPr>
            <w:r>
              <w:rPr>
                <w:rFonts w:ascii="Times New Roman" w:cs="Times New Roman" w:eastAsia="Times New Roman" w:hAnsi="Times New Roman"/>
                <w:sz w:val="16"/>
                <w:szCs w:val="16"/>
                <w:color w:val="auto"/>
              </w:rPr>
              <w:t>Comprehensive</w:t>
            </w:r>
          </w:p>
        </w:tc>
        <w:tc>
          <w:tcPr>
            <w:tcW w:w="1060" w:type="dxa"/>
            <w:vAlign w:val="bottom"/>
            <w:gridSpan w:val="2"/>
            <w:vMerge w:val="restart"/>
          </w:tcPr>
          <w:p>
            <w:pPr>
              <w:ind w:left="40"/>
              <w:spacing w:after="0" w:line="156" w:lineRule="exact"/>
              <w:rPr>
                <w:sz w:val="20"/>
                <w:szCs w:val="20"/>
                <w:color w:val="auto"/>
              </w:rPr>
            </w:pPr>
            <w:r>
              <w:rPr>
                <w:rFonts w:ascii="Times New Roman" w:cs="Times New Roman" w:eastAsia="Times New Roman" w:hAnsi="Times New Roman"/>
                <w:sz w:val="16"/>
                <w:szCs w:val="16"/>
                <w:color w:val="auto"/>
              </w:rPr>
              <w:t>Accumulated</w:t>
            </w:r>
          </w:p>
        </w:tc>
        <w:tc>
          <w:tcPr>
            <w:tcW w:w="1800" w:type="dxa"/>
            <w:vAlign w:val="bottom"/>
            <w:gridSpan w:val="4"/>
            <w:vMerge w:val="continue"/>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Amount</w:t>
            </w:r>
          </w:p>
        </w:tc>
        <w:tc>
          <w:tcPr>
            <w:tcW w:w="80" w:type="dxa"/>
            <w:vAlign w:val="bottom"/>
          </w:tcPr>
          <w:p>
            <w:pPr>
              <w:spacing w:after="0"/>
              <w:rPr>
                <w:sz w:val="20"/>
                <w:szCs w:val="20"/>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Shares</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of Par</w:t>
            </w:r>
          </w:p>
        </w:tc>
        <w:tc>
          <w:tcPr>
            <w:tcW w:w="100" w:type="dxa"/>
            <w:vAlign w:val="bottom"/>
          </w:tcPr>
          <w:p>
            <w:pPr>
              <w:spacing w:after="0"/>
              <w:rPr>
                <w:sz w:val="20"/>
                <w:szCs w:val="20"/>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Loss</w:t>
            </w: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Deficit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April 1, 2024</w:t>
            </w: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12,479,422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$ 124,794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$ 75,595,096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(12,714,971)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$(21,687,631)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1,471,406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$(5,567,481)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$ 35,749,807</w:t>
            </w: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281,416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281,416</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deducted from</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restricted stock awards for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payment of withholding</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8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net of offering costs of</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$103,385</w:t>
            </w: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56,109</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167,629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168,190</w:t>
            </w: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4,514,937</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4,514,937</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in unrealized</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8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losses on available-for-sale</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net of tax</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90,412</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90,412</w:t>
            </w:r>
          </w:p>
        </w:tc>
        <w:tc>
          <w:tcPr>
            <w:tcW w:w="0" w:type="dxa"/>
            <w:vAlign w:val="bottom"/>
          </w:tcPr>
          <w:p>
            <w:pPr>
              <w:spacing w:after="0"/>
              <w:rPr>
                <w:sz w:val="1"/>
                <w:szCs w:val="1"/>
                <w:color w:val="auto"/>
              </w:rPr>
            </w:pPr>
          </w:p>
        </w:tc>
      </w:tr>
      <w:tr>
        <w:trPr>
          <w:trHeight w:val="204"/>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June 30, 2024</w:t>
            </w: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12,536,129</w:t>
            </w:r>
          </w:p>
        </w:tc>
        <w:tc>
          <w:tcPr>
            <w:tcW w:w="8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$ 125,361</w:t>
            </w:r>
          </w:p>
        </w:tc>
        <w:tc>
          <w:tcPr>
            <w:tcW w:w="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$ 76,042,147</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(12,624,559)</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$(17,172,694)</w:t>
            </w: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1,471,406</w:t>
            </w: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$(5,567,481)</w:t>
            </w:r>
          </w:p>
        </w:tc>
        <w:tc>
          <w:tcPr>
            <w:tcW w:w="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$ 40,802,774</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Accumulated</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(Accumulated</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16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6"/>
                <w:szCs w:val="16"/>
                <w:color w:val="auto"/>
              </w:rPr>
              <w:t>Preferred Stock</w:t>
            </w:r>
          </w:p>
        </w:tc>
        <w:tc>
          <w:tcPr>
            <w:tcW w:w="17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1000" w:type="dxa"/>
            <w:vAlign w:val="bottom"/>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color w:val="auto"/>
                <w:w w:val="99"/>
              </w:rPr>
              <w:t>Capital</w:t>
            </w:r>
          </w:p>
        </w:tc>
        <w:tc>
          <w:tcPr>
            <w:tcW w:w="100" w:type="dxa"/>
            <w:vAlign w:val="bottom"/>
          </w:tcPr>
          <w:p>
            <w:pPr>
              <w:spacing w:after="0"/>
              <w:rPr>
                <w:sz w:val="15"/>
                <w:szCs w:val="15"/>
                <w:color w:val="auto"/>
              </w:rPr>
            </w:pPr>
          </w:p>
        </w:tc>
        <w:tc>
          <w:tcPr>
            <w:tcW w:w="112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color w:val="auto"/>
                <w:w w:val="98"/>
              </w:rPr>
              <w:t>Other</w:t>
            </w:r>
          </w:p>
        </w:tc>
        <w:tc>
          <w:tcPr>
            <w:tcW w:w="140" w:type="dxa"/>
            <w:vAlign w:val="bottom"/>
          </w:tcPr>
          <w:p>
            <w:pPr>
              <w:spacing w:after="0"/>
              <w:rPr>
                <w:sz w:val="15"/>
                <w:szCs w:val="15"/>
                <w:color w:val="auto"/>
              </w:rPr>
            </w:pPr>
          </w:p>
        </w:tc>
        <w:tc>
          <w:tcPr>
            <w:tcW w:w="92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color w:val="auto"/>
              </w:rPr>
              <w:t>Deficit)</w:t>
            </w:r>
          </w:p>
        </w:tc>
        <w:tc>
          <w:tcPr>
            <w:tcW w:w="18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6"/>
                <w:szCs w:val="16"/>
                <w:color w:val="auto"/>
              </w:rPr>
              <w:t>Treasury Stock</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880" w:type="dxa"/>
            <w:vAlign w:val="bottom"/>
          </w:tcPr>
          <w:p>
            <w:pPr>
              <w:spacing w:after="0"/>
              <w:rPr>
                <w:sz w:val="12"/>
                <w:szCs w:val="12"/>
                <w:color w:val="auto"/>
              </w:rPr>
            </w:pPr>
          </w:p>
        </w:tc>
        <w:tc>
          <w:tcPr>
            <w:tcW w:w="1600" w:type="dxa"/>
            <w:vAlign w:val="bottom"/>
            <w:gridSpan w:val="6"/>
            <w:vMerge w:val="continue"/>
          </w:tcPr>
          <w:p>
            <w:pPr>
              <w:spacing w:after="0"/>
              <w:rPr>
                <w:sz w:val="12"/>
                <w:szCs w:val="12"/>
                <w:color w:val="auto"/>
              </w:rPr>
            </w:pPr>
          </w:p>
        </w:tc>
        <w:tc>
          <w:tcPr>
            <w:tcW w:w="1760" w:type="dxa"/>
            <w:vAlign w:val="bottom"/>
            <w:gridSpan w:val="4"/>
            <w:vMerge w:val="continue"/>
          </w:tcPr>
          <w:p>
            <w:pPr>
              <w:spacing w:after="0"/>
              <w:rPr>
                <w:sz w:val="12"/>
                <w:szCs w:val="12"/>
                <w:color w:val="auto"/>
              </w:rPr>
            </w:pPr>
          </w:p>
        </w:tc>
        <w:tc>
          <w:tcPr>
            <w:tcW w:w="1000" w:type="dxa"/>
            <w:vAlign w:val="bottom"/>
            <w:gridSpan w:val="2"/>
            <w:vMerge w:val="restart"/>
          </w:tcPr>
          <w:p>
            <w:pPr>
              <w:jc w:val="center"/>
              <w:ind w:right="140"/>
              <w:spacing w:after="0" w:line="156" w:lineRule="exact"/>
              <w:rPr>
                <w:sz w:val="20"/>
                <w:szCs w:val="20"/>
                <w:color w:val="auto"/>
              </w:rPr>
            </w:pPr>
            <w:r>
              <w:rPr>
                <w:rFonts w:ascii="Times New Roman" w:cs="Times New Roman" w:eastAsia="Times New Roman" w:hAnsi="Times New Roman"/>
                <w:sz w:val="16"/>
                <w:szCs w:val="16"/>
                <w:color w:val="auto"/>
              </w:rPr>
              <w:t>in Excess</w:t>
            </w:r>
          </w:p>
        </w:tc>
        <w:tc>
          <w:tcPr>
            <w:tcW w:w="1220" w:type="dxa"/>
            <w:vAlign w:val="bottom"/>
            <w:gridSpan w:val="3"/>
            <w:vMerge w:val="restart"/>
          </w:tcPr>
          <w:p>
            <w:pPr>
              <w:ind w:left="60"/>
              <w:spacing w:after="0" w:line="156" w:lineRule="exact"/>
              <w:rPr>
                <w:sz w:val="20"/>
                <w:szCs w:val="20"/>
                <w:color w:val="auto"/>
              </w:rPr>
            </w:pPr>
            <w:r>
              <w:rPr>
                <w:rFonts w:ascii="Times New Roman" w:cs="Times New Roman" w:eastAsia="Times New Roman" w:hAnsi="Times New Roman"/>
                <w:sz w:val="16"/>
                <w:szCs w:val="16"/>
                <w:color w:val="auto"/>
              </w:rPr>
              <w:t>Comprehensive</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220"/>
              <w:spacing w:after="0" w:line="156" w:lineRule="exact"/>
              <w:rPr>
                <w:sz w:val="20"/>
                <w:szCs w:val="20"/>
                <w:color w:val="auto"/>
              </w:rPr>
            </w:pPr>
            <w:r>
              <w:rPr>
                <w:rFonts w:ascii="Times New Roman" w:cs="Times New Roman" w:eastAsia="Times New Roman" w:hAnsi="Times New Roman"/>
                <w:sz w:val="16"/>
                <w:szCs w:val="16"/>
                <w:color w:val="auto"/>
              </w:rPr>
              <w:t>Retained</w:t>
            </w:r>
          </w:p>
        </w:tc>
        <w:tc>
          <w:tcPr>
            <w:tcW w:w="1800" w:type="dxa"/>
            <w:vAlign w:val="bottom"/>
            <w:gridSpan w:val="4"/>
            <w:vMerge w:val="continue"/>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88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Amount</w:t>
            </w:r>
          </w:p>
        </w:tc>
        <w:tc>
          <w:tcPr>
            <w:tcW w:w="80" w:type="dxa"/>
            <w:vAlign w:val="bottom"/>
          </w:tcPr>
          <w:p>
            <w:pPr>
              <w:spacing w:after="0"/>
              <w:rPr>
                <w:sz w:val="17"/>
                <w:szCs w:val="17"/>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Shares</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7"/>
                <w:szCs w:val="17"/>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of Par</w:t>
            </w:r>
          </w:p>
        </w:tc>
        <w:tc>
          <w:tcPr>
            <w:tcW w:w="100" w:type="dxa"/>
            <w:vAlign w:val="bottom"/>
          </w:tcPr>
          <w:p>
            <w:pPr>
              <w:spacing w:after="0"/>
              <w:rPr>
                <w:sz w:val="17"/>
                <w:szCs w:val="17"/>
                <w:color w:val="auto"/>
              </w:rPr>
            </w:pP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Loss</w:t>
            </w:r>
          </w:p>
        </w:tc>
        <w:tc>
          <w:tcPr>
            <w:tcW w:w="14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Earnings</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33"/>
        </w:trPr>
        <w:tc>
          <w:tcPr>
            <w:tcW w:w="18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1, 2025</w:t>
            </w: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14,448,205</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$ 144,482</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$ 89,063,326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(12,175,476)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(4,755,874)</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1,524,125</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$(5,568,007)</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$66,708,451</w:t>
            </w: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810,867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810,867</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216,226</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deducted from</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restricted stock awards for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payment of withholding</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(35,942)</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(548,141)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(548,500)</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48,986</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56,598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57,088</w:t>
            </w: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deducted from</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exercise of stock options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 payment of withholding</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(14,305)</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8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net of offering costs of</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$324,134</w:t>
            </w: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612,999</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6,130</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9,478,252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9,484,382</w:t>
            </w: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Exercise of warrants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371,634</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15,134,992</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15,134,992</w:t>
            </w: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Decrease in unrealized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losses on available-for-sale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securities, net of tax</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3,244,917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3,244,917</w:t>
            </w:r>
          </w:p>
        </w:tc>
        <w:tc>
          <w:tcPr>
            <w:tcW w:w="0" w:type="dxa"/>
            <w:vAlign w:val="bottom"/>
          </w:tcPr>
          <w:p>
            <w:pPr>
              <w:spacing w:after="0"/>
              <w:rPr>
                <w:sz w:val="1"/>
                <w:szCs w:val="1"/>
                <w:color w:val="auto"/>
              </w:rPr>
            </w:pPr>
          </w:p>
        </w:tc>
      </w:tr>
      <w:tr>
        <w:trPr>
          <w:trHeight w:val="33"/>
        </w:trPr>
        <w:tc>
          <w:tcPr>
            <w:tcW w:w="18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2025</w:t>
            </w: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15,661,240</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$ 156,612</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$ 98,840,728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(8,930,559)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10,379,118</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1,524,125</w:t>
            </w: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$(5,568,007)</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$ 94,877,892</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Accumulated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6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6"/>
                <w:szCs w:val="16"/>
                <w:color w:val="auto"/>
              </w:rPr>
              <w:t>Preferred Stock</w:t>
            </w:r>
          </w:p>
        </w:tc>
        <w:tc>
          <w:tcPr>
            <w:tcW w:w="17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Capital</w:t>
            </w:r>
          </w:p>
        </w:tc>
        <w:tc>
          <w:tcPr>
            <w:tcW w:w="10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Other</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6"/>
                <w:szCs w:val="16"/>
                <w:color w:val="auto"/>
              </w:rPr>
              <w:t>Treasury Stock</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1600" w:type="dxa"/>
            <w:vAlign w:val="bottom"/>
            <w:gridSpan w:val="6"/>
            <w:vMerge w:val="continue"/>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1000" w:type="dxa"/>
            <w:vAlign w:val="bottom"/>
            <w:gridSpan w:val="2"/>
            <w:vMerge w:val="restart"/>
          </w:tcPr>
          <w:p>
            <w:pPr>
              <w:jc w:val="center"/>
              <w:ind w:right="140"/>
              <w:spacing w:after="0" w:line="142" w:lineRule="exact"/>
              <w:rPr>
                <w:sz w:val="20"/>
                <w:szCs w:val="20"/>
                <w:color w:val="auto"/>
              </w:rPr>
            </w:pPr>
            <w:r>
              <w:rPr>
                <w:rFonts w:ascii="Times New Roman" w:cs="Times New Roman" w:eastAsia="Times New Roman" w:hAnsi="Times New Roman"/>
                <w:sz w:val="16"/>
                <w:szCs w:val="16"/>
                <w:color w:val="auto"/>
              </w:rPr>
              <w:t>in Excess</w:t>
            </w:r>
          </w:p>
        </w:tc>
        <w:tc>
          <w:tcPr>
            <w:tcW w:w="1220" w:type="dxa"/>
            <w:vAlign w:val="bottom"/>
            <w:gridSpan w:val="3"/>
            <w:vMerge w:val="restart"/>
          </w:tcPr>
          <w:p>
            <w:pPr>
              <w:jc w:val="right"/>
              <w:ind w:right="140"/>
              <w:spacing w:after="0" w:line="142" w:lineRule="exact"/>
              <w:rPr>
                <w:sz w:val="20"/>
                <w:szCs w:val="20"/>
                <w:color w:val="auto"/>
              </w:rPr>
            </w:pPr>
            <w:r>
              <w:rPr>
                <w:rFonts w:ascii="Times New Roman" w:cs="Times New Roman" w:eastAsia="Times New Roman" w:hAnsi="Times New Roman"/>
                <w:sz w:val="16"/>
                <w:szCs w:val="16"/>
                <w:color w:val="auto"/>
              </w:rPr>
              <w:t>Comprehensive</w:t>
            </w:r>
          </w:p>
        </w:tc>
        <w:tc>
          <w:tcPr>
            <w:tcW w:w="106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6"/>
                <w:szCs w:val="16"/>
                <w:color w:val="auto"/>
              </w:rPr>
              <w:t>Accumulated</w:t>
            </w:r>
          </w:p>
        </w:tc>
        <w:tc>
          <w:tcPr>
            <w:tcW w:w="1800" w:type="dxa"/>
            <w:vAlign w:val="bottom"/>
            <w:gridSpan w:val="4"/>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Amount</w:t>
            </w:r>
          </w:p>
        </w:tc>
        <w:tc>
          <w:tcPr>
            <w:tcW w:w="80" w:type="dxa"/>
            <w:vAlign w:val="bottom"/>
          </w:tcPr>
          <w:p>
            <w:pPr>
              <w:spacing w:after="0"/>
              <w:rPr>
                <w:sz w:val="20"/>
                <w:szCs w:val="20"/>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Shares</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of Par</w:t>
            </w:r>
          </w:p>
        </w:tc>
        <w:tc>
          <w:tcPr>
            <w:tcW w:w="100" w:type="dxa"/>
            <w:vAlign w:val="bottom"/>
          </w:tcPr>
          <w:p>
            <w:pPr>
              <w:spacing w:after="0"/>
              <w:rPr>
                <w:sz w:val="20"/>
                <w:szCs w:val="20"/>
                <w:color w:val="auto"/>
              </w:rPr>
            </w:pP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Loss</w:t>
            </w: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Deficit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1, 2024</w:t>
            </w: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12,248,313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$ 122,483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$ 75,338,010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(12,274,563)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$(23,114,310)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1,471,406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$(5,567,481)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$ 34,504,139</w:t>
            </w: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547,205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547,205</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234,653</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deducted from</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awards for</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payment of withholding</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(2,946)</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(8,380)</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offering costs of</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56,109</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167,629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168,190</w:t>
            </w: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$103,385</w:t>
            </w:r>
          </w:p>
        </w:tc>
        <w:tc>
          <w:tcPr>
            <w:tcW w:w="60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5,941,616</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5,941,616</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in unrealized</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losses on available-for-sale</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(349,996)</w:t>
            </w:r>
          </w:p>
        </w:tc>
        <w:tc>
          <w:tcPr>
            <w:tcW w:w="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(349,996)</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net of tax</w:t>
            </w:r>
          </w:p>
        </w:tc>
        <w:tc>
          <w:tcPr>
            <w:tcW w:w="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June 30, 2024</w:t>
            </w: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12,536,129</w:t>
            </w:r>
          </w:p>
        </w:tc>
        <w:tc>
          <w:tcPr>
            <w:tcW w:w="8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$ 125,361</w:t>
            </w:r>
          </w:p>
        </w:tc>
        <w:tc>
          <w:tcPr>
            <w:tcW w:w="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$ 76,042,147</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(12,624,559)</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$(17,172,694)</w:t>
            </w: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1,471,406</w:t>
            </w: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$(5,567,481)</w:t>
            </w:r>
          </w:p>
        </w:tc>
        <w:tc>
          <w:tcPr>
            <w:tcW w:w="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$ 40,802,774</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Table of Contents</w:t>
      </w:r>
    </w:p>
    <w:p>
      <w:pPr>
        <w:sectPr>
          <w:pgSz w:w="11900" w:h="16838" w:orient="portrait"/>
          <w:cols w:equalWidth="0" w:num="1">
            <w:col w:w="10139"/>
          </w:cols>
          <w:pgMar w:left="320" w:top="119" w:right="1440" w:bottom="1440" w:gutter="0" w:footer="0" w:header="0"/>
        </w:sectPr>
      </w:pPr>
    </w:p>
    <w:bookmarkStart w:id="11" w:name="page12"/>
    <w:bookmarkEnd w:id="11"/>
    <w:p>
      <w:pPr>
        <w:ind w:left="6780"/>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Six months ended June 30, 2025</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50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15,134,992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5,941,616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flows provided by operating activities: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realized losses on investments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425,776</w:t>
            </w: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losses (gains) on equity investments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(622,874)</w:t>
            </w: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unrealized gains on other investments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(702,782)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(295,687)</w:t>
            </w: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(1,965,989)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1,237,227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1,216,447</w:t>
            </w: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Credit losses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53,865</w:t>
            </w: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Accretion of bond discount, net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(362,020)</w:t>
            </w: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discount and issuance costs on debt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593,838</w:t>
            </w: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174,962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547,205</w:t>
            </w: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(372,296)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1,583,266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operating assets: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Premiums receivable, net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4,419,958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(1,625,197)</w:t>
            </w: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Reinsurance receivables, net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13,883,393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9,278,490</w:t>
            </w: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reinsurance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(3,649,273)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227,800</w:t>
            </w: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432,234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431,785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operating liabilities: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and loss adjustment expense reserves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7,717,026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(5,240,372)</w:t>
            </w: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premiums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(4,438,637)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1,813,141</w:t>
            </w: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 premiums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2,209,518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1,157,841</w:t>
            </w: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(5,068,605)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(2,355,544)</w:t>
            </w:r>
          </w:p>
        </w:tc>
      </w:tr>
      <w:tr>
        <w:trPr>
          <w:trHeight w:val="26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ceding commission revenue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(4,545,591)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(183,783)</w:t>
            </w:r>
          </w:p>
        </w:tc>
      </w:tr>
      <w:tr>
        <w:trPr>
          <w:trHeight w:val="250"/>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573,242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629,295</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provided by operating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27,131,737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13,214,888</w:t>
            </w:r>
          </w:p>
        </w:tc>
      </w:tr>
      <w:tr>
        <w:trPr>
          <w:trHeight w:val="256"/>
        </w:trPr>
        <w:tc>
          <w:tcPr>
            <w:tcW w:w="8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 fixed-maturity securities available-for-sale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(46,825,871)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(80,234,996)</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and maturity - fixed-maturity securities available-for-sale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20,172,732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68,122,546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 equity securities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 equity securities</w:t>
            </w: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3,538,730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(1,440,460)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(1,038,479)</w:t>
            </w:r>
          </w:p>
        </w:tc>
      </w:tr>
      <w:tr>
        <w:trPr>
          <w:trHeight w:val="244"/>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(24,512,699)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(9,612,199)</w:t>
            </w:r>
          </w:p>
        </w:tc>
      </w:tr>
      <w:tr>
        <w:trPr>
          <w:trHeight w:val="256"/>
        </w:trPr>
        <w:tc>
          <w:tcPr>
            <w:tcW w:w="8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equipment financing</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(602,712)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(568,504)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 on 2024 Notes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 taxes paid on net exercise of stock options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 taxes paid on vested restricted stock awards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proceeds from issuance of common stock</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9,484,382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168,190</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provided by (used in)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2,425,953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(408,694)</w:t>
            </w:r>
          </w:p>
        </w:tc>
      </w:tr>
      <w:tr>
        <w:trPr>
          <w:trHeight w:val="256"/>
        </w:trPr>
        <w:tc>
          <w:tcPr>
            <w:tcW w:w="8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5,044,991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3,193,995</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28,669,441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8,976,998</w:t>
            </w: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33,714,432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12,170,993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1,353,000</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1,370,448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1,389,759</w:t>
            </w:r>
          </w:p>
        </w:tc>
      </w:tr>
      <w:tr>
        <w:trPr>
          <w:trHeight w:val="256"/>
        </w:trPr>
        <w:tc>
          <w:tcPr>
            <w:tcW w:w="8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3,244,917</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(349,996)</w:t>
            </w:r>
          </w:p>
        </w:tc>
      </w:tr>
    </w:tbl>
    <w:p>
      <w:pPr>
        <w:sectPr>
          <w:pgSz w:w="11900" w:h="16838" w:orient="portrait"/>
          <w:cols w:equalWidth="0" w:num="1">
            <w:col w:w="11240"/>
          </w:cols>
          <w:pgMar w:left="320" w:top="171" w:right="339" w:bottom="55"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7"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Basis of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Kingstone Companies, Inc. (referred to herein as "Kingstone" or the “Company” or, on a standalone basis for the parent company only, the “Holding Company”), operates through its wholly-owned subsidiary, Kingstone Insurance Company (“KICO”). KICO is a New York domiciled carrier writing business through retail and wholesale agents and brokers. KICO is actively writing personal lines and commercial auto insurance in New York, and in 2024 was the 12th largest writer of homeowners insurance in New York. KICO is also licensed in the states of New Jersey, Rhode Island, Massachusetts, Connecticut, Pennsylvania, New Hampshire, and Maine. For the three months ended June 30, 2025 and 2024, 97.9% and 95.9%, respectively, of KICO’s direct written premiums came from the New York policies. For the six months ended June 30, 2025 and 2024, 98.1% and 95.2%, respectively, of KICO’s direct written premiums came from the New York policies. Kingstone, through its wholly-owned subsidiary, Cosi Agency, Inc. (“Cosi”), a multi-state licensed general agency, receives commission revenue from KICO for the policies it places with others and pays commissions to these agencies.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(“GAAP”). The principles for condensed interim financial information do not require the inclusion of all the information and footnotes required by GAAP for complete financial statements. Therefore, these condensed consolidated financial statements should be read in conjunction with the consolidated financial statements as of and for the year ended December 31, 2024 and notes thereto included in the Company’s Annual Report on Form 10-K filed with the Securities and Exchange Commission (the “SEC”) on March 18, 2025.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presentation of the Company’s financial position and results of operations. The results of operations for the six months ended June 30, 2025 may not be indicative of the results that may be expected for the year ending December 31,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the Consolidated Financial Statements in the Company’s Annual Report on Form 10-K for the year ended December 31, 2024 for further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Kingstone and its wholly-owned subsidiaries: (1) KICO and its wholly-owned subsidiaries, CMIC Properties, Inc. (“Properties”) and 15 Joys Lane, LLC (“15 Joys Lane”), which together, until March 2025, owned the land and building from which KICO operated (see Note 14 - Sale of Real Estate), and (2) Cosi. All significant inter-company account balances and transactions have been eliminated in consolidation.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these estimates and assumptions, and includes the reserves for losses and loss adjustment expense (“LAE”), which are subject to estimation errors due to the inherent uncertainty in projecting ultimate claim amounts that will be reported and settled over a period of many years. In addition, estimates and assumptions associated with loss and LAE recoverable under reinsurance contracts and other receivables or payable under reinsurance contracts related to contingent ceding commission revenue require judgments by management. On an ongoing basis,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reevaluates its assumptions and the methods for calculating these estimates. Actual results may differ significantly from the estimates used in preparing the condensed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Changes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No. 2023-09, Improvements to Income Tax Disclosures (“ASU 2023-09”),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The guidance is effective for the Company’s Annual Report on Form 10-K for the year ended December 31, 2025. The Company is currently evaluating the effect the updated guidance will have on its financial statement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("ASU 2024-03"). ASU 2024-03 requires disaggregated disclosure of income statement expenses. ASU 2024-03 does not change the expense captions currently presented on the income statement; rather it requires disaggregation of certain expense captions into specified categories in disclosures within the footnotes to the financial statements. ASU 2024-03 is effective for annual reporting periods, as amended by ASU 2025-01, beginning after December 15, 2026, and interim reporting periods within fiscal years beginning after December 15, 2027. ASU 2024-03 can be applied on a prospective basis; however, retrospective application is permitted. Early adoption is permitted. The Company is currently evaluating the effect the updated guidance will have on its financial statement disclosures.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Fixed-Maturity Securities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amortized cost, estimated fair value, and gross unrealized gains and losses on investments in fixed-maturity securities classified as available-for-sale for which an allowance for credit losses has not been recorded, as of June 30, 2025 and December 31, 2024 are summarized as follows: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14484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Fixed-Maturity Securities:</w:t>
      </w:r>
    </w:p>
    <w:p>
      <w:pPr>
        <w:spacing w:after="0" w:line="54" w:lineRule="exact"/>
        <w:rPr>
          <w:sz w:val="20"/>
          <w:szCs w:val="20"/>
          <w:color w:val="auto"/>
        </w:rPr>
      </w:pPr>
    </w:p>
    <w:p>
      <w:pPr>
        <w:ind w:left="20"/>
        <w:spacing w:after="0" w:line="247" w:lineRule="auto"/>
        <w:rPr>
          <w:sz w:val="20"/>
          <w:szCs w:val="20"/>
          <w:color w:val="auto"/>
        </w:rPr>
      </w:pPr>
      <w:r>
        <w:rPr>
          <w:rFonts w:ascii="Times New Roman" w:cs="Times New Roman" w:eastAsia="Times New Roman" w:hAnsi="Times New Roman"/>
          <w:sz w:val="18"/>
          <w:szCs w:val="18"/>
          <w:color w:val="auto"/>
        </w:rPr>
        <w:t>U.S. Treasury securities and obligations of U.S. government corporations and</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56235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30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00" w:type="dxa"/>
            <w:vAlign w:val="bottom"/>
          </w:tcPr>
          <w:p>
            <w:pPr>
              <w:spacing w:after="0"/>
              <w:rPr>
                <w:sz w:val="21"/>
                <w:szCs w:val="21"/>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187"/>
        </w:trPr>
        <w:tc>
          <w:tcPr>
            <w:tcW w:w="154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32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54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Less than 12</w:t>
            </w:r>
          </w:p>
        </w:tc>
        <w:tc>
          <w:tcPr>
            <w:tcW w:w="14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More than 12</w:t>
            </w:r>
          </w:p>
        </w:tc>
        <w:tc>
          <w:tcPr>
            <w:tcW w:w="100" w:type="dxa"/>
            <w:vAlign w:val="bottom"/>
          </w:tcPr>
          <w:p>
            <w:pPr>
              <w:spacing w:after="0"/>
              <w:rPr>
                <w:sz w:val="16"/>
                <w:szCs w:val="16"/>
                <w:color w:val="auto"/>
              </w:rPr>
            </w:pPr>
          </w:p>
        </w:tc>
        <w:tc>
          <w:tcPr>
            <w:tcW w:w="1540" w:type="dxa"/>
            <w:vAlign w:val="bottom"/>
            <w:gridSpan w:val="2"/>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3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59"/>
        </w:trPr>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0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8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8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0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325755</wp:posOffset>
            </wp:positionV>
            <wp:extent cx="7132320" cy="5575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1161" w:lineRule="exact"/>
        <w:rPr>
          <w:sz w:val="20"/>
          <w:szCs w:val="20"/>
          <w:color w:val="auto"/>
        </w:rPr>
      </w:pPr>
    </w:p>
    <w:p>
      <w:pPr>
        <w:sectPr>
          <w:pgSz w:w="11900" w:h="16838" w:orient="portrait"/>
          <w:cols w:equalWidth="0" w:num="2">
            <w:col w:w="2140" w:space="240"/>
            <w:col w:w="886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5,969,707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5,969,050</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52"/>
        </w:trPr>
        <w:tc>
          <w:tcPr>
            <w:tcW w:w="2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23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States, Territories and</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6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Possessions (1)</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24,262,830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109,815</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(2,955,097)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21,417,548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(2,845,282)</w:t>
            </w:r>
          </w:p>
        </w:tc>
      </w:tr>
      <w:tr>
        <w:trPr>
          <w:trHeight w:val="257"/>
        </w:trPr>
        <w:tc>
          <w:tcPr>
            <w:tcW w:w="2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bonds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23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industrial and miscellaneous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6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108,053,269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106,466</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(185,250)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(3,441,755)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104,532,730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(3,520,539)</w:t>
            </w:r>
          </w:p>
        </w:tc>
      </w:tr>
      <w:tr>
        <w:trPr>
          <w:trHeight w:val="257"/>
        </w:trPr>
        <w:tc>
          <w:tcPr>
            <w:tcW w:w="2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and</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23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other asset backed securities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6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 (2)</w:t>
            </w: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90,700,775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480,276</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(15,023)</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(5,406,006)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85,760,022</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(4,940,753)</w:t>
            </w: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fixed-maturity securities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228,986,581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696,583</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(200,956)</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(11,802,858)</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217,679,350</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(11,307,231)</w:t>
            </w:r>
          </w:p>
        </w:tc>
      </w:tr>
      <w:tr>
        <w:trPr>
          <w:trHeight w:val="27"/>
        </w:trPr>
        <w:tc>
          <w:tcPr>
            <w:tcW w:w="2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Table of Contents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13373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Fixed-Maturity Securities:</w:t>
      </w:r>
    </w:p>
    <w:p>
      <w:pPr>
        <w:spacing w:after="0" w:line="65" w:lineRule="exact"/>
        <w:rPr>
          <w:sz w:val="20"/>
          <w:szCs w:val="20"/>
          <w:color w:val="auto"/>
        </w:rPr>
      </w:pPr>
    </w:p>
    <w:p>
      <w:pPr>
        <w:ind w:left="20"/>
        <w:spacing w:after="0" w:line="247" w:lineRule="auto"/>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57346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3468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30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0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187"/>
        </w:trPr>
        <w:tc>
          <w:tcPr>
            <w:tcW w:w="1560" w:type="dxa"/>
            <w:vAlign w:val="bottom"/>
            <w:gridSpan w:val="2"/>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32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56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Less than 12</w:t>
            </w:r>
          </w:p>
        </w:tc>
        <w:tc>
          <w:tcPr>
            <w:tcW w:w="14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More than 12</w:t>
            </w:r>
          </w:p>
        </w:tc>
        <w:tc>
          <w:tcPr>
            <w:tcW w:w="100" w:type="dxa"/>
            <w:vAlign w:val="bottom"/>
          </w:tcPr>
          <w:p>
            <w:pPr>
              <w:spacing w:after="0"/>
              <w:rPr>
                <w:sz w:val="16"/>
                <w:szCs w:val="16"/>
                <w:color w:val="auto"/>
              </w:rPr>
            </w:pPr>
          </w:p>
        </w:tc>
        <w:tc>
          <w:tcPr>
            <w:tcW w:w="156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4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59"/>
        </w:trPr>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0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0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291465</wp:posOffset>
            </wp:positionV>
            <wp:extent cx="7132320" cy="5575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1107" w:lineRule="exact"/>
        <w:rPr>
          <w:sz w:val="20"/>
          <w:szCs w:val="20"/>
          <w:color w:val="auto"/>
        </w:rPr>
      </w:pPr>
    </w:p>
    <w:p>
      <w:pPr>
        <w:sectPr>
          <w:pgSz w:w="11900" w:h="16838" w:orient="portrait"/>
          <w:cols w:equalWidth="0" w:num="2">
            <w:col w:w="2060" w:space="140"/>
            <w:col w:w="904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agencies (1)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2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States, Territories and</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Possessions (1)</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24,271,177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(3,324,491)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20,873,097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(3,398,080)</w:t>
            </w:r>
          </w:p>
        </w:tc>
        <w:tc>
          <w:tcPr>
            <w:tcW w:w="0" w:type="dxa"/>
            <w:vAlign w:val="bottom"/>
          </w:tcPr>
          <w:p>
            <w:pPr>
              <w:spacing w:after="0"/>
              <w:rPr>
                <w:sz w:val="1"/>
                <w:szCs w:val="1"/>
                <w:color w:val="auto"/>
              </w:rPr>
            </w:pPr>
          </w:p>
        </w:tc>
      </w:tr>
      <w:tr>
        <w:trPr>
          <w:trHeight w:val="257"/>
        </w:trPr>
        <w:tc>
          <w:tcPr>
            <w:tcW w:w="2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bonds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industrial and miscellaneous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112,507,436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(1,024,461)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(4,690,597)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106,792,378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(5,715,058)</w:t>
            </w:r>
          </w:p>
        </w:tc>
        <w:tc>
          <w:tcPr>
            <w:tcW w:w="0" w:type="dxa"/>
            <w:vAlign w:val="bottom"/>
          </w:tcPr>
          <w:p>
            <w:pPr>
              <w:spacing w:after="0"/>
              <w:rPr>
                <w:sz w:val="1"/>
                <w:szCs w:val="1"/>
                <w:color w:val="auto"/>
              </w:rPr>
            </w:pPr>
          </w:p>
        </w:tc>
      </w:tr>
      <w:tr>
        <w:trPr>
          <w:trHeight w:val="257"/>
        </w:trPr>
        <w:tc>
          <w:tcPr>
            <w:tcW w:w="2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and</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other asset backed securities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 (2)</w:t>
            </w: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65,529,545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(209,890)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(6,211,339)</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59,227,963</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(6,301,582)</w:t>
            </w:r>
          </w:p>
        </w:tc>
        <w:tc>
          <w:tcPr>
            <w:tcW w:w="0" w:type="dxa"/>
            <w:vAlign w:val="bottom"/>
          </w:tcPr>
          <w:p>
            <w:pPr>
              <w:spacing w:after="0"/>
              <w:rPr>
                <w:sz w:val="1"/>
                <w:szCs w:val="1"/>
                <w:color w:val="auto"/>
              </w:rPr>
            </w:pPr>
          </w:p>
        </w:tc>
      </w:tr>
      <w:tr>
        <w:trPr>
          <w:trHeight w:val="191"/>
        </w:trPr>
        <w:tc>
          <w:tcPr>
            <w:tcW w:w="22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fixed-maturity</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202,308,158</w:t>
            </w:r>
          </w:p>
        </w:tc>
        <w:tc>
          <w:tcPr>
            <w:tcW w:w="100" w:type="dxa"/>
            <w:vAlign w:val="bottom"/>
          </w:tcPr>
          <w:p>
            <w:pPr>
              <w:spacing w:after="0"/>
              <w:rPr>
                <w:sz w:val="16"/>
                <w:szCs w:val="16"/>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119,647</w:t>
            </w:r>
          </w:p>
        </w:tc>
        <w:tc>
          <w:tcPr>
            <w:tcW w:w="100" w:type="dxa"/>
            <w:vAlign w:val="bottom"/>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(1,307,940)</w:t>
            </w:r>
          </w:p>
        </w:tc>
        <w:tc>
          <w:tcPr>
            <w:tcW w:w="100" w:type="dxa"/>
            <w:vAlign w:val="bottom"/>
          </w:tcPr>
          <w:p>
            <w:pPr>
              <w:spacing w:after="0"/>
              <w:rPr>
                <w:sz w:val="16"/>
                <w:szCs w:val="16"/>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(14,226,427)</w:t>
            </w:r>
          </w:p>
        </w:tc>
        <w:tc>
          <w:tcPr>
            <w:tcW w:w="100" w:type="dxa"/>
            <w:vAlign w:val="bottom"/>
          </w:tcPr>
          <w:p>
            <w:pPr>
              <w:spacing w:after="0"/>
              <w:rPr>
                <w:sz w:val="16"/>
                <w:szCs w:val="16"/>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186,893,438</w:t>
            </w:r>
          </w:p>
        </w:tc>
        <w:tc>
          <w:tcPr>
            <w:tcW w:w="80" w:type="dxa"/>
            <w:vAlign w:val="bottom"/>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(15,414,720)</w:t>
            </w:r>
          </w:p>
        </w:tc>
        <w:tc>
          <w:tcPr>
            <w:tcW w:w="0" w:type="dxa"/>
            <w:vAlign w:val="bottom"/>
          </w:tcPr>
          <w:p>
            <w:pPr>
              <w:spacing w:after="0"/>
              <w:rPr>
                <w:sz w:val="1"/>
                <w:szCs w:val="1"/>
                <w:color w:val="auto"/>
              </w:rPr>
            </w:pPr>
          </w:p>
        </w:tc>
      </w:tr>
      <w:tr>
        <w:trPr>
          <w:trHeight w:val="226"/>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0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left="2040" w:hanging="1083"/>
        <w:spacing w:after="0" w:line="253" w:lineRule="auto"/>
        <w:tabs>
          <w:tab w:leader="none" w:pos="203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KICO placed certain U.S. Treasury securities to fulfill the required collateral for a sale-leaseback transaction in a designated custodian account (see Note 7 – Debt - “Equipment Financing”). As of December 31, 2024 KICO had sold its U.S. Treasury securities and replaced a portion of its other fixed-maturity securities in the designated custodian account. As of June 30, 2025 and December 31, 2024, the amount of required collateral was approximately $4,462,000 and $5,308,000, respectively. As of June 30, 2025 and December 31, 2024, the estimated fair value of the eligible collateral was approximately $4,462,000 and $5,308,000, respectively.</w:t>
      </w:r>
    </w:p>
    <w:p>
      <w:pPr>
        <w:spacing w:after="0" w:line="5" w:lineRule="exact"/>
        <w:rPr>
          <w:rFonts w:ascii="Times New Roman" w:cs="Times New Roman" w:eastAsia="Times New Roman" w:hAnsi="Times New Roman"/>
          <w:sz w:val="18"/>
          <w:szCs w:val="18"/>
          <w:color w:val="auto"/>
        </w:rPr>
      </w:pPr>
    </w:p>
    <w:p>
      <w:pPr>
        <w:jc w:val="both"/>
        <w:ind w:left="2040" w:hanging="1083"/>
        <w:spacing w:after="0" w:line="252" w:lineRule="auto"/>
        <w:tabs>
          <w:tab w:leader="none" w:pos="203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KICO has placed certain residential mortgage backed securities as eligible collateral in a designated custodian account related to its membership in the Federal Home Loan Bank of New York (“FHLBNY”) (see Note 7 – Debt – “Federal Home Loan Bank”). The eligible collateral would be pledged to FHLBNY if KICO draws an advance from the FHLBNY credit line. As of June 30, 2025 and December 31, 2024, the estimated fair value of the eligible investments was approximately $9,840,000 and $10,130,000, respectively. KICO will retain all rights regarding all securities if pledged as collateral. As of June 30, 2025 and December 31, 2024, there was no outstanding balance on the FHLBNY credit line.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the amortized cost and estimated fair value of the Company’s investments in available-for-sale fixed-maturity securities by contractual maturity as of June 30, 2025 and December 31, 2024 is shown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6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1"/>
                <w:szCs w:val="21"/>
                <w:color w:val="auto"/>
              </w:rPr>
            </w:pPr>
          </w:p>
        </w:tc>
        <w:tc>
          <w:tcPr>
            <w:tcW w:w="286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7"/>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03"/>
        </w:trPr>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7"/>
                <w:szCs w:val="17"/>
                <w:color w:val="auto"/>
              </w:rPr>
            </w:pPr>
          </w:p>
        </w:tc>
        <w:tc>
          <w:tcPr>
            <w:tcW w:w="136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00" w:type="dxa"/>
            <w:vAlign w:val="bottom"/>
          </w:tcPr>
          <w:p>
            <w:pPr>
              <w:spacing w:after="0"/>
              <w:rPr>
                <w:sz w:val="17"/>
                <w:szCs w:val="17"/>
                <w:color w:val="auto"/>
              </w:rPr>
            </w:pPr>
          </w:p>
        </w:tc>
        <w:tc>
          <w:tcPr>
            <w:tcW w:w="1380" w:type="dxa"/>
            <w:vAlign w:val="bottom"/>
            <w:gridSpan w:val="2"/>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7"/>
                <w:szCs w:val="17"/>
                <w:color w:val="auto"/>
              </w:rPr>
            </w:pPr>
          </w:p>
        </w:tc>
        <w:tc>
          <w:tcPr>
            <w:tcW w:w="126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b w:val="1"/>
                <w:bCs w:val="1"/>
                <w:color w:val="auto"/>
              </w:rPr>
              <w:t>Estimated</w:t>
            </w:r>
          </w:p>
        </w:tc>
      </w:tr>
      <w:tr>
        <w:trPr>
          <w:trHeight w:val="25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Remaining Time to Maturity</w:t>
            </w:r>
          </w:p>
        </w:tc>
        <w:tc>
          <w:tcPr>
            <w:tcW w:w="200" w:type="dxa"/>
            <w:vAlign w:val="bottom"/>
          </w:tcPr>
          <w:p>
            <w:pPr>
              <w:spacing w:after="0"/>
              <w:rPr>
                <w:sz w:val="22"/>
                <w:szCs w:val="22"/>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2"/>
                <w:szCs w:val="22"/>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2"/>
                <w:szCs w:val="22"/>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2"/>
                <w:szCs w:val="22"/>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7"/>
        </w:trPr>
        <w:tc>
          <w:tcPr>
            <w:tcW w:w="4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5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than one year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13,437,080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13,373,658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9,522,262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9,484,834</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One to five years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72,753,263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71,493,505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68,052,387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66,141,372</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Five to ten years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35,376,800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33,053,951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38,159,446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34,068,922</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More than 10 years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16,718,663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13,998,214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21,044,518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17,970,347</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and other asset backed securities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90,700,775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85,760,022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65,529,545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59,227,963</w:t>
            </w:r>
          </w:p>
        </w:tc>
      </w:tr>
      <w:tr>
        <w:trPr>
          <w:trHeight w:val="24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228,986,581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217,679,350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202,308,158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186,893,438</w:t>
            </w:r>
          </w:p>
        </w:tc>
      </w:tr>
      <w:tr>
        <w:trPr>
          <w:trHeight w:val="27"/>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maturities may differ from contractual maturities because certain borrowers have the right to call or prepay obligations with or without penalties.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allowance for credit losses on fixed-maturity securities classified as available-for-sale as of June 30, 2025 and December 31, 2024,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Securities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cost and estimated fair value of, and gross unrealized gains and losses on, investments in equity securities as of June 30, 2025 and December 31, 2024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07"/>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2"/>
        </w:trPr>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left="1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7"/>
                <w:szCs w:val="17"/>
                <w:color w:val="auto"/>
              </w:rPr>
            </w:pPr>
          </w:p>
        </w:tc>
        <w:tc>
          <w:tcPr>
            <w:tcW w:w="126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Estimated</w:t>
            </w:r>
          </w:p>
        </w:tc>
      </w:tr>
      <w:tr>
        <w:trPr>
          <w:trHeight w:val="259"/>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50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9,750,322</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(2,754,323)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6,995,999</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exchange traded funds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3,711,232</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2,946,000</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FHLBNY common stock</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85,100</w:t>
            </w:r>
          </w:p>
        </w:tc>
        <w:tc>
          <w:tcPr>
            <w:tcW w:w="100" w:type="dxa"/>
            <w:vAlign w:val="bottom"/>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85,100</w:t>
            </w: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13,546,654</w:t>
            </w:r>
          </w:p>
        </w:tc>
        <w:tc>
          <w:tcPr>
            <w:tcW w:w="100" w:type="dxa"/>
            <w:vAlign w:val="bottom"/>
          </w:tcPr>
          <w:p>
            <w:pPr>
              <w:spacing w:after="0"/>
              <w:rPr>
                <w:sz w:val="21"/>
                <w:szCs w:val="21"/>
                <w:color w:val="auto"/>
              </w:rPr>
            </w:pP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(3,519,555)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10,027,099</w:t>
            </w:r>
          </w:p>
        </w:tc>
      </w:tr>
      <w:tr>
        <w:trPr>
          <w:trHeight w:val="27"/>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568"/>
        </w:trPr>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1"/>
        </w:trPr>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3"/>
        </w:trPr>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left="1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7"/>
                <w:szCs w:val="17"/>
                <w:color w:val="auto"/>
              </w:rPr>
            </w:pPr>
          </w:p>
        </w:tc>
        <w:tc>
          <w:tcPr>
            <w:tcW w:w="126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Estimated</w:t>
            </w:r>
          </w:p>
        </w:tc>
      </w:tr>
      <w:tr>
        <w:trPr>
          <w:trHeight w:val="252"/>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1"/>
                <w:szCs w:val="21"/>
                <w:color w:val="auto"/>
              </w:rPr>
            </w:pPr>
          </w:p>
        </w:tc>
        <w:tc>
          <w:tcPr>
            <w:tcW w:w="126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50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9,750,322</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(2,422,617)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7,327,705</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exchange traded funds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3,711,232</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2,902,800</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FHLBNY common stock</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00" w:type="dxa"/>
            <w:vAlign w:val="bottom"/>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r>
      <w:tr>
        <w:trPr>
          <w:trHeight w:val="24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13,527,554</w:t>
            </w:r>
          </w:p>
        </w:tc>
        <w:tc>
          <w:tcPr>
            <w:tcW w:w="100" w:type="dxa"/>
            <w:vAlign w:val="bottom"/>
          </w:tcPr>
          <w:p>
            <w:pPr>
              <w:spacing w:after="0"/>
              <w:rPr>
                <w:sz w:val="21"/>
                <w:szCs w:val="21"/>
                <w:color w:val="auto"/>
              </w:rPr>
            </w:pP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(3,231,049)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10,296,505</w:t>
            </w:r>
          </w:p>
        </w:tc>
      </w:tr>
      <w:tr>
        <w:trPr>
          <w:trHeight w:val="27"/>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and estimated fair value of, and gross gains on, the Company’s other investments as of June 30, 2025 and December 31, 2024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07"/>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20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220" w:type="dxa"/>
            <w:vAlign w:val="bottom"/>
          </w:tcPr>
          <w:p>
            <w:pPr>
              <w:spacing w:after="0"/>
              <w:rPr>
                <w:sz w:val="18"/>
                <w:szCs w:val="18"/>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45"/>
        </w:trPr>
        <w:tc>
          <w:tcPr>
            <w:tcW w:w="1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506"/>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2"/>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 fund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1,987,040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3,096,398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5,083,438</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1,987,040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2,393,616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4,380,656</w:t>
            </w: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Held-to-Maturity Securities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cost or amortized cost and estimated fair value of, and unrealized gross gains and losses on, investments in held-to-maturity fixed-maturity securities as of June 30, 2025 and December 31, 2024 are summarized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453"/>
        </w:trPr>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11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200" w:type="dxa"/>
            <w:vAlign w:val="bottom"/>
          </w:tcPr>
          <w:p>
            <w:pPr>
              <w:spacing w:after="0"/>
              <w:rPr>
                <w:sz w:val="24"/>
                <w:szCs w:val="24"/>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201"/>
        </w:trPr>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160" w:type="dxa"/>
            <w:vAlign w:val="bottom"/>
          </w:tcPr>
          <w:p>
            <w:pPr>
              <w:jc w:val="center"/>
              <w:ind w:left="70"/>
              <w:spacing w:after="0" w:line="201"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Less than 12</w:t>
            </w:r>
          </w:p>
        </w:tc>
        <w:tc>
          <w:tcPr>
            <w:tcW w:w="160" w:type="dxa"/>
            <w:vAlign w:val="bottom"/>
          </w:tcPr>
          <w:p>
            <w:pPr>
              <w:spacing w:after="0"/>
              <w:rPr>
                <w:sz w:val="17"/>
                <w:szCs w:val="17"/>
                <w:color w:val="auto"/>
              </w:rPr>
            </w:pPr>
          </w:p>
        </w:tc>
        <w:tc>
          <w:tcPr>
            <w:tcW w:w="138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More than 12</w:t>
            </w:r>
          </w:p>
        </w:tc>
        <w:tc>
          <w:tcPr>
            <w:tcW w:w="200" w:type="dxa"/>
            <w:vAlign w:val="bottom"/>
          </w:tcPr>
          <w:p>
            <w:pPr>
              <w:spacing w:after="0"/>
              <w:rPr>
                <w:sz w:val="17"/>
                <w:szCs w:val="17"/>
                <w:color w:val="auto"/>
              </w:rPr>
            </w:pPr>
          </w:p>
        </w:tc>
        <w:tc>
          <w:tcPr>
            <w:tcW w:w="124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200" w:type="dxa"/>
            <w:vAlign w:val="bottom"/>
          </w:tcPr>
          <w:p>
            <w:pPr>
              <w:spacing w:after="0"/>
              <w:rPr>
                <w:sz w:val="17"/>
                <w:szCs w:val="17"/>
                <w:color w:val="auto"/>
              </w:rPr>
            </w:pPr>
          </w:p>
        </w:tc>
        <w:tc>
          <w:tcPr>
            <w:tcW w:w="1160" w:type="dxa"/>
            <w:vAlign w:val="bottom"/>
          </w:tcPr>
          <w:p>
            <w:pPr>
              <w:jc w:val="center"/>
              <w:ind w:right="1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59"/>
        </w:trPr>
        <w:tc>
          <w:tcPr>
            <w:tcW w:w="2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80" w:type="dxa"/>
            <w:vAlign w:val="bottom"/>
          </w:tcPr>
          <w:p>
            <w:pPr>
              <w:spacing w:after="0"/>
              <w:rPr>
                <w:sz w:val="22"/>
                <w:szCs w:val="22"/>
                <w:color w:val="auto"/>
              </w:rPr>
            </w:pPr>
          </w:p>
        </w:tc>
        <w:tc>
          <w:tcPr>
            <w:tcW w:w="116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506"/>
        </w:trPr>
        <w:tc>
          <w:tcPr>
            <w:tcW w:w="2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Held-to-Maturity Securities: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3"/>
        </w:trPr>
        <w:tc>
          <w:tcPr>
            <w:tcW w:w="2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1,229,328</w:t>
            </w: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1,195,290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(34,038)</w:t>
            </w:r>
          </w:p>
        </w:tc>
      </w:tr>
      <w:tr>
        <w:trPr>
          <w:trHeight w:val="256"/>
        </w:trPr>
        <w:tc>
          <w:tcPr>
            <w:tcW w:w="2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1"/>
        </w:trPr>
        <w:tc>
          <w:tcPr>
            <w:tcW w:w="2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Political subdivisions of States,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48"/>
        </w:trPr>
        <w:tc>
          <w:tcPr>
            <w:tcW w:w="2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Territories and Possessions</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2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Exchange traded debt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304,111</w:t>
            </w: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(69,311)</w:t>
            </w:r>
          </w:p>
        </w:tc>
      </w:tr>
      <w:tr>
        <w:trPr>
          <w:trHeight w:val="256"/>
        </w:trPr>
        <w:tc>
          <w:tcPr>
            <w:tcW w:w="2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1"/>
        </w:trPr>
        <w:tc>
          <w:tcPr>
            <w:tcW w:w="2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and other bonds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48"/>
        </w:trPr>
        <w:tc>
          <w:tcPr>
            <w:tcW w:w="2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5,011,792</w:t>
            </w:r>
          </w:p>
        </w:tc>
        <w:tc>
          <w:tcPr>
            <w:tcW w:w="8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(974,742)</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4,037,050</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(974,742)</w:t>
            </w:r>
          </w:p>
        </w:tc>
      </w:tr>
      <w:tr>
        <w:trPr>
          <w:trHeight w:val="243"/>
        </w:trPr>
        <w:tc>
          <w:tcPr>
            <w:tcW w:w="2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7,045,231</w:t>
            </w:r>
          </w:p>
        </w:tc>
        <w:tc>
          <w:tcPr>
            <w:tcW w:w="80" w:type="dxa"/>
            <w:vAlign w:val="bottom"/>
          </w:tcPr>
          <w:p>
            <w:pPr>
              <w:spacing w:after="0"/>
              <w:rPr>
                <w:sz w:val="21"/>
                <w:szCs w:val="21"/>
                <w:color w:val="auto"/>
              </w:rPr>
            </w:pPr>
          </w:p>
        </w:tc>
        <w:tc>
          <w:tcPr>
            <w:tcW w:w="11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(1,052,423)</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5,967,140</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(1,078,091)</w:t>
            </w:r>
          </w:p>
        </w:tc>
      </w:tr>
      <w:tr>
        <w:trPr>
          <w:trHeight w:val="27"/>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520"/>
        </w:trPr>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18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200" w:type="dxa"/>
            <w:vAlign w:val="bottom"/>
          </w:tcPr>
          <w:p>
            <w:pPr>
              <w:spacing w:after="0"/>
              <w:rPr>
                <w:sz w:val="24"/>
                <w:szCs w:val="24"/>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201"/>
        </w:trPr>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80" w:type="dxa"/>
            <w:vAlign w:val="bottom"/>
          </w:tcPr>
          <w:p>
            <w:pPr>
              <w:spacing w:after="0"/>
              <w:rPr>
                <w:sz w:val="17"/>
                <w:szCs w:val="17"/>
                <w:color w:val="auto"/>
              </w:rPr>
            </w:pPr>
          </w:p>
        </w:tc>
        <w:tc>
          <w:tcPr>
            <w:tcW w:w="128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7"/>
                <w:szCs w:val="17"/>
                <w:color w:val="auto"/>
              </w:rPr>
            </w:pPr>
          </w:p>
        </w:tc>
        <w:tc>
          <w:tcPr>
            <w:tcW w:w="1380" w:type="dxa"/>
            <w:vAlign w:val="bottom"/>
            <w:gridSpan w:val="2"/>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Less than 12</w:t>
            </w:r>
          </w:p>
        </w:tc>
        <w:tc>
          <w:tcPr>
            <w:tcW w:w="160" w:type="dxa"/>
            <w:vAlign w:val="bottom"/>
          </w:tcPr>
          <w:p>
            <w:pPr>
              <w:spacing w:after="0"/>
              <w:rPr>
                <w:sz w:val="17"/>
                <w:szCs w:val="17"/>
                <w:color w:val="auto"/>
              </w:rPr>
            </w:pPr>
          </w:p>
        </w:tc>
        <w:tc>
          <w:tcPr>
            <w:tcW w:w="138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More than 12</w:t>
            </w:r>
          </w:p>
        </w:tc>
        <w:tc>
          <w:tcPr>
            <w:tcW w:w="200" w:type="dxa"/>
            <w:vAlign w:val="bottom"/>
          </w:tcPr>
          <w:p>
            <w:pPr>
              <w:spacing w:after="0"/>
              <w:rPr>
                <w:sz w:val="17"/>
                <w:szCs w:val="17"/>
                <w:color w:val="auto"/>
              </w:rPr>
            </w:pPr>
          </w:p>
        </w:tc>
        <w:tc>
          <w:tcPr>
            <w:tcW w:w="124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200" w:type="dxa"/>
            <w:vAlign w:val="bottom"/>
          </w:tcPr>
          <w:p>
            <w:pPr>
              <w:spacing w:after="0"/>
              <w:rPr>
                <w:sz w:val="17"/>
                <w:szCs w:val="17"/>
                <w:color w:val="auto"/>
              </w:rPr>
            </w:pPr>
          </w:p>
        </w:tc>
        <w:tc>
          <w:tcPr>
            <w:tcW w:w="1160" w:type="dxa"/>
            <w:vAlign w:val="bottom"/>
          </w:tcPr>
          <w:p>
            <w:pPr>
              <w:jc w:val="center"/>
              <w:ind w:right="1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59"/>
        </w:trPr>
        <w:tc>
          <w:tcPr>
            <w:tcW w:w="2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50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 Securities: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3"/>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1,229,170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1,173,550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(55,620)</w:t>
            </w:r>
          </w:p>
        </w:tc>
      </w:tr>
      <w:tr>
        <w:trPr>
          <w:trHeight w:val="256"/>
        </w:trPr>
        <w:tc>
          <w:tcPr>
            <w:tcW w:w="2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1"/>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 States,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48"/>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Territories and Possessions</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499,719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499,065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57"/>
        </w:trPr>
        <w:tc>
          <w:tcPr>
            <w:tcW w:w="2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traded debt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304,111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(55,611)</w:t>
            </w:r>
          </w:p>
        </w:tc>
      </w:tr>
      <w:tr>
        <w:trPr>
          <w:trHeight w:val="256"/>
        </w:trPr>
        <w:tc>
          <w:tcPr>
            <w:tcW w:w="2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1"/>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bonds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48"/>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5,014,342</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(976,192)</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4,038,150</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(976,192)</w:t>
            </w:r>
          </w:p>
        </w:tc>
      </w:tr>
      <w:tr>
        <w:trPr>
          <w:trHeight w:val="24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7,047,342</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(1,047,793)</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5,959,265</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(1,088,077)</w:t>
            </w:r>
          </w:p>
        </w:tc>
      </w:tr>
      <w:tr>
        <w:trPr>
          <w:trHeight w:val="27"/>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Held-to-maturity U.S. Treasury securities are held in trust pursuant to various states’ minimum funds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amortized cost and estimated fair value of the Company’s investments in held-to-maturity securities by contractual maturity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December 31, 2024 is shown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4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1"/>
                <w:szCs w:val="21"/>
                <w:color w:val="auto"/>
              </w:rPr>
            </w:pPr>
          </w:p>
        </w:tc>
        <w:tc>
          <w:tcPr>
            <w:tcW w:w="286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1"/>
        </w:trPr>
        <w:tc>
          <w:tcPr>
            <w:tcW w:w="4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203"/>
        </w:trPr>
        <w:tc>
          <w:tcPr>
            <w:tcW w:w="4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7"/>
                <w:szCs w:val="17"/>
                <w:color w:val="auto"/>
              </w:rPr>
            </w:pPr>
          </w:p>
        </w:tc>
        <w:tc>
          <w:tcPr>
            <w:tcW w:w="136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00" w:type="dxa"/>
            <w:vAlign w:val="bottom"/>
          </w:tcPr>
          <w:p>
            <w:pPr>
              <w:spacing w:after="0"/>
              <w:rPr>
                <w:sz w:val="17"/>
                <w:szCs w:val="17"/>
                <w:color w:val="auto"/>
              </w:rPr>
            </w:pPr>
          </w:p>
        </w:tc>
        <w:tc>
          <w:tcPr>
            <w:tcW w:w="1380" w:type="dxa"/>
            <w:vAlign w:val="bottom"/>
            <w:gridSpan w:val="2"/>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7"/>
                <w:szCs w:val="17"/>
                <w:color w:val="auto"/>
              </w:rPr>
            </w:pPr>
          </w:p>
        </w:tc>
        <w:tc>
          <w:tcPr>
            <w:tcW w:w="126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b w:val="1"/>
                <w:bCs w:val="1"/>
                <w:color w:val="auto"/>
              </w:rPr>
              <w:t>Estimated</w:t>
            </w:r>
          </w:p>
        </w:tc>
      </w:tr>
      <w:tr>
        <w:trPr>
          <w:trHeight w:val="252"/>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Remaining Time to Maturity</w:t>
            </w:r>
          </w:p>
        </w:tc>
        <w:tc>
          <w:tcPr>
            <w:tcW w:w="22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0"/>
        </w:trPr>
        <w:tc>
          <w:tcPr>
            <w:tcW w:w="4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r>
      <w:tr>
        <w:trPr>
          <w:trHeight w:val="257"/>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than one year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499,065</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One to five years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2,056,576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1,992,470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600,288</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Five to ten years</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1,427,579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1,323,600</w:t>
            </w:r>
          </w:p>
        </w:tc>
      </w:tr>
      <w:tr>
        <w:trPr>
          <w:trHeight w:val="250"/>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More than 10 years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4,488,655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3,474,670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4,497,669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3,536,312</w:t>
            </w:r>
          </w:p>
        </w:tc>
      </w:tr>
      <w:tr>
        <w:trPr>
          <w:trHeight w:val="275"/>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7,045,231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5,967,140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7,047,342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5,959,265</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maturities may differ from contractual maturities because certain borrowers have the right to call or prepay obligations with or without penalties.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allowance for credit losses on held-to-maturity fixed-maturity securities as of June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Investment Income</w:t>
            </w:r>
          </w:p>
        </w:tc>
        <w:tc>
          <w:tcPr>
            <w:tcW w:w="3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53"/>
        </w:trPr>
        <w:tc>
          <w:tcPr>
            <w:tcW w:w="6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Major categories of the Company’s net investment income are summarized as follows:</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0"/>
        </w:trPr>
        <w:tc>
          <w:tcPr>
            <w:tcW w:w="14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4"/>
                <w:szCs w:val="24"/>
                <w:color w:val="auto"/>
              </w:rPr>
            </w:pPr>
          </w:p>
        </w:tc>
        <w:tc>
          <w:tcPr>
            <w:tcW w:w="27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14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Fixed-maturity securities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2,130,385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1,156,591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4,061,683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2,339,220</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322,638</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492,054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143,808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688,191</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39,227</w:t>
            </w:r>
          </w:p>
        </w:tc>
      </w:tr>
      <w:tr>
        <w:trPr>
          <w:trHeight w:val="257"/>
        </w:trPr>
        <w:tc>
          <w:tcPr>
            <w:tcW w:w="5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2,356,735</w:t>
            </w:r>
          </w:p>
        </w:tc>
        <w:tc>
          <w:tcPr>
            <w:tcW w:w="10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1,833,341</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4,452,129</w:t>
            </w:r>
          </w:p>
        </w:tc>
        <w:tc>
          <w:tcPr>
            <w:tcW w:w="10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3,389,276</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56,468</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103,266</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121,820</w:t>
            </w: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2,300,267</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1,764,596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4,348,863</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3,267,456</w:t>
            </w:r>
          </w:p>
        </w:tc>
      </w:tr>
      <w:tr>
        <w:trPr>
          <w:trHeight w:val="27"/>
        </w:trPr>
        <w:tc>
          <w:tcPr>
            <w:tcW w:w="1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redemptions of fixed-maturity securities held-to-maturity during the six months ended June 30, 2025 and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Proceeds from the sale or maturity of fixed-maturity securities available-for-sale were $20,172,732 and $68,122,546 for the six months ended June 30, 2025 and 2024,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the sale of equity securities were $0 and $3,538,730 for the six months ended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3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047"/>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The Company’s net gains (losses) on investments are summarized as follows: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0"/>
        </w:trPr>
        <w:tc>
          <w:tcPr>
            <w:tcW w:w="1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4"/>
                <w:szCs w:val="24"/>
                <w:color w:val="auto"/>
              </w:rPr>
            </w:pPr>
          </w:p>
        </w:tc>
        <w:tc>
          <w:tcPr>
            <w:tcW w:w="27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128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1"/>
                <w:szCs w:val="21"/>
                <w:color w:val="auto"/>
              </w:rPr>
            </w:pPr>
          </w:p>
        </w:tc>
      </w:tr>
      <w:tr>
        <w:trPr>
          <w:trHeight w:val="250"/>
        </w:trPr>
        <w:tc>
          <w:tcPr>
            <w:tcW w:w="128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9"/>
        </w:trPr>
        <w:tc>
          <w:tcPr>
            <w:tcW w:w="5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Realized Gains (Losses)</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533"/>
        </w:trPr>
        <w:tc>
          <w:tcPr>
            <w:tcW w:w="5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Fixed-maturity securities: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3"/>
        </w:trPr>
        <w:tc>
          <w:tcPr>
            <w:tcW w:w="5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realized gains</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50"/>
        </w:trPr>
        <w:tc>
          <w:tcPr>
            <w:tcW w:w="50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Gross realized losses</w:t>
            </w: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(8,334)</w:t>
            </w:r>
          </w:p>
        </w:tc>
      </w:tr>
      <w:tr>
        <w:trPr>
          <w:trHeight w:val="250"/>
        </w:trPr>
        <w:tc>
          <w:tcPr>
            <w:tcW w:w="1280" w:type="dxa"/>
            <w:vAlign w:val="bottom"/>
            <w:shd w:val="clear" w:color="auto" w:fill="CCEEFF"/>
          </w:tcPr>
          <w:p>
            <w:pPr>
              <w:spacing w:after="0"/>
              <w:rPr>
                <w:sz w:val="21"/>
                <w:szCs w:val="21"/>
                <w:color w:val="auto"/>
              </w:rPr>
            </w:pPr>
          </w:p>
        </w:tc>
        <w:tc>
          <w:tcPr>
            <w:tcW w:w="374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(7,529)</w:t>
            </w:r>
          </w:p>
        </w:tc>
      </w:tr>
      <w:tr>
        <w:trPr>
          <w:trHeight w:val="256"/>
        </w:trPr>
        <w:tc>
          <w:tcPr>
            <w:tcW w:w="128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7"/>
        </w:trPr>
        <w:tc>
          <w:tcPr>
            <w:tcW w:w="5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5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Gross realized gains</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r>
      <w:tr>
        <w:trPr>
          <w:trHeight w:val="257"/>
        </w:trPr>
        <w:tc>
          <w:tcPr>
            <w:tcW w:w="5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realized losses</w:t>
            </w: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(328,757)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(423,367)</w:t>
            </w:r>
          </w:p>
        </w:tc>
      </w:tr>
      <w:tr>
        <w:trPr>
          <w:trHeight w:val="250"/>
        </w:trPr>
        <w:tc>
          <w:tcPr>
            <w:tcW w:w="1280" w:type="dxa"/>
            <w:vAlign w:val="bottom"/>
            <w:tcBorders>
              <w:bottom w:val="single" w:sz="8" w:color="CCEEFF"/>
            </w:tcBorders>
          </w:tcPr>
          <w:p>
            <w:pPr>
              <w:spacing w:after="0"/>
              <w:rPr>
                <w:sz w:val="21"/>
                <w:szCs w:val="21"/>
                <w:color w:val="auto"/>
              </w:rPr>
            </w:pPr>
          </w:p>
        </w:tc>
        <w:tc>
          <w:tcPr>
            <w:tcW w:w="374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(328,757)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(418,247)</w:t>
            </w:r>
          </w:p>
        </w:tc>
      </w:tr>
      <w:tr>
        <w:trPr>
          <w:trHeight w:val="257"/>
        </w:trPr>
        <w:tc>
          <w:tcPr>
            <w:tcW w:w="1280" w:type="dxa"/>
            <w:vAlign w:val="bottom"/>
            <w:shd w:val="clear" w:color="auto" w:fill="CCEEFF"/>
          </w:tcPr>
          <w:p>
            <w:pPr>
              <w:spacing w:after="0"/>
              <w:rPr>
                <w:sz w:val="22"/>
                <w:szCs w:val="22"/>
                <w:color w:val="auto"/>
              </w:rPr>
            </w:pPr>
          </w:p>
        </w:tc>
        <w:tc>
          <w:tcPr>
            <w:tcW w:w="37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50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Net realized losses</w:t>
            </w: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(333,419)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(425,776)</w:t>
            </w:r>
          </w:p>
        </w:tc>
      </w:tr>
      <w:tr>
        <w:trPr>
          <w:trHeight w:val="256"/>
        </w:trPr>
        <w:tc>
          <w:tcPr>
            <w:tcW w:w="1280" w:type="dxa"/>
            <w:vAlign w:val="bottom"/>
            <w:shd w:val="clear" w:color="auto" w:fill="CCEEFF"/>
          </w:tcPr>
          <w:p>
            <w:pPr>
              <w:spacing w:after="0"/>
              <w:rPr>
                <w:sz w:val="22"/>
                <w:szCs w:val="22"/>
                <w:color w:val="auto"/>
              </w:rPr>
            </w:pPr>
          </w:p>
        </w:tc>
        <w:tc>
          <w:tcPr>
            <w:tcW w:w="37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5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Unrealized Gains (Losses)</w:t>
            </w: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5020" w:type="dxa"/>
            <w:vAlign w:val="bottom"/>
            <w:gridSpan w:val="2"/>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5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5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gains</w:t>
            </w: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622,874</w:t>
            </w:r>
          </w:p>
        </w:tc>
      </w:tr>
      <w:tr>
        <w:trPr>
          <w:trHeight w:val="250"/>
        </w:trPr>
        <w:tc>
          <w:tcPr>
            <w:tcW w:w="50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Gross losses</w:t>
            </w: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(95,176)</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(288,506)</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280" w:type="dxa"/>
            <w:vAlign w:val="bottom"/>
            <w:shd w:val="clear" w:color="auto" w:fill="CCEEFF"/>
          </w:tcPr>
          <w:p>
            <w:pPr>
              <w:spacing w:after="0"/>
              <w:rPr>
                <w:sz w:val="21"/>
                <w:szCs w:val="21"/>
                <w:color w:val="auto"/>
              </w:rPr>
            </w:pPr>
          </w:p>
        </w:tc>
        <w:tc>
          <w:tcPr>
            <w:tcW w:w="374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(95,176)</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(288,506)</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622,874</w:t>
            </w:r>
          </w:p>
        </w:tc>
      </w:tr>
      <w:tr>
        <w:trPr>
          <w:trHeight w:val="256"/>
        </w:trPr>
        <w:tc>
          <w:tcPr>
            <w:tcW w:w="128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7"/>
        </w:trPr>
        <w:tc>
          <w:tcPr>
            <w:tcW w:w="5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5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Gross gains</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702,782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295,687</w:t>
            </w:r>
          </w:p>
        </w:tc>
      </w:tr>
      <w:tr>
        <w:trPr>
          <w:trHeight w:val="257"/>
        </w:trPr>
        <w:tc>
          <w:tcPr>
            <w:tcW w:w="5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losses</w:t>
            </w: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280" w:type="dxa"/>
            <w:vAlign w:val="bottom"/>
            <w:tcBorders>
              <w:bottom w:val="single" w:sz="8" w:color="CCEEFF"/>
            </w:tcBorders>
          </w:tcPr>
          <w:p>
            <w:pPr>
              <w:spacing w:after="0"/>
              <w:rPr>
                <w:sz w:val="21"/>
                <w:szCs w:val="21"/>
                <w:color w:val="auto"/>
              </w:rPr>
            </w:pPr>
          </w:p>
        </w:tc>
        <w:tc>
          <w:tcPr>
            <w:tcW w:w="374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645,705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118,661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702,782</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295,687</w:t>
            </w:r>
          </w:p>
        </w:tc>
      </w:tr>
      <w:tr>
        <w:trPr>
          <w:trHeight w:val="257"/>
        </w:trPr>
        <w:tc>
          <w:tcPr>
            <w:tcW w:w="1280" w:type="dxa"/>
            <w:vAlign w:val="bottom"/>
            <w:shd w:val="clear" w:color="auto" w:fill="CCEEFF"/>
          </w:tcPr>
          <w:p>
            <w:pPr>
              <w:spacing w:after="0"/>
              <w:rPr>
                <w:sz w:val="22"/>
                <w:szCs w:val="22"/>
                <w:color w:val="auto"/>
              </w:rPr>
            </w:pPr>
          </w:p>
        </w:tc>
        <w:tc>
          <w:tcPr>
            <w:tcW w:w="37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50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Net unrealized gains</w:t>
            </w: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550,529</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99,813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414,276</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918,561</w:t>
            </w:r>
          </w:p>
        </w:tc>
      </w:tr>
      <w:tr>
        <w:trPr>
          <w:trHeight w:val="257"/>
        </w:trPr>
        <w:tc>
          <w:tcPr>
            <w:tcW w:w="1280" w:type="dxa"/>
            <w:vAlign w:val="bottom"/>
            <w:shd w:val="clear" w:color="auto" w:fill="CCEEFF"/>
          </w:tcPr>
          <w:p>
            <w:pPr>
              <w:spacing w:after="0"/>
              <w:rPr>
                <w:sz w:val="22"/>
                <w:szCs w:val="22"/>
                <w:color w:val="auto"/>
              </w:rPr>
            </w:pPr>
          </w:p>
        </w:tc>
        <w:tc>
          <w:tcPr>
            <w:tcW w:w="37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5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gains (losses) on investments</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546,451</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(233,606)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408,472</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492,785</w:t>
            </w:r>
          </w:p>
        </w:tc>
      </w:tr>
      <w:tr>
        <w:trPr>
          <w:trHeight w:val="27"/>
        </w:trPr>
        <w:tc>
          <w:tcPr>
            <w:tcW w:w="12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Credit Loss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available-for-sale fixed maturity securities, a credit loss exists if the present value of cash flows expected to be collected is less than the amortized cost basis. The allowance for credit losses related to available-for-sale fixed maturity securities is the difference between the present value of cash flows expected to be collected and the amortized cost basis, limited by the amount that the fair value is less than the amortized cost basis. The Company considers all available evidence when determining whether an investment requires a credit loss write-down or allowance to be recorded, which is recognized in net loss through an allowance for credit losses. Any remaining decline in fair value represents the noncredit portion of the impairment, which is recognized in other comprehensive income (loss).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identify any available-for-sale securities as of June 30, 2025 and December 31, 2024 which presented a risk of loss due to credit deterioration of the security.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2025 and December 31, 2024, there were 159 and 204 fixed-maturity securities, respectively, that accounted for the gross unrealized losses. The Company determined that none of the unrealized losses were deemed to be credit losses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its portfolio of investments for the six months ended June 30, 2025 and 2024. Significant factors influencing the Company’s determination that unrealized losses were temporary included credit quality considerations, the magnitude of the unrealized losses in relation to each security’s cost, the nature of the investment and interest rate environment factors, and management’s intent and ability to hold the investment for a period of time sufficient to allow for an anticipated recovery of estimated fair value to the Company’s cost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available-for-sale securities with unrealized losses representing declines that were considered temporary at June 30, 2025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188"/>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160" w:type="dxa"/>
            <w:vAlign w:val="bottom"/>
          </w:tcPr>
          <w:p>
            <w:pPr>
              <w:spacing w:after="0"/>
              <w:rPr>
                <w:sz w:val="13"/>
                <w:szCs w:val="13"/>
                <w:color w:val="auto"/>
              </w:rPr>
            </w:pPr>
          </w:p>
        </w:tc>
        <w:tc>
          <w:tcPr>
            <w:tcW w:w="960" w:type="dxa"/>
            <w:vAlign w:val="bottom"/>
          </w:tcPr>
          <w:p>
            <w:pPr>
              <w:jc w:val="right"/>
              <w:ind w:right="188"/>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60" w:type="dxa"/>
            <w:vAlign w:val="bottom"/>
          </w:tcPr>
          <w:p>
            <w:pPr>
              <w:spacing w:after="0"/>
              <w:rPr>
                <w:sz w:val="15"/>
                <w:szCs w:val="15"/>
                <w:color w:val="auto"/>
              </w:rPr>
            </w:pPr>
          </w:p>
        </w:tc>
        <w:tc>
          <w:tcPr>
            <w:tcW w:w="9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6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5"/>
                <w:szCs w:val="15"/>
                <w:color w:val="auto"/>
              </w:rPr>
            </w:pP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8"/>
        </w:trPr>
        <w:tc>
          <w:tcPr>
            <w:tcW w:w="15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Held</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Held</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37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obligations of U.S.</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government corporations</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agencies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3,972,290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3,972,290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Political subdivisions of</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States, Territories and</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Possessions</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13,521,944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(2,955,097)</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13,521,944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(2,955,097)</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bonds industrial and</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miscellaneous</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38,830,938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(185,250)</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47,251,942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(3,441,755)</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86,082,880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(3,627,005)</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other asset backed</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6,549,447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(15,023)</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34,268,752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(5,406,006)</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40,818,199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(5,421,029)</w:t>
            </w:r>
          </w:p>
        </w:tc>
        <w:tc>
          <w:tcPr>
            <w:tcW w:w="0" w:type="dxa"/>
            <w:vAlign w:val="bottom"/>
          </w:tcPr>
          <w:p>
            <w:pPr>
              <w:spacing w:after="0"/>
              <w:rPr>
                <w:sz w:val="1"/>
                <w:szCs w:val="1"/>
                <w:color w:val="auto"/>
              </w:rPr>
            </w:pPr>
          </w:p>
        </w:tc>
      </w:tr>
      <w:tr>
        <w:trPr>
          <w:trHeight w:val="209"/>
        </w:trPr>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fixed-maturity</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49,352,675</w:t>
            </w:r>
          </w:p>
        </w:tc>
        <w:tc>
          <w:tcPr>
            <w:tcW w:w="2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(200,956)</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95,042,638</w:t>
            </w:r>
          </w:p>
        </w:tc>
        <w:tc>
          <w:tcPr>
            <w:tcW w:w="2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(11,802,858)</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144,395,313</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(12,003,814)</w:t>
            </w:r>
          </w:p>
        </w:tc>
        <w:tc>
          <w:tcPr>
            <w:tcW w:w="0" w:type="dxa"/>
            <w:vAlign w:val="bottom"/>
          </w:tcPr>
          <w:p>
            <w:pPr>
              <w:spacing w:after="0"/>
              <w:rPr>
                <w:sz w:val="1"/>
                <w:szCs w:val="1"/>
                <w:color w:val="auto"/>
              </w:rPr>
            </w:pPr>
          </w:p>
        </w:tc>
      </w:tr>
      <w:tr>
        <w:trPr>
          <w:trHeight w:val="205"/>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16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held available-for-sale securities with unrealized losses representing declines that were considered temporary at December 31, 2024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208"/>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160" w:type="dxa"/>
            <w:vAlign w:val="bottom"/>
          </w:tcPr>
          <w:p>
            <w:pPr>
              <w:spacing w:after="0"/>
              <w:rPr>
                <w:sz w:val="13"/>
                <w:szCs w:val="13"/>
                <w:color w:val="auto"/>
              </w:rPr>
            </w:pPr>
          </w:p>
        </w:tc>
        <w:tc>
          <w:tcPr>
            <w:tcW w:w="980" w:type="dxa"/>
            <w:vAlign w:val="bottom"/>
          </w:tcPr>
          <w:p>
            <w:pPr>
              <w:jc w:val="right"/>
              <w:ind w:right="208"/>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60" w:type="dxa"/>
            <w:vAlign w:val="bottom"/>
          </w:tcPr>
          <w:p>
            <w:pPr>
              <w:spacing w:after="0"/>
              <w:rPr>
                <w:sz w:val="15"/>
                <w:szCs w:val="15"/>
                <w:color w:val="auto"/>
              </w:rPr>
            </w:pPr>
          </w:p>
        </w:tc>
        <w:tc>
          <w:tcPr>
            <w:tcW w:w="9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6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5"/>
                <w:szCs w:val="15"/>
                <w:color w:val="auto"/>
              </w:rPr>
            </w:pP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8"/>
        </w:trPr>
        <w:tc>
          <w:tcPr>
            <w:tcW w:w="14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Held</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Held</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365"/>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obligations of U.S.</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government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corporations and</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agencies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Political subdivisions of</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States, Territories and</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Possessions</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7,705,370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(73,589)</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13,167,726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(3,324,491)</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20,873,096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(3,398,080)</w:t>
            </w:r>
          </w:p>
        </w:tc>
        <w:tc>
          <w:tcPr>
            <w:tcW w:w="0" w:type="dxa"/>
            <w:vAlign w:val="bottom"/>
          </w:tcPr>
          <w:p>
            <w:pPr>
              <w:spacing w:after="0"/>
              <w:rPr>
                <w:sz w:val="1"/>
                <w:szCs w:val="1"/>
                <w:color w:val="auto"/>
              </w:rPr>
            </w:pPr>
          </w:p>
        </w:tc>
      </w:tr>
      <w:tr>
        <w:trPr>
          <w:trHeight w:val="270"/>
        </w:trPr>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bonds industrial and</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miscellaneous</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51,411,296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(1,024,461)</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55,381,083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(4,690,597)</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106,792,379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(5,715,058)</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other asset backed</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19,315,521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(209,890)</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35,206,442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(6,211,339)</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54,521,963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(6,421,229)</w:t>
            </w: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fixed-maturity</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78,432,187</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(1,307,940)</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103,755,251</w:t>
            </w:r>
          </w:p>
        </w:tc>
        <w:tc>
          <w:tcPr>
            <w:tcW w:w="2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(14,226,427)</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182,187,438</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(15,534,367)</w:t>
            </w:r>
          </w:p>
        </w:tc>
        <w:tc>
          <w:tcPr>
            <w:tcW w:w="0" w:type="dxa"/>
            <w:vAlign w:val="bottom"/>
          </w:tcPr>
          <w:p>
            <w:pPr>
              <w:spacing w:after="0"/>
              <w:rPr>
                <w:sz w:val="1"/>
                <w:szCs w:val="1"/>
                <w:color w:val="auto"/>
              </w:rPr>
            </w:pPr>
          </w:p>
        </w:tc>
      </w:tr>
      <w:tr>
        <w:trPr>
          <w:trHeight w:val="205"/>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16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investments that are measured at fair value on a recurring basis at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indicating the level of the fair value hierarchy of the valuation inputs the Company utilized to determine such fair value: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1"/>
                <w:szCs w:val="21"/>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50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Fixed-maturity securities available-for-sale</w:t>
            </w: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corporations and agencies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5,969,050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5,969,050</w:t>
            </w:r>
          </w:p>
        </w:tc>
        <w:tc>
          <w:tcPr>
            <w:tcW w:w="0" w:type="dxa"/>
            <w:vAlign w:val="bottom"/>
          </w:tcPr>
          <w:p>
            <w:pPr>
              <w:spacing w:after="0"/>
              <w:rPr>
                <w:sz w:val="1"/>
                <w:szCs w:val="1"/>
                <w:color w:val="auto"/>
              </w:rPr>
            </w:pPr>
          </w:p>
        </w:tc>
      </w:tr>
      <w:tr>
        <w:trPr>
          <w:trHeight w:val="257"/>
        </w:trPr>
        <w:tc>
          <w:tcPr>
            <w:tcW w:w="5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 States, Territories and Possessions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21,417,548</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21,417,548</w:t>
            </w:r>
          </w:p>
        </w:tc>
        <w:tc>
          <w:tcPr>
            <w:tcW w:w="0" w:type="dxa"/>
            <w:vAlign w:val="bottom"/>
          </w:tcPr>
          <w:p>
            <w:pPr>
              <w:spacing w:after="0"/>
              <w:rPr>
                <w:sz w:val="1"/>
                <w:szCs w:val="1"/>
                <w:color w:val="auto"/>
              </w:rPr>
            </w:pPr>
          </w:p>
        </w:tc>
      </w:tr>
      <w:tr>
        <w:trPr>
          <w:trHeight w:val="256"/>
        </w:trPr>
        <w:tc>
          <w:tcPr>
            <w:tcW w:w="5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104,532,730</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104,532,730</w:t>
            </w:r>
          </w:p>
        </w:tc>
        <w:tc>
          <w:tcPr>
            <w:tcW w:w="0" w:type="dxa"/>
            <w:vAlign w:val="bottom"/>
          </w:tcPr>
          <w:p>
            <w:pPr>
              <w:spacing w:after="0"/>
              <w:rPr>
                <w:sz w:val="1"/>
                <w:szCs w:val="1"/>
                <w:color w:val="auto"/>
              </w:rPr>
            </w:pPr>
          </w:p>
        </w:tc>
      </w:tr>
      <w:tr>
        <w:trPr>
          <w:trHeight w:val="257"/>
        </w:trPr>
        <w:tc>
          <w:tcPr>
            <w:tcW w:w="5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and other asset backed securities</w:t>
            </w:r>
          </w:p>
        </w:tc>
        <w:tc>
          <w:tcPr>
            <w:tcW w:w="3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85,760,022</w:t>
            </w:r>
          </w:p>
        </w:tc>
        <w:tc>
          <w:tcPr>
            <w:tcW w:w="80" w:type="dxa"/>
            <w:vAlign w:val="bottom"/>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85,760,022</w:t>
            </w:r>
          </w:p>
        </w:tc>
        <w:tc>
          <w:tcPr>
            <w:tcW w:w="0" w:type="dxa"/>
            <w:vAlign w:val="bottom"/>
          </w:tcPr>
          <w:p>
            <w:pPr>
              <w:spacing w:after="0"/>
              <w:rPr>
                <w:sz w:val="1"/>
                <w:szCs w:val="1"/>
                <w:color w:val="auto"/>
              </w:rPr>
            </w:pPr>
          </w:p>
        </w:tc>
      </w:tr>
      <w:tr>
        <w:trPr>
          <w:trHeight w:val="28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maturities</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110,501,780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107,177,570</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217,679,350</w:t>
            </w:r>
          </w:p>
        </w:tc>
        <w:tc>
          <w:tcPr>
            <w:tcW w:w="0" w:type="dxa"/>
            <w:vAlign w:val="bottom"/>
          </w:tcPr>
          <w:p>
            <w:pPr>
              <w:spacing w:after="0"/>
              <w:rPr>
                <w:sz w:val="1"/>
                <w:szCs w:val="1"/>
                <w:color w:val="auto"/>
              </w:rPr>
            </w:pPr>
          </w:p>
        </w:tc>
      </w:tr>
      <w:tr>
        <w:trPr>
          <w:trHeight w:val="30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10,027,099</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10,027,099</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120,528,879</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107,177,570</w:t>
            </w:r>
          </w:p>
        </w:tc>
        <w:tc>
          <w:tcPr>
            <w:tcW w:w="80" w:type="dxa"/>
            <w:vAlign w:val="bottom"/>
          </w:tcPr>
          <w:p>
            <w:pPr>
              <w:spacing w:after="0"/>
              <w:rPr>
                <w:sz w:val="21"/>
                <w:szCs w:val="21"/>
                <w:color w:val="auto"/>
              </w:rPr>
            </w:pPr>
          </w:p>
        </w:tc>
        <w:tc>
          <w:tcPr>
            <w:tcW w:w="118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227,706,449</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0"/>
        </w:trPr>
        <w:tc>
          <w:tcPr>
            <w:tcW w:w="5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1"/>
                <w:szCs w:val="21"/>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50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Fixed-maturity securities available-for-sale</w:t>
            </w: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180" w:type="dxa"/>
            <w:vAlign w:val="bottom"/>
            <w:vMerge w:val="restart"/>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corporations and agencies</w:t>
            </w:r>
          </w:p>
        </w:tc>
        <w:tc>
          <w:tcPr>
            <w:tcW w:w="30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 States, Territories and Possessions</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20,873,097</w:t>
            </w:r>
          </w:p>
        </w:tc>
        <w:tc>
          <w:tcPr>
            <w:tcW w:w="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20,873,097</w:t>
            </w:r>
          </w:p>
        </w:tc>
        <w:tc>
          <w:tcPr>
            <w:tcW w:w="0" w:type="dxa"/>
            <w:vAlign w:val="bottom"/>
          </w:tcPr>
          <w:p>
            <w:pPr>
              <w:spacing w:after="0"/>
              <w:rPr>
                <w:sz w:val="1"/>
                <w:szCs w:val="1"/>
                <w:color w:val="auto"/>
              </w:rPr>
            </w:pPr>
          </w:p>
        </w:tc>
      </w:tr>
      <w:tr>
        <w:trPr>
          <w:trHeight w:val="257"/>
        </w:trPr>
        <w:tc>
          <w:tcPr>
            <w:tcW w:w="5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106,792,378</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106,792,378</w:t>
            </w:r>
          </w:p>
        </w:tc>
        <w:tc>
          <w:tcPr>
            <w:tcW w:w="0" w:type="dxa"/>
            <w:vAlign w:val="bottom"/>
          </w:tcPr>
          <w:p>
            <w:pPr>
              <w:spacing w:after="0"/>
              <w:rPr>
                <w:sz w:val="1"/>
                <w:szCs w:val="1"/>
                <w:color w:val="auto"/>
              </w:rPr>
            </w:pPr>
          </w:p>
        </w:tc>
      </w:tr>
      <w:tr>
        <w:trPr>
          <w:trHeight w:val="256"/>
        </w:trPr>
        <w:tc>
          <w:tcPr>
            <w:tcW w:w="5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and other asset backed securities</w:t>
            </w: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59,227,963</w:t>
            </w:r>
          </w:p>
        </w:tc>
        <w:tc>
          <w:tcPr>
            <w:tcW w:w="8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59,227,963</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maturities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106,792,378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80,101,060</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186,893,438</w:t>
            </w:r>
          </w:p>
        </w:tc>
        <w:tc>
          <w:tcPr>
            <w:tcW w:w="0" w:type="dxa"/>
            <w:vAlign w:val="bottom"/>
          </w:tcPr>
          <w:p>
            <w:pPr>
              <w:spacing w:after="0"/>
              <w:rPr>
                <w:sz w:val="1"/>
                <w:szCs w:val="1"/>
                <w:color w:val="auto"/>
              </w:rPr>
            </w:pP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10,296,505</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10,296,505</w:t>
            </w:r>
          </w:p>
        </w:tc>
        <w:tc>
          <w:tcPr>
            <w:tcW w:w="0" w:type="dxa"/>
            <w:vAlign w:val="bottom"/>
          </w:tcPr>
          <w:p>
            <w:pPr>
              <w:spacing w:after="0"/>
              <w:rPr>
                <w:sz w:val="1"/>
                <w:szCs w:val="1"/>
                <w:color w:val="auto"/>
              </w:rPr>
            </w:pPr>
          </w:p>
        </w:tc>
      </w:tr>
      <w:tr>
        <w:trPr>
          <w:trHeight w:val="24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117,088,883</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80,101,060</w:t>
            </w:r>
          </w:p>
        </w:tc>
        <w:tc>
          <w:tcPr>
            <w:tcW w:w="80" w:type="dxa"/>
            <w:vAlign w:val="bottom"/>
          </w:tcPr>
          <w:p>
            <w:pPr>
              <w:spacing w:after="0"/>
              <w:rPr>
                <w:sz w:val="21"/>
                <w:szCs w:val="21"/>
                <w:color w:val="auto"/>
              </w:rPr>
            </w:pPr>
          </w:p>
        </w:tc>
        <w:tc>
          <w:tcPr>
            <w:tcW w:w="118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197,189,943</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12"/>
        </w:trPr>
        <w:tc>
          <w:tcPr>
            <w:tcW w:w="5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Company’s investment in a hedge fund measured at Net Asset Value (“NAV”) per share as of June 30, 2025 and December 31, 2024. The Company measures this investment at fair value on a recurring basis. Fair value using NAV per share is as follows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52"/>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2"/>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 fund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5,083,438</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4,380,656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hedge fund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which are recorded in the condensed consolidated statements of income and comprehensive income within net (losses) gains on investments.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of Financial Instruments and Real Estate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estimated fair values of the Company’s financial instruments and real estate, including their fair value level as of June 30, 2025 and December 31, 2024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50"/>
        </w:trPr>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2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1"/>
                <w:szCs w:val="21"/>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2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7"/>
        </w:trPr>
        <w:tc>
          <w:tcPr>
            <w:tcW w:w="50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5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Fixed-maturity securities, held-to maturity, Level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7,045,231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5,967,140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7,047,342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5,959,265</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Fixed-maturity securities, available-for-sale, Level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110,501,780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110,501,780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106,792,378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106,792,378</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Fixed-maturity securities, available-for-sale, Level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107,177,570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107,177,570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80,101,060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80,101,060</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Level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33,714,432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33,714,432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28,669,441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28,669,441</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receivable, net, Level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17,277,970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17,277,970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21,766,988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21,766,988</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receivables, net, Level 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55,439,043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55,439,043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69,322,436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69,322,436</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net of accumulated depreciation, Level 3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460,031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1,913,390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3,540,000</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balances payable, Level 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5,440,516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5,440,516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10,509,121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10,509,121</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- 13.75% Senior Notes due 2026, Level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5,553,785</w:t>
            </w:r>
          </w:p>
        </w:tc>
      </w:tr>
    </w:tbl>
    <w:p>
      <w:pPr>
        <w:spacing w:after="0" w:line="279" w:lineRule="exact"/>
        <w:rPr>
          <w:sz w:val="20"/>
          <w:szCs w:val="20"/>
          <w:color w:val="auto"/>
        </w:rPr>
      </w:pPr>
    </w:p>
    <w:p>
      <w:pPr>
        <w:jc w:val="both"/>
        <w:ind w:firstLine="8"/>
        <w:spacing w:after="0" w:line="24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real estate consisted of a complex which included an office building, a house and vacant land located in Kingston, New York. In March 2025, the office building and house were sold, leaving the vacant land as the only remaining real estate as of June 30, 2025. See Note 14 - Sale of Real Estate.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 Property and Casualty Insurance Activity</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92"/>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Premiums Earned</w:t>
            </w:r>
          </w:p>
        </w:tc>
        <w:tc>
          <w:tcPr>
            <w:tcW w:w="3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53"/>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Premiums written, ceded and earned are as follows: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93"/>
        </w:trPr>
        <w:tc>
          <w:tcPr>
            <w:tcW w:w="13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24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Assumed</w:t>
            </w:r>
          </w:p>
        </w:tc>
        <w:tc>
          <w:tcPr>
            <w:tcW w:w="30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Ceded</w:t>
            </w:r>
          </w:p>
        </w:tc>
        <w:tc>
          <w:tcPr>
            <w:tcW w:w="300" w:type="dxa"/>
            <w:vAlign w:val="bottom"/>
          </w:tcPr>
          <w:p>
            <w:pPr>
              <w:spacing w:after="0"/>
              <w:rPr>
                <w:sz w:val="24"/>
                <w:szCs w:val="24"/>
                <w:color w:val="auto"/>
              </w:rPr>
            </w:pPr>
          </w:p>
        </w:tc>
        <w:tc>
          <w:tcPr>
            <w:tcW w:w="11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50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written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119,237,405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(6,017,324)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113,220,081</w:t>
            </w:r>
          </w:p>
        </w:tc>
      </w:tr>
      <w:tr>
        <w:trPr>
          <w:trHeight w:val="250"/>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4,438,637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(27,920,395)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(23,481,758)</w:t>
            </w:r>
          </w:p>
        </w:tc>
      </w:tr>
      <w:tr>
        <w:trPr>
          <w:trHeight w:val="275"/>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earned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123,676,042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(33,937,719)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89,738,323</w:t>
            </w:r>
          </w:p>
        </w:tc>
      </w:tr>
      <w:tr>
        <w:trPr>
          <w:trHeight w:val="20"/>
        </w:trPr>
        <w:tc>
          <w:tcPr>
            <w:tcW w:w="50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7"/>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Premiums written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102,819,939</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(23,299,863)</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79,520,076</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(1,813,141)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(18,583,421)</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(20,396,562)</w:t>
            </w:r>
          </w:p>
        </w:tc>
      </w:tr>
      <w:tr>
        <w:trPr>
          <w:trHeight w:val="24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Premiums earned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101,006,798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(41,883,284)</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59,123,514</w:t>
            </w:r>
          </w:p>
        </w:tc>
      </w:tr>
      <w:tr>
        <w:trPr>
          <w:trHeight w:val="20"/>
        </w:trPr>
        <w:tc>
          <w:tcPr>
            <w:tcW w:w="130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3"/>
        </w:trPr>
        <w:tc>
          <w:tcPr>
            <w:tcW w:w="1300" w:type="dxa"/>
            <w:vAlign w:val="bottom"/>
            <w:shd w:val="clear" w:color="auto" w:fill="CCEEFF"/>
          </w:tcPr>
          <w:p>
            <w:pPr>
              <w:spacing w:after="0"/>
              <w:rPr>
                <w:sz w:val="21"/>
                <w:szCs w:val="21"/>
                <w:color w:val="auto"/>
              </w:rPr>
            </w:pPr>
          </w:p>
        </w:tc>
        <w:tc>
          <w:tcPr>
            <w:tcW w:w="3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written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61,062,409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(8,851,735)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52,210,674</w:t>
            </w:r>
          </w:p>
        </w:tc>
      </w:tr>
      <w:tr>
        <w:trPr>
          <w:trHeight w:val="250"/>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1,968,256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(7,963,670)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(5,995,414)</w:t>
            </w:r>
          </w:p>
        </w:tc>
      </w:tr>
      <w:tr>
        <w:trPr>
          <w:trHeight w:val="27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earned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63,030,665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(16,815,405)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46,215,260</w:t>
            </w:r>
          </w:p>
        </w:tc>
      </w:tr>
      <w:tr>
        <w:trPr>
          <w:trHeight w:val="20"/>
        </w:trPr>
        <w:tc>
          <w:tcPr>
            <w:tcW w:w="50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13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Premiums written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53,495,323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(12,070,646)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41,424,677</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(2,484,903)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(8,636,162)</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(11,121,065)</w:t>
            </w: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Premiums earned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51,010,420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(20,706,808)</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30,303,612</w:t>
            </w:r>
          </w:p>
        </w:tc>
      </w:tr>
      <w:tr>
        <w:trPr>
          <w:trHeight w:val="27"/>
        </w:trPr>
        <w:tc>
          <w:tcPr>
            <w:tcW w:w="13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Premium receipts in advance of the policy effective date are recorded as advance premiums. The balance of advance premiums as of June 30, 2025 and December 31, 2024 was $5,712,581 and $3,503,063, respectively.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Loss and Loss Adjustment Expense Reserves</w:t>
            </w:r>
          </w:p>
        </w:tc>
        <w:tc>
          <w:tcPr>
            <w:tcW w:w="4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53"/>
        </w:trPr>
        <w:tc>
          <w:tcPr>
            <w:tcW w:w="8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unpaid loss and LAE reserves: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93"/>
        </w:trPr>
        <w:tc>
          <w:tcPr>
            <w:tcW w:w="32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50"/>
        </w:trPr>
        <w:tc>
          <w:tcPr>
            <w:tcW w:w="328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7"/>
        </w:trPr>
        <w:tc>
          <w:tcPr>
            <w:tcW w:w="328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7"/>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126,210,428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121,817,862</w:t>
            </w:r>
          </w:p>
        </w:tc>
      </w:tr>
      <w:tr>
        <w:trPr>
          <w:trHeight w:val="25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49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(32,322,637)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(33,288,650)</w:t>
            </w:r>
          </w:p>
        </w:tc>
      </w:tr>
      <w:tr>
        <w:trPr>
          <w:trHeight w:val="25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beginning of period</w:t>
            </w:r>
          </w:p>
        </w:tc>
        <w:tc>
          <w:tcPr>
            <w:tcW w:w="49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93,887,791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88,529,212</w:t>
            </w:r>
          </w:p>
        </w:tc>
      </w:tr>
      <w:tr>
        <w:trPr>
          <w:trHeight w:val="256"/>
        </w:trPr>
        <w:tc>
          <w:tcPr>
            <w:tcW w:w="328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7"/>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Incurred related to:</w:t>
            </w:r>
          </w:p>
        </w:tc>
        <w:tc>
          <w:tcPr>
            <w:tcW w:w="49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year</w:t>
            </w:r>
          </w:p>
        </w:tc>
        <w:tc>
          <w:tcPr>
            <w:tcW w:w="4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45,914,496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33,094,050</w:t>
            </w:r>
          </w:p>
        </w:tc>
      </w:tr>
      <w:tr>
        <w:trPr>
          <w:trHeight w:val="26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years</w:t>
            </w:r>
          </w:p>
        </w:tc>
        <w:tc>
          <w:tcPr>
            <w:tcW w:w="49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(812,256)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(996,155)</w:t>
            </w:r>
          </w:p>
        </w:tc>
      </w:tr>
      <w:tr>
        <w:trPr>
          <w:trHeight w:val="243"/>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incurred</w:t>
            </w:r>
          </w:p>
        </w:tc>
        <w:tc>
          <w:tcPr>
            <w:tcW w:w="49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45,102,240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32,097,895</w:t>
            </w:r>
          </w:p>
        </w:tc>
      </w:tr>
      <w:tr>
        <w:trPr>
          <w:trHeight w:val="257"/>
        </w:trPr>
        <w:tc>
          <w:tcPr>
            <w:tcW w:w="3280" w:type="dxa"/>
            <w:vAlign w:val="bottom"/>
            <w:shd w:val="clear" w:color="auto" w:fill="CCEEFF"/>
          </w:tcPr>
          <w:p>
            <w:pPr>
              <w:spacing w:after="0"/>
              <w:rPr>
                <w:sz w:val="22"/>
                <w:szCs w:val="22"/>
                <w:color w:val="auto"/>
              </w:rPr>
            </w:pPr>
          </w:p>
        </w:tc>
        <w:tc>
          <w:tcPr>
            <w:tcW w:w="49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related to:</w:t>
            </w:r>
          </w:p>
        </w:tc>
        <w:tc>
          <w:tcPr>
            <w:tcW w:w="4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year</w:t>
            </w:r>
          </w:p>
        </w:tc>
        <w:tc>
          <w:tcPr>
            <w:tcW w:w="49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18,399,950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14,180,114</w:t>
            </w:r>
          </w:p>
        </w:tc>
      </w:tr>
      <w:tr>
        <w:trPr>
          <w:trHeight w:val="25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Prior years</w:t>
            </w:r>
          </w:p>
        </w:tc>
        <w:tc>
          <w:tcPr>
            <w:tcW w:w="49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19,470,717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18,883,752</w:t>
            </w:r>
          </w:p>
        </w:tc>
      </w:tr>
      <w:tr>
        <w:trPr>
          <w:trHeight w:val="25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paid</w:t>
            </w:r>
          </w:p>
        </w:tc>
        <w:tc>
          <w:tcPr>
            <w:tcW w:w="49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37,870,667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33,063,866</w:t>
            </w:r>
          </w:p>
        </w:tc>
      </w:tr>
      <w:tr>
        <w:trPr>
          <w:trHeight w:val="257"/>
        </w:trPr>
        <w:tc>
          <w:tcPr>
            <w:tcW w:w="328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at end of period</w:t>
            </w:r>
          </w:p>
        </w:tc>
        <w:tc>
          <w:tcPr>
            <w:tcW w:w="49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101,119,364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87,563,241</w:t>
            </w:r>
          </w:p>
        </w:tc>
      </w:tr>
      <w:tr>
        <w:trPr>
          <w:trHeight w:val="25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reinsurance recoverables</w:t>
            </w:r>
          </w:p>
        </w:tc>
        <w:tc>
          <w:tcPr>
            <w:tcW w:w="49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32,808,090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29,014,249</w:t>
            </w:r>
          </w:p>
        </w:tc>
      </w:tr>
      <w:tr>
        <w:trPr>
          <w:trHeight w:val="27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5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133,927,454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116,577,490</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Incurred losses and LAE are presented net of reinsurance recoveries under reinsurance contracts of $10,645,332 and $9,820,083 for the six months ended June 30, 2025 and 2024,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year incurred loss and LAE development is based upon estimates by line of business and accident year. Prior year loss and LAE development incurred during the six months ended June 30, 2025 and 2024 was $(812,256) favorable and $(996,155) favorable, respectively. Management, on a quarterly basis, performs a review of open liability claims to assess carried case and incurred but not reported (“IBNR”) reserve levels, giving consideration to both Company and industry trends.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and LAE Reserves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Paid Loss Development </w:t>
      </w:r>
      <w:r>
        <w:rPr>
          <w:rFonts w:ascii="Times New Roman" w:cs="Times New Roman" w:eastAsia="Times New Roman" w:hAnsi="Times New Roman"/>
          <w:sz w:val="18"/>
          <w:szCs w:val="18"/>
          <w:color w:val="auto"/>
        </w:rPr>
        <w:t>– historical patterns of paid loss development are used to project future paid loss emergence in order to estimate required reserves.</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Incurred Loss Development </w:t>
      </w:r>
      <w:r>
        <w:rPr>
          <w:rFonts w:ascii="Times New Roman" w:cs="Times New Roman" w:eastAsia="Times New Roman" w:hAnsi="Times New Roman"/>
          <w:sz w:val="18"/>
          <w:szCs w:val="18"/>
          <w:color w:val="auto"/>
        </w:rPr>
        <w:t>– historical patterns of incurred loss development, reflecting both paid losses and changes in case reserves, are used to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incurred loss emergence in order to estimate required reserves.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Paid Bornhuetter-Ferguson (“BF”) </w:t>
      </w:r>
      <w:r>
        <w:rPr>
          <w:rFonts w:ascii="Times New Roman" w:cs="Times New Roman" w:eastAsia="Times New Roman" w:hAnsi="Times New Roman"/>
          <w:sz w:val="18"/>
          <w:szCs w:val="18"/>
          <w:color w:val="auto"/>
        </w:rPr>
        <w:t>– an estimated loss ratio for a particular accident year is determined, and is weighted against the portion of the accident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Incurred Bornhuetter-Ferguson (“BF”) </w:t>
      </w:r>
      <w:r>
        <w:rPr>
          <w:rFonts w:ascii="Times New Roman" w:cs="Times New Roman" w:eastAsia="Times New Roman" w:hAnsi="Times New Roman"/>
          <w:sz w:val="18"/>
          <w:szCs w:val="18"/>
          <w:color w:val="auto"/>
        </w:rPr>
        <w:t>- an estimated loss ratio for a particular accident year is determined, and is weighted against the portion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Incremental Claim-Based Methods </w:t>
      </w:r>
      <w:r>
        <w:rPr>
          <w:rFonts w:ascii="Times New Roman" w:cs="Times New Roman" w:eastAsia="Times New Roman" w:hAnsi="Times New Roman"/>
          <w:sz w:val="18"/>
          <w:szCs w:val="18"/>
          <w:color w:val="auto"/>
        </w:rPr>
        <w:t>– historical patterns of incremental incurred losses and paid LAE during various stages of development are reviewed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assumptions are 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Frequency / Severity Based Methods </w:t>
      </w:r>
      <w:r>
        <w:rPr>
          <w:rFonts w:ascii="Times New Roman" w:cs="Times New Roman" w:eastAsia="Times New Roman" w:hAnsi="Times New Roman"/>
          <w:sz w:val="18"/>
          <w:szCs w:val="18"/>
          <w:color w:val="auto"/>
        </w:rPr>
        <w:t>– historical measurements of claim frequency and average paid claim size (severity) are reviewed for more mature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accident years where 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 trend, and mix of business. The severity assumptions used in the frequency / severity method are determined by reviewing historical average claim severity for older more mature accident periods, trended forward to less mature accident periods.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reviews the carried reserves levels on a regular basis as additional information becomes available and makes adjustments in the periods in which such adjustments are determined to be necessary. The Company is not aware of any claim trends that have emerged or that would cause future adverse development that have not already been contemplated in setting current carried reserves levels.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June 30, 2022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information about incurred and paid claims development as of June 30, 2025, net of reinsurance, as well as the cumulative reported claims by accident year and total IBNR reserves as of June 30, 2025 included in the net incurred loss and allocated expense amounts. The historical information regarding incurred and paid claims development for the years ended December 31, 2016 to December 31, 2024 is presented as supplementary unaudited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Lines of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reported claims data)</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60" w:type="dxa"/>
            <w:vAlign w:val="bottom"/>
            <w:gridSpan w:val="17"/>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Incurred Loss and Allocated Loss Adjustment Expenses, Net of Reinsurance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657"/>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60" w:type="dxa"/>
            <w:vAlign w:val="bottom"/>
            <w:tcBorders>
              <w:bottom w:val="single" w:sz="8" w:color="auto"/>
            </w:tcBorders>
            <w:gridSpan w:val="17"/>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Cumulative</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1"/>
              </w:rPr>
              <w:t>Six</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Months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Reported</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40" w:type="dxa"/>
            <w:vAlign w:val="bottom"/>
            <w:gridSpan w:val="8"/>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For the Years Ended December 31,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9"/>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Claims by</w:t>
            </w:r>
          </w:p>
        </w:tc>
        <w:tc>
          <w:tcPr>
            <w:tcW w:w="0" w:type="dxa"/>
            <w:vAlign w:val="bottom"/>
          </w:tcPr>
          <w:p>
            <w:pPr>
              <w:spacing w:after="0"/>
              <w:rPr>
                <w:sz w:val="1"/>
                <w:szCs w:val="1"/>
                <w:color w:val="auto"/>
              </w:rPr>
            </w:pPr>
          </w:p>
        </w:tc>
      </w:tr>
      <w:tr>
        <w:trPr>
          <w:trHeight w:val="72"/>
        </w:trPr>
        <w:tc>
          <w:tcPr>
            <w:tcW w:w="840" w:type="dxa"/>
            <w:vAlign w:val="bottom"/>
            <w:gridSpan w:val="2"/>
            <w:vMerge w:val="restart"/>
          </w:tcPr>
          <w:p>
            <w:pPr>
              <w:jc w:val="center"/>
              <w:ind w:right="80"/>
              <w:spacing w:after="0" w:line="115" w:lineRule="exact"/>
              <w:rPr>
                <w:sz w:val="20"/>
                <w:szCs w:val="20"/>
                <w:color w:val="auto"/>
              </w:rPr>
            </w:pPr>
            <w:r>
              <w:rPr>
                <w:rFonts w:ascii="Times New Roman" w:cs="Times New Roman" w:eastAsia="Times New Roman" w:hAnsi="Times New Roman"/>
                <w:sz w:val="13"/>
                <w:szCs w:val="13"/>
                <w:b w:val="1"/>
                <w:bCs w:val="1"/>
                <w:color w:val="auto"/>
                <w:w w:val="97"/>
              </w:rPr>
              <w:t>Accident</w:t>
            </w: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340" w:type="dxa"/>
            <w:vAlign w:val="bottom"/>
            <w:gridSpan w:val="8"/>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vMerge w:val="restart"/>
          </w:tcPr>
          <w:p>
            <w:pPr>
              <w:jc w:val="center"/>
              <w:ind w:right="77"/>
              <w:spacing w:after="0" w:line="115" w:lineRule="exact"/>
              <w:rPr>
                <w:sz w:val="20"/>
                <w:szCs w:val="20"/>
                <w:color w:val="auto"/>
              </w:rPr>
            </w:pPr>
            <w:r>
              <w:rPr>
                <w:rFonts w:ascii="Times New Roman" w:cs="Times New Roman" w:eastAsia="Times New Roman" w:hAnsi="Times New Roman"/>
                <w:sz w:val="13"/>
                <w:szCs w:val="13"/>
                <w:b w:val="1"/>
                <w:bCs w:val="1"/>
                <w:color w:val="auto"/>
                <w:w w:val="95"/>
              </w:rPr>
              <w:t>June 30,</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vMerge w:val="restart"/>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7"/>
              </w:rPr>
              <w:t>Accident</w:t>
            </w:r>
          </w:p>
        </w:tc>
        <w:tc>
          <w:tcPr>
            <w:tcW w:w="0" w:type="dxa"/>
            <w:vAlign w:val="bottom"/>
          </w:tcPr>
          <w:p>
            <w:pPr>
              <w:spacing w:after="0"/>
              <w:rPr>
                <w:sz w:val="1"/>
                <w:szCs w:val="1"/>
                <w:color w:val="auto"/>
              </w:rPr>
            </w:pPr>
          </w:p>
        </w:tc>
      </w:tr>
      <w:tr>
        <w:trPr>
          <w:trHeight w:val="43"/>
        </w:trPr>
        <w:tc>
          <w:tcPr>
            <w:tcW w:w="840" w:type="dxa"/>
            <w:vAlign w:val="bottom"/>
            <w:gridSpan w:val="2"/>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Year</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2016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2017</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2018</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2019</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2"/>
              </w:rPr>
              <w:t>2020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IBNR</w:t>
            </w:r>
          </w:p>
        </w:tc>
        <w:tc>
          <w:tcPr>
            <w:tcW w:w="8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6"/>
          </w:tcPr>
          <w:p>
            <w:pPr>
              <w:jc w:val="center"/>
              <w:ind w:left="317"/>
              <w:spacing w:after="0"/>
              <w:rPr>
                <w:sz w:val="20"/>
                <w:szCs w:val="20"/>
                <w:color w:val="auto"/>
              </w:rPr>
            </w:pPr>
            <w:r>
              <w:rPr>
                <w:rFonts w:ascii="Times New Roman" w:cs="Times New Roman" w:eastAsia="Times New Roman" w:hAnsi="Times New Roman"/>
                <w:sz w:val="13"/>
                <w:szCs w:val="13"/>
                <w:b w:val="1"/>
                <w:bCs w:val="1"/>
                <w:color w:val="auto"/>
                <w:w w:val="97"/>
              </w:rPr>
              <w:t>(Unaudited 2015 - 2024)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5"/>
              </w:rPr>
              <w:t>(Unaudited)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2016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26,062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24,941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24,789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27,887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27,966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27,417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27,352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27,271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27,247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27,221</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2,884</w:t>
            </w:r>
          </w:p>
        </w:tc>
        <w:tc>
          <w:tcPr>
            <w:tcW w:w="0" w:type="dxa"/>
            <w:vAlign w:val="bottom"/>
          </w:tcPr>
          <w:p>
            <w:pPr>
              <w:spacing w:after="0"/>
              <w:rPr>
                <w:sz w:val="1"/>
                <w:szCs w:val="1"/>
                <w:color w:val="auto"/>
              </w:rPr>
            </w:pPr>
          </w:p>
        </w:tc>
      </w:tr>
      <w:tr>
        <w:trPr>
          <w:trHeight w:val="173"/>
        </w:trPr>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2017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32,169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35,304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36,160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37,356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3,401</w:t>
            </w: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2018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54,455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56,351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58,441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59,404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61,237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61,145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61,686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61,384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4,238</w:t>
            </w:r>
          </w:p>
        </w:tc>
        <w:tc>
          <w:tcPr>
            <w:tcW w:w="0" w:type="dxa"/>
            <w:vAlign w:val="bottom"/>
          </w:tcPr>
          <w:p>
            <w:pPr>
              <w:spacing w:after="0"/>
              <w:rPr>
                <w:sz w:val="1"/>
                <w:szCs w:val="1"/>
                <w:color w:val="auto"/>
              </w:rPr>
            </w:pPr>
          </w:p>
        </w:tc>
      </w:tr>
      <w:tr>
        <w:trPr>
          <w:trHeight w:val="173"/>
        </w:trPr>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2019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75,092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72,368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71,544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71,964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74,363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74,608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1,685</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4,508</w:t>
            </w: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63,083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62,833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63,217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63,562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64,800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1,294</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5,895</w:t>
            </w:r>
          </w:p>
        </w:tc>
        <w:tc>
          <w:tcPr>
            <w:tcW w:w="0" w:type="dxa"/>
            <w:vAlign w:val="bottom"/>
          </w:tcPr>
          <w:p>
            <w:pPr>
              <w:spacing w:after="0"/>
              <w:rPr>
                <w:sz w:val="1"/>
                <w:szCs w:val="1"/>
                <w:color w:val="auto"/>
              </w:rPr>
            </w:pPr>
          </w:p>
        </w:tc>
      </w:tr>
      <w:tr>
        <w:trPr>
          <w:trHeight w:val="173"/>
        </w:trPr>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2021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96,425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96,673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96,134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96,771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97,030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5,834</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79,835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78,759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78,078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77,492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4,166</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4,717</w:t>
            </w:r>
          </w:p>
        </w:tc>
        <w:tc>
          <w:tcPr>
            <w:tcW w:w="0" w:type="dxa"/>
            <w:vAlign w:val="bottom"/>
          </w:tcPr>
          <w:p>
            <w:pPr>
              <w:spacing w:after="0"/>
              <w:rPr>
                <w:sz w:val="1"/>
                <w:szCs w:val="1"/>
                <w:color w:val="auto"/>
              </w:rPr>
            </w:pPr>
          </w:p>
        </w:tc>
      </w:tr>
      <w:tr>
        <w:trPr>
          <w:trHeight w:val="173"/>
        </w:trPr>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2023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78,978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8,741</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4,094</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57,860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57,565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10,912</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3,121</w:t>
            </w:r>
          </w:p>
        </w:tc>
        <w:tc>
          <w:tcPr>
            <w:tcW w:w="0" w:type="dxa"/>
            <w:vAlign w:val="bottom"/>
          </w:tcPr>
          <w:p>
            <w:pPr>
              <w:spacing w:after="0"/>
              <w:rPr>
                <w:sz w:val="1"/>
                <w:szCs w:val="1"/>
                <w:color w:val="auto"/>
              </w:rPr>
            </w:pPr>
          </w:p>
        </w:tc>
      </w:tr>
      <w:tr>
        <w:trPr>
          <w:trHeight w:val="173"/>
        </w:trPr>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41,862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13,092</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1,078</w:t>
            </w:r>
          </w:p>
        </w:tc>
        <w:tc>
          <w:tcPr>
            <w:tcW w:w="0" w:type="dxa"/>
            <w:vAlign w:val="bottom"/>
          </w:tcPr>
          <w:p>
            <w:pPr>
              <w:spacing w:after="0"/>
              <w:rPr>
                <w:sz w:val="1"/>
                <w:szCs w:val="1"/>
                <w:color w:val="auto"/>
              </w:rPr>
            </w:pPr>
          </w:p>
        </w:tc>
      </w:tr>
      <w:tr>
        <w:trPr>
          <w:trHeight w:val="30"/>
        </w:trPr>
        <w:tc>
          <w:tcPr>
            <w:tcW w:w="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610,939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Lines of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20" w:type="dxa"/>
            <w:vAlign w:val="bottom"/>
            <w:gridSpan w:val="12"/>
          </w:tcPr>
          <w:p>
            <w:pPr>
              <w:ind w:left="100"/>
              <w:spacing w:after="0"/>
              <w:rPr>
                <w:sz w:val="20"/>
                <w:szCs w:val="20"/>
                <w:color w:val="auto"/>
              </w:rPr>
            </w:pPr>
            <w:r>
              <w:rPr>
                <w:rFonts w:ascii="Times New Roman" w:cs="Times New Roman" w:eastAsia="Times New Roman" w:hAnsi="Times New Roman"/>
                <w:sz w:val="16"/>
                <w:szCs w:val="16"/>
                <w:b w:val="1"/>
                <w:bCs w:val="1"/>
                <w:color w:val="auto"/>
              </w:rPr>
              <w:t>Cumulative Paid Loss and Allocated Loss Adjustment Expenses, Net of Reinsurance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rPr>
              <w:t>Six</w:t>
            </w:r>
          </w:p>
        </w:tc>
        <w:tc>
          <w:tcPr>
            <w:tcW w:w="0" w:type="dxa"/>
            <w:vAlign w:val="bottom"/>
          </w:tcPr>
          <w:p>
            <w:pPr>
              <w:spacing w:after="0"/>
              <w:rPr>
                <w:sz w:val="1"/>
                <w:szCs w:val="1"/>
                <w:color w:val="auto"/>
              </w:rPr>
            </w:pPr>
          </w:p>
        </w:tc>
      </w:tr>
      <w:tr>
        <w:trPr>
          <w:trHeight w:val="176"/>
        </w:trPr>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gridSpan w:val="5"/>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center"/>
              <w:ind w:right="99"/>
              <w:spacing w:after="0" w:line="175" w:lineRule="exact"/>
              <w:rPr>
                <w:sz w:val="20"/>
                <w:szCs w:val="20"/>
                <w:color w:val="auto"/>
              </w:rPr>
            </w:pPr>
            <w:r>
              <w:rPr>
                <w:rFonts w:ascii="Times New Roman" w:cs="Times New Roman" w:eastAsia="Times New Roman" w:hAnsi="Times New Roman"/>
                <w:sz w:val="16"/>
                <w:szCs w:val="16"/>
                <w:b w:val="1"/>
                <w:bCs w:val="1"/>
                <w:color w:val="auto"/>
              </w:rPr>
              <w:t>Months Ended</w:t>
            </w:r>
          </w:p>
        </w:tc>
        <w:tc>
          <w:tcPr>
            <w:tcW w:w="0" w:type="dxa"/>
            <w:vAlign w:val="bottom"/>
          </w:tcPr>
          <w:p>
            <w:pPr>
              <w:spacing w:after="0"/>
              <w:rPr>
                <w:sz w:val="1"/>
                <w:szCs w:val="1"/>
                <w:color w:val="auto"/>
              </w:rPr>
            </w:pPr>
          </w:p>
        </w:tc>
      </w:tr>
      <w:tr>
        <w:trPr>
          <w:trHeight w:val="131"/>
        </w:trPr>
        <w:tc>
          <w:tcPr>
            <w:tcW w:w="960" w:type="dxa"/>
            <w:vAlign w:val="bottom"/>
            <w:gridSpan w:val="2"/>
            <w:vMerge w:val="restart"/>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Accident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80" w:type="dxa"/>
            <w:vAlign w:val="bottom"/>
            <w:gridSpan w:val="5"/>
            <w:vMerge w:val="continue"/>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vMerge w:val="restart"/>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33"/>
        </w:trPr>
        <w:tc>
          <w:tcPr>
            <w:tcW w:w="960" w:type="dxa"/>
            <w:vAlign w:val="bottom"/>
            <w:gridSpan w:val="2"/>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200" w:type="dxa"/>
            <w:vAlign w:val="bottom"/>
          </w:tcPr>
          <w:p>
            <w:pPr>
              <w:spacing w:after="0"/>
              <w:rPr>
                <w:sz w:val="21"/>
                <w:szCs w:val="21"/>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60" w:type="dxa"/>
            <w:vAlign w:val="bottom"/>
          </w:tcPr>
          <w:p>
            <w:pPr>
              <w:spacing w:after="0"/>
              <w:rPr>
                <w:sz w:val="21"/>
                <w:szCs w:val="21"/>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260" w:type="dxa"/>
            <w:vAlign w:val="bottom"/>
          </w:tcPr>
          <w:p>
            <w:pPr>
              <w:spacing w:after="0"/>
              <w:rPr>
                <w:sz w:val="21"/>
                <w:szCs w:val="21"/>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20" w:type="dxa"/>
            <w:vAlign w:val="bottom"/>
          </w:tcPr>
          <w:p>
            <w:pPr>
              <w:spacing w:after="0"/>
              <w:rPr>
                <w:sz w:val="21"/>
                <w:szCs w:val="21"/>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Pr>
          <w:p>
            <w:pPr>
              <w:spacing w:after="0"/>
              <w:rPr>
                <w:sz w:val="21"/>
                <w:szCs w:val="21"/>
                <w:color w:val="auto"/>
              </w:rPr>
            </w:pPr>
          </w:p>
        </w:tc>
        <w:tc>
          <w:tcPr>
            <w:tcW w:w="7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60" w:type="dxa"/>
            <w:vAlign w:val="bottom"/>
          </w:tcPr>
          <w:p>
            <w:pPr>
              <w:spacing w:after="0"/>
              <w:rPr>
                <w:sz w:val="21"/>
                <w:szCs w:val="21"/>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21"/>
                <w:szCs w:val="21"/>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21"/>
                <w:szCs w:val="21"/>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Pr>
          <w:p>
            <w:pPr>
              <w:spacing w:after="0"/>
              <w:rPr>
                <w:sz w:val="21"/>
                <w:szCs w:val="21"/>
                <w:color w:val="auto"/>
              </w:rPr>
            </w:pPr>
          </w:p>
        </w:tc>
        <w:tc>
          <w:tcPr>
            <w:tcW w:w="6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2"/>
        </w:trPr>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5"/>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(Unaudited 2015 - 2024)</w:t>
            </w: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0" w:type="dxa"/>
            <w:vAlign w:val="bottom"/>
          </w:tcPr>
          <w:p>
            <w:pPr>
              <w:spacing w:after="0"/>
              <w:rPr>
                <w:sz w:val="1"/>
                <w:szCs w:val="1"/>
                <w:color w:val="auto"/>
              </w:rPr>
            </w:pPr>
          </w:p>
        </w:tc>
      </w:tr>
      <w:tr>
        <w:trPr>
          <w:trHeight w:val="31"/>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19,001</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21,106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25,234</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25,750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26,382</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26,854</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26,876</w:t>
            </w:r>
          </w:p>
        </w:tc>
        <w:tc>
          <w:tcPr>
            <w:tcW w:w="0" w:type="dxa"/>
            <w:vAlign w:val="bottom"/>
          </w:tcPr>
          <w:p>
            <w:pPr>
              <w:spacing w:after="0"/>
              <w:rPr>
                <w:sz w:val="1"/>
                <w:szCs w:val="1"/>
                <w:color w:val="auto"/>
              </w:rPr>
            </w:pPr>
          </w:p>
        </w:tc>
      </w:tr>
      <w:tr>
        <w:trPr>
          <w:trHeight w:val="21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16,704</w:t>
            </w: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24,820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28,693</w:t>
            </w: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31,393</w:t>
            </w:r>
          </w:p>
        </w:tc>
        <w:tc>
          <w:tcPr>
            <w:tcW w:w="260" w:type="dxa"/>
            <w:vAlign w:val="bottom"/>
          </w:tcPr>
          <w:p>
            <w:pPr>
              <w:spacing w:after="0"/>
              <w:rPr>
                <w:sz w:val="18"/>
                <w:szCs w:val="18"/>
                <w:color w:val="auto"/>
              </w:rPr>
            </w:pPr>
          </w:p>
        </w:tc>
        <w:tc>
          <w:tcPr>
            <w:tcW w:w="7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32,529</w:t>
            </w: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33,522</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34,683</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35,246</w:t>
            </w:r>
          </w:p>
        </w:tc>
        <w:tc>
          <w:tcPr>
            <w:tcW w:w="0" w:type="dxa"/>
            <w:vAlign w:val="bottom"/>
          </w:tcPr>
          <w:p>
            <w:pPr>
              <w:spacing w:after="0"/>
              <w:rPr>
                <w:sz w:val="1"/>
                <w:szCs w:val="1"/>
                <w:color w:val="auto"/>
              </w:rPr>
            </w:pPr>
          </w:p>
        </w:tc>
      </w:tr>
      <w:tr>
        <w:trPr>
          <w:trHeight w:val="3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32,383</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44,516</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50,553</w:t>
            </w: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52,025</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54,424</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56,199</w:t>
            </w:r>
          </w:p>
        </w:tc>
        <w:tc>
          <w:tcPr>
            <w:tcW w:w="3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57,185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57,651</w:t>
            </w:r>
          </w:p>
        </w:tc>
        <w:tc>
          <w:tcPr>
            <w:tcW w:w="0" w:type="dxa"/>
            <w:vAlign w:val="bottom"/>
          </w:tcPr>
          <w:p>
            <w:pPr>
              <w:spacing w:after="0"/>
              <w:rPr>
                <w:sz w:val="1"/>
                <w:szCs w:val="1"/>
                <w:color w:val="auto"/>
              </w:rPr>
            </w:pPr>
          </w:p>
        </w:tc>
      </w:tr>
      <w:tr>
        <w:trPr>
          <w:trHeight w:val="21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40,933</w:t>
            </w: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54,897</w:t>
            </w:r>
          </w:p>
        </w:tc>
        <w:tc>
          <w:tcPr>
            <w:tcW w:w="260" w:type="dxa"/>
            <w:vAlign w:val="bottom"/>
          </w:tcPr>
          <w:p>
            <w:pPr>
              <w:spacing w:after="0"/>
              <w:rPr>
                <w:sz w:val="18"/>
                <w:szCs w:val="18"/>
                <w:color w:val="auto"/>
              </w:rPr>
            </w:pPr>
          </w:p>
        </w:tc>
        <w:tc>
          <w:tcPr>
            <w:tcW w:w="7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58,055</w:t>
            </w: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60,374</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63,932</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68,029</w:t>
            </w:r>
          </w:p>
        </w:tc>
        <w:tc>
          <w:tcPr>
            <w:tcW w:w="0" w:type="dxa"/>
            <w:vAlign w:val="bottom"/>
          </w:tcPr>
          <w:p>
            <w:pPr>
              <w:spacing w:after="0"/>
              <w:rPr>
                <w:sz w:val="1"/>
                <w:szCs w:val="1"/>
                <w:color w:val="auto"/>
              </w:rPr>
            </w:pPr>
          </w:p>
        </w:tc>
      </w:tr>
      <w:tr>
        <w:trPr>
          <w:trHeight w:val="3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39,045</w:t>
            </w: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50,719</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53,432</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56,523</w:t>
            </w:r>
          </w:p>
        </w:tc>
        <w:tc>
          <w:tcPr>
            <w:tcW w:w="3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60,345</w:t>
            </w:r>
          </w:p>
        </w:tc>
        <w:tc>
          <w:tcPr>
            <w:tcW w:w="0" w:type="dxa"/>
            <w:vAlign w:val="bottom"/>
          </w:tcPr>
          <w:p>
            <w:pPr>
              <w:spacing w:after="0"/>
              <w:rPr>
                <w:sz w:val="1"/>
                <w:szCs w:val="1"/>
                <w:color w:val="auto"/>
              </w:rPr>
            </w:pPr>
          </w:p>
        </w:tc>
      </w:tr>
      <w:tr>
        <w:trPr>
          <w:trHeight w:val="21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56,282</w:t>
            </w: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77,756</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82,317</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88,229</w:t>
            </w:r>
          </w:p>
        </w:tc>
        <w:tc>
          <w:tcPr>
            <w:tcW w:w="0" w:type="dxa"/>
            <w:vAlign w:val="bottom"/>
          </w:tcPr>
          <w:p>
            <w:pPr>
              <w:spacing w:after="0"/>
              <w:rPr>
                <w:sz w:val="1"/>
                <w:szCs w:val="1"/>
                <w:color w:val="auto"/>
              </w:rPr>
            </w:pPr>
          </w:p>
        </w:tc>
      </w:tr>
      <w:tr>
        <w:trPr>
          <w:trHeight w:val="3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45,856</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65,732</w:t>
            </w:r>
          </w:p>
        </w:tc>
        <w:tc>
          <w:tcPr>
            <w:tcW w:w="3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68,170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68,923</w:t>
            </w:r>
          </w:p>
        </w:tc>
        <w:tc>
          <w:tcPr>
            <w:tcW w:w="0" w:type="dxa"/>
            <w:vAlign w:val="bottom"/>
          </w:tcPr>
          <w:p>
            <w:pPr>
              <w:spacing w:after="0"/>
              <w:rPr>
                <w:sz w:val="1"/>
                <w:szCs w:val="1"/>
                <w:color w:val="auto"/>
              </w:rPr>
            </w:pPr>
          </w:p>
        </w:tc>
      </w:tr>
      <w:tr>
        <w:trPr>
          <w:trHeight w:val="21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46,280</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58,221</w:t>
            </w:r>
          </w:p>
        </w:tc>
        <w:tc>
          <w:tcPr>
            <w:tcW w:w="0" w:type="dxa"/>
            <w:vAlign w:val="bottom"/>
          </w:tcPr>
          <w:p>
            <w:pPr>
              <w:spacing w:after="0"/>
              <w:rPr>
                <w:sz w:val="1"/>
                <w:szCs w:val="1"/>
                <w:color w:val="auto"/>
              </w:rPr>
            </w:pPr>
          </w:p>
        </w:tc>
      </w:tr>
      <w:tr>
        <w:trPr>
          <w:trHeight w:val="3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37,967</w:t>
            </w:r>
          </w:p>
        </w:tc>
        <w:tc>
          <w:tcPr>
            <w:tcW w:w="0" w:type="dxa"/>
            <w:vAlign w:val="bottom"/>
          </w:tcPr>
          <w:p>
            <w:pPr>
              <w:spacing w:after="0"/>
              <w:rPr>
                <w:sz w:val="1"/>
                <w:szCs w:val="1"/>
                <w:color w:val="auto"/>
              </w:rPr>
            </w:pPr>
          </w:p>
        </w:tc>
      </w:tr>
      <w:tr>
        <w:trPr>
          <w:trHeight w:val="21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16,519</w:t>
            </w:r>
          </w:p>
        </w:tc>
        <w:tc>
          <w:tcPr>
            <w:tcW w:w="0" w:type="dxa"/>
            <w:vAlign w:val="bottom"/>
          </w:tcPr>
          <w:p>
            <w:pPr>
              <w:spacing w:after="0"/>
              <w:rPr>
                <w:sz w:val="1"/>
                <w:szCs w:val="1"/>
                <w:color w:val="auto"/>
              </w:rPr>
            </w:pPr>
          </w:p>
        </w:tc>
      </w:tr>
      <w:tr>
        <w:trPr>
          <w:trHeight w:val="33"/>
        </w:trPr>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518,007</w:t>
            </w: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640" w:type="dxa"/>
            <w:vAlign w:val="bottom"/>
            <w:tcBorders>
              <w:bottom w:val="single" w:sz="8" w:color="CCEEFF"/>
            </w:tcBorders>
            <w:gridSpan w:val="14"/>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Net liability for unpaid loss and allocated loss adjustment expenses for the accident years presented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92,932</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980" w:type="dxa"/>
            <w:vAlign w:val="bottom"/>
            <w:gridSpan w:val="9"/>
          </w:tcPr>
          <w:p>
            <w:pPr>
              <w:jc w:val="right"/>
              <w:ind w:right="120"/>
              <w:spacing w:after="0"/>
              <w:rPr>
                <w:sz w:val="20"/>
                <w:szCs w:val="20"/>
                <w:color w:val="auto"/>
              </w:rPr>
            </w:pPr>
            <w:r>
              <w:rPr>
                <w:rFonts w:ascii="Times New Roman" w:cs="Times New Roman" w:eastAsia="Times New Roman" w:hAnsi="Times New Roman"/>
                <w:sz w:val="16"/>
                <w:szCs w:val="16"/>
                <w:color w:val="auto"/>
              </w:rPr>
              <w:t>All outstanding liabilities before 2016, net of reinsurance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0" w:type="dxa"/>
            <w:vAlign w:val="bottom"/>
          </w:tcPr>
          <w:p>
            <w:pPr>
              <w:spacing w:after="0"/>
              <w:rPr>
                <w:sz w:val="1"/>
                <w:szCs w:val="1"/>
                <w:color w:val="auto"/>
              </w:rPr>
            </w:pPr>
          </w:p>
        </w:tc>
      </w:tr>
      <w:tr>
        <w:trPr>
          <w:trHeight w:val="33"/>
        </w:trPr>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gridSpan w:val="11"/>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gridSpan w:val="1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Liabilities for loss and allocated loss adjustment expenses, net of reinsurance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94,501</w:t>
            </w: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may not sum to totals due to rounding)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 of the net incurred and paid loss development tables to the loss and LAE reserves in the condensed consolidated balance sheet is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the Disclosure of Incurred and Paid Loss Development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Liability for Loss and LAE Reserves</w:t>
      </w:r>
    </w:p>
    <w:p>
      <w:pPr>
        <w:spacing w:after="0" w:line="257"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8"/>
                <w:szCs w:val="18"/>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8"/>
        </w:trPr>
        <w:tc>
          <w:tcPr>
            <w:tcW w:w="79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0" w:type="dxa"/>
            <w:vAlign w:val="bottom"/>
          </w:tcPr>
          <w:p>
            <w:pPr>
              <w:spacing w:after="0"/>
              <w:rPr>
                <w:sz w:val="1"/>
                <w:szCs w:val="1"/>
                <w:color w:val="auto"/>
              </w:rPr>
            </w:pPr>
          </w:p>
        </w:tc>
      </w:tr>
      <w:tr>
        <w:trPr>
          <w:trHeight w:val="25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for allocated loss and loss adjustment expenses, net of reinsurance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94,501</w:t>
            </w:r>
          </w:p>
        </w:tc>
        <w:tc>
          <w:tcPr>
            <w:tcW w:w="0" w:type="dxa"/>
            <w:vAlign w:val="bottom"/>
          </w:tcPr>
          <w:p>
            <w:pPr>
              <w:spacing w:after="0"/>
              <w:rPr>
                <w:sz w:val="1"/>
                <w:szCs w:val="1"/>
                <w:color w:val="auto"/>
              </w:rPr>
            </w:pPr>
          </w:p>
        </w:tc>
      </w:tr>
      <w:tr>
        <w:trPr>
          <w:trHeight w:val="25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reinsurance recoverable on unpaid losses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32,808</w:t>
            </w:r>
          </w:p>
        </w:tc>
        <w:tc>
          <w:tcPr>
            <w:tcW w:w="0" w:type="dxa"/>
            <w:vAlign w:val="bottom"/>
          </w:tcPr>
          <w:p>
            <w:pPr>
              <w:spacing w:after="0"/>
              <w:rPr>
                <w:sz w:val="1"/>
                <w:szCs w:val="1"/>
                <w:color w:val="auto"/>
              </w:rPr>
            </w:pPr>
          </w:p>
        </w:tc>
      </w:tr>
      <w:tr>
        <w:trPr>
          <w:trHeight w:val="26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loss adjustment expenses</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liability for loss and LAE reserves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133,927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Reinsurance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 2024, the Company entered into a 27% quota share reinsurance treaty for its personal lines business, which primarily consisted of homeowners’ and dwelling fire policies covering the period from January 1, 2024 through January 1, 2025 (“2024/2025 Treaty”). Upon the expiration of the 2024/2025 Treaty on January 1, 2025, the Company entered into a new 16% quota share reinsurance treaty for its personal lines business, covering the period from January 1, 2025 through January 1, 2026 (“2025/2026 Treaty”).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excess of loss and catastrophe reinsurance treaties expired on June 30, 2025 and the Company entered into new excess of loss and catastrophe reinsurance treaties effective July 1, 2025. Effective January 1, 2024, the Company renewed an underlying excess of loss reinsurance treaty (“Underlying XOL Treaty”) covering the period from January 1, 2024 through January 1, 2025. The treaty provided 50% reinsurance coverage for losses of $400,000 in excess of $600,000. Losses from named storms are excluded from the treaty. Effective January 1, 2025, the Underlying XOL Treaty was renewed covering the period from January 1, 2025 through June 30, 2025. Effective July 1, 2025, the Underlying XOL Treaty was renewed along with the Company's excess of loss reinsurance treaty covering the period from July 1, 2025 through June 30, 2026. Combined, the renewed treaties provide 50% reinsurance coverage for losses of $250,000 in excess of $750,000, and 100% reinsurance coverage for losses in excess of $1,000,000 up to $9,000,000 together with facultative coverage. For the period October 1, 2024 through April 30, 2025, the Company purchased catastrophe reinsurance which provides coverage for winter storm losses to the extent of 71% of $4,500,000 in excess of $5,500,000. Material terms for reinsurance treaties in effect for the treaty years shown below are as follows (see Note 15 - Subsequent Events, Reinsurance):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Treaty Period</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2025/2026 Treaty</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2024/2025 Treaty</w:t>
            </w:r>
          </w:p>
        </w:tc>
        <w:tc>
          <w:tcPr>
            <w:tcW w:w="10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January 2,</w:t>
            </w:r>
          </w:p>
        </w:tc>
        <w:tc>
          <w:tcPr>
            <w:tcW w:w="200" w:type="dxa"/>
            <w:vAlign w:val="bottom"/>
          </w:tcPr>
          <w:p>
            <w:pPr>
              <w:spacing w:after="0"/>
              <w:rPr>
                <w:sz w:val="17"/>
                <w:szCs w:val="17"/>
                <w:color w:val="auto"/>
              </w:rPr>
            </w:pPr>
          </w:p>
        </w:tc>
        <w:tc>
          <w:tcPr>
            <w:tcW w:w="126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July 1,</w:t>
            </w:r>
          </w:p>
        </w:tc>
        <w:tc>
          <w:tcPr>
            <w:tcW w:w="160" w:type="dxa"/>
            <w:vAlign w:val="bottom"/>
          </w:tcPr>
          <w:p>
            <w:pPr>
              <w:spacing w:after="0"/>
              <w:rPr>
                <w:sz w:val="17"/>
                <w:szCs w:val="17"/>
                <w:color w:val="auto"/>
              </w:rPr>
            </w:pPr>
          </w:p>
        </w:tc>
        <w:tc>
          <w:tcPr>
            <w:tcW w:w="1280" w:type="dxa"/>
            <w:vAlign w:val="bottom"/>
            <w:gridSpan w:val="2"/>
          </w:tcPr>
          <w:p>
            <w:pPr>
              <w:jc w:val="center"/>
              <w:ind w:right="3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January 2,</w:t>
            </w:r>
          </w:p>
        </w:tc>
        <w:tc>
          <w:tcPr>
            <w:tcW w:w="180" w:type="dxa"/>
            <w:vAlign w:val="bottom"/>
          </w:tcPr>
          <w:p>
            <w:pPr>
              <w:spacing w:after="0"/>
              <w:rPr>
                <w:sz w:val="17"/>
                <w:szCs w:val="17"/>
                <w:color w:val="auto"/>
              </w:rPr>
            </w:pPr>
          </w:p>
        </w:tc>
        <w:tc>
          <w:tcPr>
            <w:tcW w:w="126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7"/>
              </w:rPr>
              <w:t>July 1,</w:t>
            </w:r>
          </w:p>
        </w:tc>
        <w:tc>
          <w:tcPr>
            <w:tcW w:w="120" w:type="dxa"/>
            <w:vAlign w:val="bottom"/>
          </w:tcPr>
          <w:p>
            <w:pPr>
              <w:spacing w:after="0"/>
              <w:rPr>
                <w:sz w:val="17"/>
                <w:szCs w:val="17"/>
                <w:color w:val="auto"/>
              </w:rPr>
            </w:pPr>
          </w:p>
        </w:tc>
        <w:tc>
          <w:tcPr>
            <w:tcW w:w="1360" w:type="dxa"/>
            <w:vAlign w:val="bottom"/>
            <w:gridSpan w:val="2"/>
          </w:tcPr>
          <w:p>
            <w:pPr>
              <w:jc w:val="center"/>
              <w:ind w:right="2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January 1,</w:t>
            </w: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31"/>
              <w:spacing w:after="0" w:line="202" w:lineRule="exact"/>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51"/>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91"/>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111"/>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11"/>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to</w:t>
            </w:r>
          </w:p>
        </w:tc>
        <w:tc>
          <w:tcPr>
            <w:tcW w:w="2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to</w:t>
            </w:r>
          </w:p>
        </w:tc>
        <w:tc>
          <w:tcPr>
            <w:tcW w:w="16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1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1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to</w:t>
            </w: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00" w:type="dxa"/>
            <w:vAlign w:val="bottom"/>
          </w:tcPr>
          <w:p>
            <w:pPr>
              <w:spacing w:after="0"/>
              <w:rPr>
                <w:sz w:val="17"/>
                <w:szCs w:val="17"/>
                <w:color w:val="auto"/>
              </w:rPr>
            </w:pPr>
          </w:p>
        </w:tc>
        <w:tc>
          <w:tcPr>
            <w:tcW w:w="126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160" w:type="dxa"/>
            <w:vAlign w:val="bottom"/>
          </w:tcPr>
          <w:p>
            <w:pPr>
              <w:spacing w:after="0"/>
              <w:rPr>
                <w:sz w:val="17"/>
                <w:szCs w:val="17"/>
                <w:color w:val="auto"/>
              </w:rPr>
            </w:pPr>
          </w:p>
        </w:tc>
        <w:tc>
          <w:tcPr>
            <w:tcW w:w="128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120" w:type="dxa"/>
            <w:vAlign w:val="bottom"/>
          </w:tcPr>
          <w:p>
            <w:pPr>
              <w:spacing w:after="0"/>
              <w:rPr>
                <w:sz w:val="17"/>
                <w:szCs w:val="17"/>
                <w:color w:val="auto"/>
              </w:rPr>
            </w:pPr>
          </w:p>
        </w:tc>
        <w:tc>
          <w:tcPr>
            <w:tcW w:w="136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Line of Business</w:t>
            </w:r>
          </w:p>
        </w:tc>
        <w:tc>
          <w:tcPr>
            <w:tcW w:w="3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Homeowners, dwelling fire</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w:t>
            </w: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canine legal liability</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20" w:type="dxa"/>
            <w:vAlign w:val="bottom"/>
          </w:tcPr>
          <w:p>
            <w:pPr>
              <w:spacing w:after="0"/>
              <w:rPr>
                <w:sz w:val="22"/>
                <w:szCs w:val="22"/>
                <w:color w:val="auto"/>
              </w:rPr>
            </w:pPr>
          </w:p>
        </w:tc>
        <w:tc>
          <w:tcPr>
            <w:tcW w:w="22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Quota share treaty:</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Percent ceded (6)</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Risk retained on initial</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20" w:type="dxa"/>
            <w:vAlign w:val="bottom"/>
            <w:shd w:val="clear" w:color="auto" w:fill="CCEEFF"/>
          </w:tcPr>
          <w:p>
            <w:pPr>
              <w:spacing w:after="0"/>
              <w:rPr>
                <w:sz w:val="18"/>
                <w:szCs w:val="18"/>
                <w:color w:val="auto"/>
              </w:rPr>
            </w:pPr>
          </w:p>
        </w:tc>
        <w:tc>
          <w:tcPr>
            <w:tcW w:w="2740" w:type="dxa"/>
            <w:vAlign w:val="bottom"/>
            <w:gridSpan w:val="6"/>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$1,000,000 of losses (4) (5)</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7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840,000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840,000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730,000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730,000</w:t>
            </w:r>
          </w:p>
        </w:tc>
        <w:tc>
          <w:tcPr>
            <w:tcW w:w="100" w:type="dxa"/>
            <w:vAlign w:val="bottom"/>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2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Losses per occurrence</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subject to quota share</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reinsurance coverage</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Expiration date</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January 1, 2026</w:t>
            </w:r>
          </w:p>
        </w:tc>
        <w:tc>
          <w:tcPr>
            <w:tcW w:w="144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January 1, 2026</w:t>
            </w:r>
          </w:p>
        </w:tc>
        <w:tc>
          <w:tcPr>
            <w:tcW w:w="14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January 1, 2025</w:t>
            </w:r>
          </w:p>
        </w:tc>
        <w:tc>
          <w:tcPr>
            <w:tcW w:w="1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2025</w:t>
            </w:r>
          </w:p>
        </w:tc>
      </w:tr>
      <w:tr>
        <w:trPr>
          <w:trHeight w:val="250"/>
        </w:trPr>
        <w:tc>
          <w:tcPr>
            <w:tcW w:w="20" w:type="dxa"/>
            <w:vAlign w:val="bottom"/>
          </w:tcPr>
          <w:p>
            <w:pPr>
              <w:spacing w:after="0"/>
              <w:rPr>
                <w:sz w:val="21"/>
                <w:szCs w:val="21"/>
                <w:color w:val="auto"/>
              </w:rPr>
            </w:pPr>
          </w:p>
        </w:tc>
        <w:tc>
          <w:tcPr>
            <w:tcW w:w="22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Excess of loss coverage and</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facultative facility</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coverage (1) (4) (5)</w:t>
            </w:r>
          </w:p>
        </w:tc>
        <w:tc>
          <w:tcPr>
            <w:tcW w:w="5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8,250,000</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8,250,000</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8,400,000</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8,400,000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8,400,000</w:t>
            </w:r>
          </w:p>
        </w:tc>
        <w:tc>
          <w:tcPr>
            <w:tcW w:w="10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excess of</w:t>
            </w:r>
          </w:p>
        </w:tc>
        <w:tc>
          <w:tcPr>
            <w:tcW w:w="1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excess of</w:t>
            </w:r>
          </w:p>
        </w:tc>
        <w:tc>
          <w:tcPr>
            <w:tcW w:w="1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excess of</w:t>
            </w:r>
          </w:p>
        </w:tc>
        <w:tc>
          <w:tcPr>
            <w:tcW w:w="1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excess of</w:t>
            </w:r>
          </w:p>
        </w:tc>
        <w:tc>
          <w:tcPr>
            <w:tcW w:w="1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excess of</w:t>
            </w:r>
          </w:p>
        </w:tc>
      </w:tr>
      <w:tr>
        <w:trPr>
          <w:trHeight w:val="250"/>
        </w:trPr>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reinsurance coverage</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per occurrence (4) (5)</w:t>
            </w:r>
          </w:p>
        </w:tc>
        <w:tc>
          <w:tcPr>
            <w:tcW w:w="5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8,125,000</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8,285,000</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8,360,000</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8,470,000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8,470,000</w:t>
            </w:r>
          </w:p>
        </w:tc>
        <w:tc>
          <w:tcPr>
            <w:tcW w:w="10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Losses per occurrence</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subject to reinsurance</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coverage (5)</w:t>
            </w:r>
          </w:p>
        </w:tc>
        <w:tc>
          <w:tcPr>
            <w:tcW w:w="52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9,000,000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9,000,000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9,000,000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9,000,000</w:t>
            </w:r>
          </w:p>
        </w:tc>
        <w:tc>
          <w:tcPr>
            <w:tcW w:w="10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Expiration date</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2026</w:t>
            </w:r>
          </w:p>
        </w:tc>
        <w:tc>
          <w:tcPr>
            <w:tcW w:w="200" w:type="dxa"/>
            <w:vAlign w:val="bottom"/>
          </w:tcPr>
          <w:p>
            <w:pPr>
              <w:spacing w:after="0"/>
              <w:rPr>
                <w:sz w:val="21"/>
                <w:szCs w:val="21"/>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30, 2026</w:t>
            </w:r>
          </w:p>
        </w:tc>
        <w:tc>
          <w:tcPr>
            <w:tcW w:w="16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June 30, 2025</w:t>
            </w:r>
          </w:p>
        </w:tc>
        <w:tc>
          <w:tcPr>
            <w:tcW w:w="180" w:type="dxa"/>
            <w:vAlign w:val="bottom"/>
          </w:tcPr>
          <w:p>
            <w:pPr>
              <w:spacing w:after="0"/>
              <w:rPr>
                <w:sz w:val="21"/>
                <w:szCs w:val="21"/>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Pr>
          <w:p>
            <w:pPr>
              <w:spacing w:after="0"/>
              <w:rPr>
                <w:sz w:val="21"/>
                <w:szCs w:val="21"/>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June 30, 2024</w:t>
            </w:r>
          </w:p>
        </w:tc>
      </w:tr>
      <w:tr>
        <w:trPr>
          <w:trHeight w:val="277"/>
        </w:trPr>
        <w:tc>
          <w:tcPr>
            <w:tcW w:w="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2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Catastrophe Reinsurance: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274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Initial loss subject to personal</w:t>
            </w: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8"/>
              </w:rPr>
              <w:t>lines quota share treaty (5)</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74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 retained per catastrophe</w:t>
            </w: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occurrence (5) (6) (7) (8)</w:t>
            </w:r>
          </w:p>
        </w:tc>
        <w:tc>
          <w:tcPr>
            <w:tcW w:w="5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4,250,000</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4,750,000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9,500,000</w:t>
            </w:r>
          </w:p>
        </w:tc>
        <w:tc>
          <w:tcPr>
            <w:tcW w:w="10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Catastrophe loss</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22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coverage (2) (5) (8)</w:t>
            </w:r>
          </w:p>
        </w:tc>
        <w:tc>
          <w:tcPr>
            <w:tcW w:w="5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434,000,000</w:t>
            </w:r>
          </w:p>
        </w:tc>
        <w:tc>
          <w:tcPr>
            <w:tcW w:w="8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6"/>
                <w:szCs w:val="16"/>
                <w:color w:val="auto"/>
              </w:rPr>
              <w:t>435,000,000</w:t>
            </w:r>
          </w:p>
        </w:tc>
        <w:tc>
          <w:tcPr>
            <w:tcW w:w="10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6"/>
                <w:szCs w:val="16"/>
                <w:color w:val="auto"/>
              </w:rPr>
              <w:t>275,000,000</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6"/>
                <w:szCs w:val="16"/>
                <w:color w:val="auto"/>
              </w:rPr>
              <w:t>275,000,000</w:t>
            </w:r>
          </w:p>
        </w:tc>
        <w:tc>
          <w:tcPr>
            <w:tcW w:w="1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6"/>
                <w:szCs w:val="16"/>
                <w:color w:val="auto"/>
              </w:rPr>
              <w:t>315,000,000</w:t>
            </w:r>
          </w:p>
        </w:tc>
        <w:tc>
          <w:tcPr>
            <w:tcW w:w="100" w:type="dxa"/>
            <w:vAlign w:val="bottom"/>
            <w:shd w:val="clear" w:color="auto" w:fill="CCEEFF"/>
          </w:tcPr>
          <w:p>
            <w:pPr>
              <w:spacing w:after="0"/>
              <w:rPr>
                <w:sz w:val="22"/>
                <w:szCs w:val="22"/>
                <w:color w:val="auto"/>
              </w:rPr>
            </w:pPr>
          </w:p>
        </w:tc>
      </w:tr>
      <w:tr>
        <w:trPr>
          <w:trHeight w:val="270"/>
        </w:trPr>
        <w:tc>
          <w:tcPr>
            <w:tcW w:w="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22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Reinstatement premium</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6"/>
        </w:trPr>
        <w:tc>
          <w:tcPr>
            <w:tcW w:w="20" w:type="dxa"/>
            <w:vAlign w:val="bottom"/>
            <w:shd w:val="clear" w:color="auto" w:fill="CCEEFF"/>
          </w:tcPr>
          <w:p>
            <w:pPr>
              <w:spacing w:after="0"/>
              <w:rPr>
                <w:sz w:val="22"/>
                <w:szCs w:val="22"/>
                <w:color w:val="auto"/>
              </w:rPr>
            </w:pPr>
          </w:p>
        </w:tc>
        <w:tc>
          <w:tcPr>
            <w:tcW w:w="22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protection (3)</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2"/>
              </w:rPr>
              <w:t>Yes</w:t>
            </w: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2"/>
              </w:rPr>
              <w:t>Yes</w:t>
            </w: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2"/>
              </w:rPr>
              <w:t>Yes</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2"/>
              </w:rPr>
              <w:t>Yes</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w w:val="92"/>
              </w:rPr>
              <w:t>Yes</w:t>
            </w:r>
          </w:p>
        </w:tc>
        <w:tc>
          <w:tcPr>
            <w:tcW w:w="1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2040" w:right="220" w:hanging="1222"/>
        <w:spacing w:after="0" w:line="257" w:lineRule="auto"/>
        <w:tabs>
          <w:tab w:leader="none" w:pos="20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personal lines, includes the addition of an automatic facultative facility allowing KICO to obtain homeowners single risk coverage up to $9,000,000 in total insured value, which covers direct losses from $3,500,000 to $9,000,000 through June 30, 2025.</w:t>
      </w:r>
    </w:p>
    <w:p>
      <w:pPr>
        <w:spacing w:after="0" w:line="1" w:lineRule="exact"/>
        <w:rPr>
          <w:rFonts w:ascii="Times New Roman" w:cs="Times New Roman" w:eastAsia="Times New Roman" w:hAnsi="Times New Roman"/>
          <w:sz w:val="18"/>
          <w:szCs w:val="18"/>
          <w:color w:val="auto"/>
        </w:rPr>
      </w:pPr>
    </w:p>
    <w:p>
      <w:pPr>
        <w:jc w:val="both"/>
        <w:ind w:left="2040" w:right="60" w:hanging="1222"/>
        <w:spacing w:after="0" w:line="250" w:lineRule="auto"/>
        <w:tabs>
          <w:tab w:leader="none" w:pos="20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Catastrophe coverage is limited on an annual basis to two times the per occurrence amounts, except for one occurrence on 80% of the first layer of $5,000,000 in excess of $5,000,000, and one occurrence on 52% of the top layer of $240,000,000 in excess of $200,000,000, which is covered under the catastrophe bond. Duration of 168 consecutive hours for a catastrophe occurrence from windstorm, hail, tornado, hurricane and cyclone.</w:t>
      </w:r>
    </w:p>
    <w:p>
      <w:pPr>
        <w:spacing w:after="0" w:line="1" w:lineRule="exact"/>
        <w:rPr>
          <w:rFonts w:ascii="Times New Roman" w:cs="Times New Roman" w:eastAsia="Times New Roman" w:hAnsi="Times New Roman"/>
          <w:sz w:val="18"/>
          <w:szCs w:val="18"/>
          <w:color w:val="auto"/>
        </w:rPr>
      </w:pPr>
    </w:p>
    <w:p>
      <w:pPr>
        <w:ind w:left="2040" w:right="340" w:hanging="1222"/>
        <w:spacing w:after="0" w:line="250" w:lineRule="auto"/>
        <w:tabs>
          <w:tab w:leader="none" w:pos="20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July 1, 2024 through June 30, 2025 (expiration date of the catastrophe reinsurance treaty), reinstatement premium protection for $50,000,000 of catastrophe coverage in excess of $10,000,000. For the period July 1, 2025 through June 30, 2026 (expiration date of the catastrophe reinsurance treaty), reinstatement premium protection for $50,000,000 of catastrophe coverage in excess of $10,000,000.</w:t>
      </w:r>
    </w:p>
    <w:p>
      <w:pPr>
        <w:spacing w:after="0" w:line="1" w:lineRule="exact"/>
        <w:rPr>
          <w:rFonts w:ascii="Times New Roman" w:cs="Times New Roman" w:eastAsia="Times New Roman" w:hAnsi="Times New Roman"/>
          <w:sz w:val="18"/>
          <w:szCs w:val="18"/>
          <w:color w:val="auto"/>
        </w:rPr>
      </w:pPr>
    </w:p>
    <w:p>
      <w:pPr>
        <w:ind w:left="2040" w:right="20" w:hanging="1222"/>
        <w:spacing w:after="0" w:line="250" w:lineRule="auto"/>
        <w:tabs>
          <w:tab w:leader="none" w:pos="20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January 1, 2024 through June 30, 2025, the Underlying XOL Treaty provides 50% reinsurance coverage for losses of $400,000 in excess of $600,000. Excludes losses from named storms. Reduces retention to $530,000 from $730,000 under the 2024/2025 Treaty. Retention increases to $640,000 from $530,000 under the 2025/2026 Treaty. For the period July 1, 2025 through June 30, 2026, the Underlying XOL Treaty combined with the excess of loss treaty provide 50% reinsurance coverage for losses of $250,000 in excess of $750,000, and 100% reinsurance coverage for losses in excess of $1,000,000 up to $9,000,000 together with facultative coverage. Increased retention to $715,000 from $640,000 under the 2025/2026 Treaty (see note 5 below).</w:t>
      </w:r>
    </w:p>
    <w:p>
      <w:pPr>
        <w:spacing w:after="0" w:line="2" w:lineRule="exact"/>
        <w:rPr>
          <w:rFonts w:ascii="Times New Roman" w:cs="Times New Roman" w:eastAsia="Times New Roman" w:hAnsi="Times New Roman"/>
          <w:sz w:val="18"/>
          <w:szCs w:val="18"/>
          <w:color w:val="auto"/>
        </w:rPr>
      </w:pPr>
    </w:p>
    <w:p>
      <w:pPr>
        <w:ind w:left="2040" w:hanging="1222"/>
        <w:spacing w:after="0" w:line="250" w:lineRule="auto"/>
        <w:tabs>
          <w:tab w:leader="none" w:pos="20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personal lines quota share treaty (homeowners, dwelling fire and canine liability) will expire on January 1, 2026, with none of these coverages to be in effect during the period from January 2, 2026 through June 30, 2026. If and when this treaty is renewed on January 2, 2026, the personal lines quota share treaty, will be as provided for therein. Reinsurance coverage in effect from January 2, 2026 through June 30, 2026 is only for excess of loss, Underlying XOL, and catastrophe reinsurance treaties.</w:t>
      </w:r>
    </w:p>
    <w:p>
      <w:pPr>
        <w:spacing w:after="0" w:line="1" w:lineRule="exact"/>
        <w:rPr>
          <w:rFonts w:ascii="Times New Roman" w:cs="Times New Roman" w:eastAsia="Times New Roman" w:hAnsi="Times New Roman"/>
          <w:sz w:val="18"/>
          <w:szCs w:val="18"/>
          <w:color w:val="auto"/>
        </w:rPr>
      </w:pPr>
    </w:p>
    <w:p>
      <w:pPr>
        <w:ind w:left="2040" w:right="80" w:hanging="1222"/>
        <w:spacing w:after="0" w:line="265" w:lineRule="auto"/>
        <w:tabs>
          <w:tab w:leader="none" w:pos="203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2024/2025 Treaty, 22% of the 27% total of losses ceded under this treaty are excluded from a named catastrophe event. For the 2025/2026 Treaty, 6% of the 16% total of losses ceded under this treaty are excluded from a named catastrophe event.</w:t>
      </w:r>
    </w:p>
    <w:p>
      <w:pPr>
        <w:ind w:left="2020" w:hanging="1202"/>
        <w:spacing w:after="0" w:line="236" w:lineRule="auto"/>
        <w:tabs>
          <w:tab w:leader="none" w:pos="2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losses in excess of catastrophe coverage.</w:t>
      </w:r>
    </w:p>
    <w:p>
      <w:pPr>
        <w:ind w:left="2020" w:hanging="1202"/>
        <w:spacing w:after="0" w:line="234" w:lineRule="auto"/>
        <w:tabs>
          <w:tab w:leader="none" w:pos="2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July 1, 2025 through June 30, 2026, catastrophe coverage is 80% of the first layer of $5,000,000 in excess of</w:t>
      </w:r>
    </w:p>
    <w:p>
      <w:pPr>
        <w:ind w:left="2040" w:right="240"/>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The remaining coverage is at 100% of $430,000,000 in excess of $10,000,000. For the period October 1, 2024 through April 30, 2025, additional catastrophe reinsurance treaty provided coverage for winter storm losses to the extent of 71% of $4,500,000 in excess of $5,500,000. Retention for winter storms under this treaty is $4,800,000 under the 2024/2025 Treaty and $5,200,000 under the 2025/2026 Treaty.</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Treaty Year</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r>
      <w:tr>
        <w:trPr>
          <w:trHeight w:val="207"/>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July 1, 2025</w:t>
            </w:r>
          </w:p>
        </w:tc>
        <w:tc>
          <w:tcPr>
            <w:tcW w:w="20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July 1, 2024</w:t>
            </w:r>
          </w:p>
        </w:tc>
        <w:tc>
          <w:tcPr>
            <w:tcW w:w="20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July 1, 2023</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20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to</w:t>
            </w:r>
          </w:p>
        </w:tc>
        <w:tc>
          <w:tcPr>
            <w:tcW w:w="20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45"/>
        </w:trPr>
        <w:tc>
          <w:tcPr>
            <w:tcW w:w="20" w:type="dxa"/>
            <w:vAlign w:val="bottom"/>
            <w:tcBorders>
              <w:bottom w:val="single" w:sz="8" w:color="auto"/>
            </w:tcBorders>
          </w:tcPr>
          <w:p>
            <w:pPr>
              <w:spacing w:after="0"/>
              <w:rPr>
                <w:sz w:val="21"/>
                <w:szCs w:val="21"/>
                <w:color w:val="auto"/>
              </w:rPr>
            </w:pPr>
          </w:p>
        </w:tc>
        <w:tc>
          <w:tcPr>
            <w:tcW w:w="6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Line of Business</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r>
      <w:tr>
        <w:trPr>
          <w:trHeight w:val="459"/>
        </w:trPr>
        <w:tc>
          <w:tcPr>
            <w:tcW w:w="20" w:type="dxa"/>
            <w:vAlign w:val="bottom"/>
          </w:tcPr>
          <w:p>
            <w:pPr>
              <w:spacing w:after="0"/>
              <w:rPr>
                <w:sz w:val="24"/>
                <w:szCs w:val="24"/>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Personal Umbrella</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6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Quota share treaty:</w:t>
            </w: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63"/>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Percent ceded - first $1,000,000 of coverage</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50"/>
        </w:trPr>
        <w:tc>
          <w:tcPr>
            <w:tcW w:w="20" w:type="dxa"/>
            <w:vAlign w:val="bottom"/>
          </w:tcPr>
          <w:p>
            <w:pPr>
              <w:spacing w:after="0"/>
              <w:rPr>
                <w:sz w:val="21"/>
                <w:szCs w:val="21"/>
                <w:color w:val="auto"/>
              </w:rPr>
            </w:pPr>
          </w:p>
        </w:tc>
        <w:tc>
          <w:tcPr>
            <w:tcW w:w="6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Percent ceded - excess of $1,000,000 dollars of coverage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63"/>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Risk retained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300,000</w:t>
            </w:r>
          </w:p>
        </w:tc>
      </w:tr>
      <w:tr>
        <w:trPr>
          <w:trHeight w:val="250"/>
        </w:trPr>
        <w:tc>
          <w:tcPr>
            <w:tcW w:w="20" w:type="dxa"/>
            <w:vAlign w:val="bottom"/>
          </w:tcPr>
          <w:p>
            <w:pPr>
              <w:spacing w:after="0"/>
              <w:rPr>
                <w:sz w:val="21"/>
                <w:szCs w:val="21"/>
                <w:color w:val="auto"/>
              </w:rPr>
            </w:pPr>
          </w:p>
        </w:tc>
        <w:tc>
          <w:tcPr>
            <w:tcW w:w="6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reinsurance coverage per occurrence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4,700,000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4,700,000</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4,700,000</w:t>
            </w:r>
          </w:p>
        </w:tc>
      </w:tr>
      <w:tr>
        <w:trPr>
          <w:trHeight w:val="263"/>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Losses per occurrence subject to quota share reinsurance coverage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5,000,000</w:t>
            </w:r>
          </w:p>
        </w:tc>
      </w:tr>
      <w:tr>
        <w:trPr>
          <w:trHeight w:val="250"/>
        </w:trPr>
        <w:tc>
          <w:tcPr>
            <w:tcW w:w="20" w:type="dxa"/>
            <w:vAlign w:val="bottom"/>
          </w:tcPr>
          <w:p>
            <w:pPr>
              <w:spacing w:after="0"/>
              <w:rPr>
                <w:sz w:val="21"/>
                <w:szCs w:val="21"/>
                <w:color w:val="auto"/>
              </w:rPr>
            </w:pPr>
          </w:p>
        </w:tc>
        <w:tc>
          <w:tcPr>
            <w:tcW w:w="6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Expiration date</w:t>
            </w:r>
          </w:p>
        </w:tc>
        <w:tc>
          <w:tcPr>
            <w:tcW w:w="180" w:type="dxa"/>
            <w:vAlign w:val="bottom"/>
          </w:tcPr>
          <w:p>
            <w:pPr>
              <w:spacing w:after="0"/>
              <w:rPr>
                <w:sz w:val="21"/>
                <w:szCs w:val="21"/>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June 30, 2026</w:t>
            </w:r>
          </w:p>
        </w:tc>
        <w:tc>
          <w:tcPr>
            <w:tcW w:w="200" w:type="dxa"/>
            <w:vAlign w:val="bottom"/>
          </w:tcPr>
          <w:p>
            <w:pPr>
              <w:spacing w:after="0"/>
              <w:rPr>
                <w:sz w:val="21"/>
                <w:szCs w:val="21"/>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June 30, 2025</w:t>
            </w:r>
          </w:p>
        </w:tc>
        <w:tc>
          <w:tcPr>
            <w:tcW w:w="200" w:type="dxa"/>
            <w:vAlign w:val="bottom"/>
          </w:tcPr>
          <w:p>
            <w:pPr>
              <w:spacing w:after="0"/>
              <w:rPr>
                <w:sz w:val="21"/>
                <w:szCs w:val="21"/>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June 30, 2024</w:t>
            </w:r>
          </w:p>
        </w:tc>
      </w:tr>
      <w:tr>
        <w:trPr>
          <w:trHeight w:val="263"/>
        </w:trPr>
        <w:tc>
          <w:tcPr>
            <w:tcW w:w="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bl>
    <w:p>
      <w:pPr>
        <w:ind w:left="180"/>
        <w:spacing w:after="0"/>
        <w:rPr>
          <w:sz w:val="20"/>
          <w:szCs w:val="20"/>
          <w:color w:val="auto"/>
        </w:rPr>
      </w:pPr>
      <w:r>
        <w:rPr>
          <w:rFonts w:ascii="Times New Roman" w:cs="Times New Roman" w:eastAsia="Times New Roman" w:hAnsi="Times New Roman"/>
          <w:sz w:val="18"/>
          <w:szCs w:val="18"/>
          <w:u w:val="single" w:color="auto"/>
          <w:color w:val="auto"/>
        </w:rPr>
        <w:t>Commercial Lines (1)</w:t>
      </w:r>
    </w:p>
    <w:p>
      <w:pPr>
        <w:spacing w:after="0" w:line="234" w:lineRule="exact"/>
        <w:rPr>
          <w:sz w:val="20"/>
          <w:szCs w:val="20"/>
          <w:color w:val="auto"/>
        </w:rPr>
      </w:pPr>
    </w:p>
    <w:p>
      <w:pPr>
        <w:ind w:left="1980" w:right="100" w:hanging="974"/>
        <w:spacing w:after="0" w:line="282" w:lineRule="auto"/>
        <w:tabs>
          <w:tab w:leader="none" w:pos="19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on all commercial lines policies expired in September 2020; reinsurance coverage is based on treaties in effect on the date of loss.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Ceding Commission Revenue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earned ceding commission revenue under the 2025/2026 Treaty for the three and six months ended June 30, 2025 based on: (i) a fixed provisional commission rate at which provisional ceding commissions were earned, and (ii) a sliding scale ("Sliding Scale") of commission rates and ultimate treaty year loss ratio on the policies reinsured under this agreement based upon which contingent ceding commissions are earned. The Sliding Scale includes minimum and maximum commission rates in relation to specified ultimate loss ratios. The commission rate and contingent ceding commissions earned increase when the estimated ultimate loss ratio decreases and, conversely, the commission rate and contingent ceding commissions earned decrease when the estimated ultimate loss ratio increases.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earned ceding commission revenue under the 2024/2025 Treaty for the three and six months ended June 30, 2024, based on a fixed provisional commission rate at which provisional ceding commissions were earned.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Ceding commission revenue consists of the following:</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64"/>
        </w:trPr>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4"/>
                <w:szCs w:val="24"/>
                <w:color w:val="auto"/>
              </w:rPr>
            </w:pPr>
          </w:p>
        </w:tc>
        <w:tc>
          <w:tcPr>
            <w:tcW w:w="27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r>
      <w:tr>
        <w:trPr>
          <w:trHeight w:val="244"/>
        </w:trPr>
        <w:tc>
          <w:tcPr>
            <w:tcW w:w="50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6"/>
        </w:trPr>
        <w:tc>
          <w:tcPr>
            <w:tcW w:w="5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7"/>
        </w:trPr>
        <w:tc>
          <w:tcPr>
            <w:tcW w:w="5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Provisional ceding commissions earned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3,387,505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4,561,998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6,639,909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9,117,238</w:t>
            </w:r>
          </w:p>
        </w:tc>
      </w:tr>
      <w:tr>
        <w:trPr>
          <w:trHeight w:val="250"/>
        </w:trPr>
        <w:tc>
          <w:tcPr>
            <w:tcW w:w="50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Contingent ceding commissions earned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(305,949)</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(599,662)</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11,834</w:t>
            </w:r>
          </w:p>
        </w:tc>
      </w:tr>
      <w:tr>
        <w:trPr>
          <w:trHeight w:val="275"/>
        </w:trPr>
        <w:tc>
          <w:tcPr>
            <w:tcW w:w="50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3,081,556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4,561,961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6,040,247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9,129,072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Provisional ceding commissions are settled monthly. Balances due to, or from reinsurers for contingent ceding commissions on the 2025/2026 Treaty will be settled annually based on the Loss Ratio of the treaty year that ends on January 1. Balances due to or from reinsurers for contingent ceding commissions on quota share treaties are settled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periodically based on the Loss Ratio of each treaty year that ends on June 30, for the expired treaties that were subject to contingent commissions. As discussed above, the Loss Ratios from prior years’ treaties are subject to change as incurred losses from those periods develop, resulting in an increase or decrease in the commission rate and contingent ceding commissions earned. As of June 30, 2025 and December 31, 2024, net contingent ceding commissions payable to reinsurers under all treaties was approximately $1,326,000 and $727,000, respectively, which is recorded in reinsurance balances payable on the accompanying condensed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Expected Credit Losses – Uncollectible Reinsurance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reinsurance receivables which relate to both amounts already billed on ceded paid losses as well as ceded reserves that will be billed when losses are paid in the future. The Company has not recorded an allowance for uncollectible reinsurance as there is no perceived credit risk. The principal credit quality indicator used in the valuation of the allowance for reinsurance receivables is the financial strength rating of the reinsurer sourced from major rating agencies. Changes in the allowance for credit losses are presented as a component of other underwriting expenses on the condensed consolidated statements of income and comprehensive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Federal Home Loan Bank</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July 2017, KICO became a member of, and invested in, the FHLBNY. KICO is required to maintain an investment in the capital stock of FHLBNY. Based on the redemption provisions of FHLBNY, the stock has no quoted market value and is carried at cost. At its discretion, FHLBNY may declare dividends on the stock. Management reviews for impairment based on the ultimate recoverability of the cost basis in the stock. At June 30, 2025 and December 31, 2024, no impairment has been recognized. FHLBNY members have access to a variety of flexible, low cost funding through FHLBNY’s credit products, enabling members to customize advances, which are to be fully collateralized. Eligible collateral to pledge to FHLBNY includes residential and commercial mortgage-backed securities, along with U.S. Treasury and agency securities. See Note 3 – Investments for eligible collateral held in a designated custodian account available for future advances. Advances are limited to 5% of KICO’s net admitted assets as of the previous quarter. On July 6, 2023, A.M. Best withdrew KICO’s ratings as KICO requested to no longer participate in A.M. Best’s interactive rating process. As a result of the withdrawal of A.M. Best ratings, prior to April 15, 2025, KICO was only able to borrow on an overnight basis. Effective April 15, 2025, based on KICO's credit rating from FHLBNY, KICO can now borrow for a term of up to five years. If KICO has sufficient available collateral (as discussed below), based on KICO’s net admitted assets, the maximum allowable advance as of June 30, 2025 and December 31, 2024 was approximately $15,704,000 and $13,637,000, respectively. The estimated fair value of available collateral as of June 30, 2025 and December 31, 2024 was approximately $9,840,000 and $10,130,000, respectively. Effective April 15, 2025, advances are limited to 91% of the amount of available collateral. Prior to April 15, 2025, advances were limited to 85% of the amount of available collateral. There were no borrowings under this facility during the six months ended June 30, 2025 and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Debt</w:t>
            </w:r>
          </w:p>
        </w:tc>
        <w:tc>
          <w:tcPr>
            <w:tcW w:w="7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453"/>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as of June 30, 2025 and December 31, 2024 consists of the following:</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4"/>
        </w:trPr>
        <w:tc>
          <w:tcPr>
            <w:tcW w:w="36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6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0"/>
        </w:trPr>
        <w:tc>
          <w:tcPr>
            <w:tcW w:w="360" w:type="dxa"/>
            <w:vAlign w:val="bottom"/>
          </w:tcPr>
          <w:p>
            <w:pPr>
              <w:spacing w:after="0"/>
              <w:rPr>
                <w:sz w:val="21"/>
                <w:szCs w:val="21"/>
                <w:color w:val="auto"/>
              </w:rPr>
            </w:pPr>
          </w:p>
        </w:tc>
        <w:tc>
          <w:tcPr>
            <w:tcW w:w="7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7"/>
        </w:trPr>
        <w:tc>
          <w:tcPr>
            <w:tcW w:w="8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13.75% Senior Notes due 2026,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5,508,000</w:t>
            </w:r>
          </w:p>
        </w:tc>
      </w:tr>
      <w:tr>
        <w:trPr>
          <w:trHeight w:val="250"/>
        </w:trPr>
        <w:tc>
          <w:tcPr>
            <w:tcW w:w="818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Equipment financing</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5,060,708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5,663,420</w:t>
            </w:r>
          </w:p>
        </w:tc>
      </w:tr>
      <w:tr>
        <w:trPr>
          <w:trHeight w:val="275"/>
        </w:trPr>
        <w:tc>
          <w:tcPr>
            <w:tcW w:w="8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5,060,708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11,171,420</w:t>
            </w: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Exchange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9, 2022, the Company entered into a Note and Warrant Exchange Agreement (the “2022 Exchange Agreement”) with several holders (the “2022 Exchanging Noteholders”) of the Company’s outstanding 5.50% Senior Notes due 2022 (the “2017 Notes”). On the date of the 2022 Exchange Agreement, the 2022 Exchanging Noteholders held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2017 Notes in the aggregate principal amount of $21,545,000 of the $30,000,000 aggregate principal amount of the 2017 Notes then outstanding. Pursuant to the 2022 Exchange Agreement, on December 15, 2022, the 2022 Exchanging Noteholders exchanged their respective 2017 Notes for the following: (i) new 12.0% Senior Notes due December 30, 2024 of the Company in the aggregate approximate principal amount of $19,950,000 (the “2022 Notes”); (ii) cash in the aggregate approximate amount of $1,595,000, together with accrued interest on the 2017 Notes; and (iii) three-year warrants for the purchase of an aggregate of 969,525 shares of Common Stock of the Company, exercisable until December 30, 2025 at an exercise price of $1.00 per share (the “Warrants”). The remaining $8,455,000 principal amount of the 2017 Notes, together with accrued interest thereon, was paid on the maturity date of the 2017 Notes of December 30, 2022.</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August 30, 2024, the Company entered into a Note Exchange Agreement (the “2024 Exchange Agreement”) with the holders (the “2024 Exchanging Noteholders”) of the Company’s outstanding 2022 Notes in the aggregate principal amount of $19,950,000. Pursuant to the 2024 Exchange Agreement, on September 12, 2024, the 2024 Exchanging Noteholders exchanged their respective 2022 Notes for the following: (i) new 13.75% Senior Notes due June 30, 2026 of the Company in the aggregate principal amount of $14,950,000 (the “2024 Notes”); and (ii) cash in the aggregate amount of $5,000,000, together with accrued interest on the 2022 Notes (the "2024 Exchange"). See “2024 Notes” below for a discussion of a change in the expiration date of the Warrants.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analyzed the 2024 Exchange Agreement under the FASB's Accounting Standards Codification ("ASC") 470–50 Debt—Modifications and Extinguishments. The Company determined that extinguishment accounting was applicable, as the present value of the cash flows of the 2024 Notes differed by more than 10% from the 2022 Notes, making it a substantial change in terms. As a result, the 2022 Notes were derecognized and the 2024 Notes recorded at fair value. No gain or loss was recognized on the 2024 Exchange. Unamortized debt issue costs of $296,533 related to extinguished debt were expensed at the time the 2022 Notes were extinguished and recorded as loss on extinguishment of debt. Fees paid to third parties of $203,381 have been capitalized and are being amortized as debt issuance costs associated with the 2024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Notes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above, on September 12, 2024, the Company issued the 2024 Notes in the aggregate principal amount of $14,950,000 pursuant to the 2024 Exchange Agreement. Interest was payable semi-annually in arrears on June 30 and December 30 of each year at the rate of 13.75% per annum. Pursuant to the 2024 Exchange Agreement, the expiration date of the Warrants to purchase 969,525 shares of Common Stock of the Company was extended to June 30, 2026 from December 30, 2025 (see Note 8 – Stockholders’ Equity) and transaction costs were $203,381, for an effective yield of 14.35% per annum. The balance of the 2024 Notes as of June 30, 2025 and December 31, 2024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140" w:type="dxa"/>
            <w:vAlign w:val="bottom"/>
          </w:tcPr>
          <w:p>
            <w:pPr>
              <w:spacing w:after="0"/>
              <w:rPr>
                <w:sz w:val="21"/>
                <w:szCs w:val="21"/>
                <w:color w:val="auto"/>
              </w:rPr>
            </w:pP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3"/>
        </w:trPr>
        <w:tc>
          <w:tcPr>
            <w:tcW w:w="8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0"/>
        </w:trPr>
        <w:tc>
          <w:tcPr>
            <w:tcW w:w="8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13.75% Senior Notes due 2026</w:t>
            </w: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5,950,000</w:t>
            </w:r>
          </w:p>
        </w:tc>
      </w:tr>
      <w:tr>
        <w:trPr>
          <w:trHeight w:val="230"/>
        </w:trPr>
        <w:tc>
          <w:tcPr>
            <w:tcW w:w="8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Warrants</w:t>
            </w:r>
          </w:p>
        </w:tc>
        <w:tc>
          <w:tcPr>
            <w:tcW w:w="12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(256,909)</w:t>
            </w:r>
          </w:p>
        </w:tc>
      </w:tr>
      <w:tr>
        <w:trPr>
          <w:trHeight w:val="229"/>
        </w:trPr>
        <w:tc>
          <w:tcPr>
            <w:tcW w:w="8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Issuance costs</w:t>
            </w:r>
          </w:p>
        </w:tc>
        <w:tc>
          <w:tcPr>
            <w:tcW w:w="12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(185,091)</w:t>
            </w:r>
          </w:p>
        </w:tc>
      </w:tr>
      <w:tr>
        <w:trPr>
          <w:trHeight w:val="223"/>
        </w:trPr>
        <w:tc>
          <w:tcPr>
            <w:tcW w:w="8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2024 Notes, net</w:t>
            </w:r>
          </w:p>
        </w:tc>
        <w:tc>
          <w:tcPr>
            <w:tcW w:w="12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5,508,000</w:t>
            </w:r>
          </w:p>
        </w:tc>
      </w:tr>
      <w:tr>
        <w:trPr>
          <w:trHeight w:val="21"/>
        </w:trPr>
        <w:tc>
          <w:tcPr>
            <w:tcW w:w="8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2024 Notes were redeemable, at the Company’s option, in whole or in part, at any time or in part from time to time, on and after September 12, 2024, upon not less than fifteen (15) and not more than sixty (60) days’ notice, equal to 100% of the principal amount of the 2024 Notes, plus, in each case, accrued and unpaid interest, if any, to the date of redemption subject to the right of holders of record on the relevant record date to receive interest due on the relevant interest payment date).</w:t>
      </w:r>
    </w:p>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2024 Exchange Agreement provided for mandatory prepayments of principal. The 2024 Exchange Agreement provided for a first mandatory pro rata partial prepayment of principal on the 2024 Notes in the aggregate amount of $3,000,000 on June 30, 2025, less the principal amount of any optional prepayments of the 2024 Note made prior to June 30, 2025, pursuant to the 2024 Exchange Agreement. The 2024 Exchange Agreement provided for a second mandatory pro rata partial prepayment of principal on the 2024 Notes in the aggregate amount of $3,000,000 on December 30, 2025, less the principal amount of (i) any optional prepayments of the 2024 Notes made from June 30, 2025 to December 29, 2025</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pursuant to the 2024 Note Exchange Agreement and (ii) any optional The Company made optional prepayments of $3,000,000 on September 30, 2024, $2,000,000 on November 13, 2024, $4,000,000 on December 30, 2024, $3,500,000 on January 28, 2025, and $2,450,000 on February 24, 2025, and accordingly, has satisfied the entire principal balance of the 2024 Notes. Each prepayment of principal also included accrued and unpaid interest thereon. Unamortized debt issue costs of $174,962 related to extinguished debt were expensed at the time the 2024 Notes were extinguished and recorded as loss on extinguishment of debt in the condensed consolidated statements of income and comprehensive income within other operating expenses.</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2024 Notes were unsecured obligations of the Company and were not the obligations of or guaranteed by any of the Company’s subsidiaries. The 2024 Notes ranked senior in right of payment to any of the Company’s existing and future indebtedness that is by its terms expressly subordinated or junior in right of payment to the 2024 Notes. The Notes ranked equally in right of payment to all of the Company’s existing and future senior indebtedness, but were effectively subordinated to any secured indebtedness to the extent of the value of the collateral securing such secured indebtedness. In addition, the 2024 Notes were structurally subordinated to the indebtedness and other obligations of the Company’s subsidiaries.</w:t>
      </w:r>
    </w:p>
    <w:p>
      <w:pPr>
        <w:spacing w:after="0" w:line="2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of the end of each calendar quarter, commencing with the calendar quarter ending September 30, 2024, the Company was subject to a leverage maintenance test (“Leverage Maintenance Test”), which required that the Total Consolidated Indebtedness (as defined below) of the Company not be greater than 30% of Total Consolidated Capitalization (as defined below). As of December 31, 2024, the ratio as defined under the Leverage Maintenance Test was 7.0%. “Total Consolidated Indebtedness” was the aggregate principal amount (or accreted value in the case of any Indebtedness issued with more than de minimis original issue discount) of all outstanding long-term debt of the Company except for the sale-leaseback transaction described below under “Equipment Financing”, any refinancing or any future sale-leaseback transaction. “Total Consolidated Capitalization” was the amount equal to the sum of</w:t>
      </w:r>
    </w:p>
    <w:p>
      <w:pPr>
        <w:spacing w:after="0" w:line="3" w:lineRule="exact"/>
        <w:rPr>
          <w:sz w:val="20"/>
          <w:szCs w:val="20"/>
          <w:color w:val="auto"/>
        </w:rPr>
      </w:pPr>
    </w:p>
    <w:p>
      <w:pPr>
        <w:ind w:right="20" w:firstLine="8"/>
        <w:spacing w:after="0" w:line="243" w:lineRule="auto"/>
        <w:tabs>
          <w:tab w:leader="none" w:pos="2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Indebtedness outstanding as of such date and (y) the total consolidated shareholders’ equity of the Company, excluding accumulated other comprehensive (loss) income, as recorded on the Company’s consolidated balance sheet.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Equipment Financing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27, 2022, KICO entered into a sale-leaseback transaction, whereby KICO sold $8,096,824 of fixed assets to a bank. Under GAAP, the sale-leaseback transaction is recorded as equipment financing (“Financing”). The provisions of the Financing require KICO to pay a monthly payment of principal and interest at the rate of 5.86% per annum totaling $126,877 for a term of 60 months, which commenced on October 27, 2022. The terms of the Financing provide buyout options to KICO at the end of the 60 month term, which are as follows:</w:t>
      </w:r>
    </w:p>
    <w:p>
      <w:pPr>
        <w:spacing w:after="0" w:line="180" w:lineRule="exact"/>
        <w:rPr>
          <w:sz w:val="20"/>
          <w:szCs w:val="20"/>
          <w:color w:val="auto"/>
        </w:rPr>
      </w:pPr>
    </w:p>
    <w:p>
      <w:pPr>
        <w:ind w:left="2040" w:hanging="1222"/>
        <w:spacing w:after="0" w:line="282" w:lineRule="auto"/>
        <w:tabs>
          <w:tab w:leader="none" w:pos="20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lease, KICO may purchase the fixed assets for a purchase price of $2,024,206, which is 25% of the original fixed asset cost of $8,096,824; or</w:t>
      </w:r>
    </w:p>
    <w:p>
      <w:pPr>
        <w:spacing w:after="0" w:line="161" w:lineRule="exact"/>
        <w:rPr>
          <w:rFonts w:ascii="Times New Roman" w:cs="Times New Roman" w:eastAsia="Times New Roman" w:hAnsi="Times New Roman"/>
          <w:sz w:val="18"/>
          <w:szCs w:val="18"/>
          <w:color w:val="auto"/>
        </w:rPr>
      </w:pPr>
    </w:p>
    <w:p>
      <w:pPr>
        <w:ind w:left="2020" w:hanging="1202"/>
        <w:spacing w:after="0"/>
        <w:tabs>
          <w:tab w:leader="none" w:pos="2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KICO may renew the lease for 16 months at the same rental rate, which totals $2,030,036.</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provision of the Financing requires KICO to pledge collateral for the lease obligation. As of June 30, 2025 and December 31, 2024, the amount of required collateral was approximately $4,462,000 and $5,308,000, respectively. As of June 30, 2025 and December 31, 2024, the fair value of KICO’s pledged collateral was approximately $4,462,000 and $5,308,000, respectively, in various fixed-maturity securities.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Future contractual payment obligations under the Financing as of June 30, 2025 are as follows: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93"/>
        </w:trPr>
        <w:tc>
          <w:tcPr>
            <w:tcW w:w="840" w:type="dxa"/>
            <w:vAlign w:val="bottom"/>
          </w:tcPr>
          <w:p>
            <w:pPr>
              <w:spacing w:after="0"/>
              <w:rPr>
                <w:sz w:val="24"/>
                <w:szCs w:val="24"/>
                <w:color w:val="auto"/>
              </w:rPr>
            </w:pPr>
          </w:p>
        </w:tc>
        <w:tc>
          <w:tcPr>
            <w:tcW w:w="796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8"/>
                <w:szCs w:val="18"/>
                <w:b w:val="1"/>
                <w:bCs w:val="1"/>
                <w:color w:val="auto"/>
              </w:rPr>
              <w:t>For the Years Ending December 31,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7"/>
        </w:trPr>
        <w:tc>
          <w:tcPr>
            <w:tcW w:w="840" w:type="dxa"/>
            <w:vAlign w:val="bottom"/>
          </w:tcPr>
          <w:p>
            <w:pPr>
              <w:spacing w:after="0"/>
              <w:rPr>
                <w:sz w:val="22"/>
                <w:szCs w:val="22"/>
                <w:color w:val="auto"/>
              </w:rPr>
            </w:pPr>
          </w:p>
        </w:tc>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620,581</w:t>
            </w:r>
          </w:p>
        </w:tc>
      </w:tr>
      <w:tr>
        <w:trPr>
          <w:trHeight w:val="250"/>
        </w:trPr>
        <w:tc>
          <w:tcPr>
            <w:tcW w:w="88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1,296,900</w:t>
            </w:r>
          </w:p>
        </w:tc>
      </w:tr>
      <w:tr>
        <w:trPr>
          <w:trHeight w:val="257"/>
        </w:trPr>
        <w:tc>
          <w:tcPr>
            <w:tcW w:w="840" w:type="dxa"/>
            <w:vAlign w:val="bottom"/>
          </w:tcPr>
          <w:p>
            <w:pPr>
              <w:spacing w:after="0"/>
              <w:rPr>
                <w:sz w:val="22"/>
                <w:szCs w:val="22"/>
                <w:color w:val="auto"/>
              </w:rPr>
            </w:pPr>
          </w:p>
        </w:tc>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1,119,021</w:t>
            </w:r>
          </w:p>
        </w:tc>
      </w:tr>
      <w:tr>
        <w:trPr>
          <w:trHeight w:val="250"/>
        </w:trPr>
        <w:tc>
          <w:tcPr>
            <w:tcW w:w="84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3,036,502</w:t>
            </w:r>
          </w:p>
        </w:tc>
      </w:tr>
      <w:tr>
        <w:trPr>
          <w:trHeight w:val="263"/>
        </w:trPr>
        <w:tc>
          <w:tcPr>
            <w:tcW w:w="840" w:type="dxa"/>
            <w:vAlign w:val="bottom"/>
          </w:tcPr>
          <w:p>
            <w:pPr>
              <w:spacing w:after="0"/>
              <w:rPr>
                <w:sz w:val="22"/>
                <w:szCs w:val="22"/>
                <w:color w:val="auto"/>
              </w:rPr>
            </w:pPr>
          </w:p>
        </w:tc>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purchase price</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2,024,206</w:t>
            </w:r>
          </w:p>
        </w:tc>
      </w:tr>
      <w:tr>
        <w:trPr>
          <w:trHeight w:val="244"/>
        </w:trPr>
        <w:tc>
          <w:tcPr>
            <w:tcW w:w="840" w:type="dxa"/>
            <w:vAlign w:val="bottom"/>
          </w:tcPr>
          <w:p>
            <w:pPr>
              <w:spacing w:after="0"/>
              <w:rPr>
                <w:sz w:val="21"/>
                <w:szCs w:val="21"/>
                <w:color w:val="auto"/>
              </w:rPr>
            </w:pPr>
          </w:p>
        </w:tc>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5,060,708</w:t>
            </w:r>
          </w:p>
        </w:tc>
      </w:tr>
      <w:tr>
        <w:trPr>
          <w:trHeight w:val="27"/>
        </w:trPr>
        <w:tc>
          <w:tcPr>
            <w:tcW w:w="84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 Declared and Paid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11, 2022, the Company’s Board of Directors determined to suspend regular quarterly dividends. Future dividend policy will be subject to the discretion of the Company’s Board of Directors. See Note 15 - Subsequent Events, Dividend Declared.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Board of Directors has the authority to issue shares of Preferred Stock from time to time in a series and to fix, before the issuance of each series, the number of shares in each series and the designation, liquidation preferences, conversion privileges, rights and limitations of each series. There was no preferred stock issued as of June 30, 2025 and December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2014 Equity Participation Plan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August 12, 2014, the Company's stockholders approved the 2014 Equity Participation Plan (the “2014 Plan”) pursuant to which a maximum of 700,000 shares of Common Stock of the Company were initially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Non-statutory stock options granted under the 2014 Plan expire no later than ten years from the date of grant. The Board of Directors or the Compensation Committee determined the vesting provisions for stock awards granted under the 2014 Plan, subject to the provisions of the 2014 Plan. On August 5, 2020, the Company’s stockholders approved amendments to the 2014 Plan, including an increase in the maximum number of shares of Common Stock of the Company that were authorized to be issued pursuant to the 2014 Plan to 1,400,000. On August 9, 2023, the Company’s stockholders approved an amendment to the 2014 Plan to increase the maximum number of shares of Common Stock of the Company that were authorized to be issued pursuant to the 2014 Plan to 1,900,000. The 2014 Plan terminated on August 12, 2024 and no further awards may be granted under the 2014 Plan.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Equity Participation Plan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August 7, 2024, the Company's stockholders approved the 2024 Equity Participation Plan (the “2024 Plan”). pursuant to which a maximum of 1,000,000 shares of Common Stock of the Company are authorized to be issued pursuant to the grant of incentive stock options, non-statutory stock options, stock appreciation rights, and stock bonus awards. Incentive stock options granted under the 2024 Plan expire no later than ten years from the date of grant (except no later than five years for a grant to a 10% stockholder). Non-statutory stock options granted under the 2024 Plan expire no later than ten years from the date of grant. The Board of Directors or the Compensation Committee determines the vesting provisions for stock awards granted under the 2024 Plan, subject to the provisions of the 2024 Plan. The 2024 Plan terminates on May 10, 2034 and no further awards may be granted under the 2024 Plan after such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there were 154,689 shares granted under the 2024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results of operations for the three months ended June 30, 2025 and 2024 include stock-based compensation expense for stock options totaling approximately $22,000 and $0, respectively, which is included in other operating expenses on the accompanying condensed consolidated statements of income and comprehensive income. The results of operations for the six months ended June 30, 2025 and 2024 include stock-based compensation expense for stock options totaling approximately $44,000 and $53,000, respectively, which is included in other operating expenses on the accompanying condensed consolidated statements of income and comprehensive income. Stock-based compensation expense related to stock options for the six months ended June 30, 2025 is net of estimated forfeitures of approximately 19%.</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options were granted during the six months ended June 30, 2025. The weighted average estimated fair value of stock options granted during the six months ended June 30, 2024 was $1.24 per share. The fair value of stock options at the grant date was estimated using the Black-Scholes option-pricing model. The Black-Scholes option - 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options, and because changes in the subjective input assumptions can materially affect the fair value estimate, in management's opinion, the existing models do not necessarily provide a reliable single measure of the fair value of the Company’s stock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weighted average assumptions were used for grants during the following periods: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60" w:type="dxa"/>
            <w:vAlign w:val="bottom"/>
          </w:tcPr>
          <w:p>
            <w:pPr>
              <w:spacing w:after="0"/>
              <w:rPr>
                <w:sz w:val="17"/>
                <w:szCs w:val="17"/>
                <w:color w:val="auto"/>
              </w:rPr>
            </w:pPr>
          </w:p>
        </w:tc>
        <w:tc>
          <w:tcPr>
            <w:tcW w:w="3180" w:type="dxa"/>
            <w:vAlign w:val="bottom"/>
            <w:gridSpan w:val="5"/>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806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Borders>
              <w:bottom w:val="single" w:sz="8" w:color="auto"/>
            </w:tcBorders>
          </w:tcPr>
          <w:p>
            <w:pPr>
              <w:spacing w:after="0"/>
              <w:rPr>
                <w:sz w:val="21"/>
                <w:szCs w:val="21"/>
                <w:color w:val="auto"/>
              </w:rPr>
            </w:pPr>
          </w:p>
        </w:tc>
      </w:tr>
      <w:tr>
        <w:trPr>
          <w:trHeight w:val="250"/>
        </w:trPr>
        <w:tc>
          <w:tcPr>
            <w:tcW w:w="9120" w:type="dxa"/>
            <w:vAlign w:val="bottom"/>
            <w:gridSpan w:val="2"/>
          </w:tcPr>
          <w:p>
            <w:pPr>
              <w:ind w:left="86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6"/>
        </w:trPr>
        <w:tc>
          <w:tcPr>
            <w:tcW w:w="806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57"/>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9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50"/>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74.72 %</w:t>
            </w:r>
          </w:p>
        </w:tc>
      </w:tr>
      <w:tr>
        <w:trPr>
          <w:trHeight w:val="263"/>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4.17 %</w:t>
            </w:r>
          </w:p>
        </w:tc>
      </w:tr>
      <w:tr>
        <w:trPr>
          <w:trHeight w:val="243"/>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years</w:t>
            </w:r>
          </w:p>
        </w:tc>
      </w:tr>
    </w:tbl>
    <w:p>
      <w:pPr>
        <w:spacing w:after="0" w:line="2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stock options granted under the 2024 Plan. A summary of stock option activity under the Company’s 2014 Plan for the six months ended June 30, 2025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4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5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7"/>
                <w:szCs w:val="17"/>
                <w:color w:val="auto"/>
              </w:rPr>
            </w:pPr>
          </w:p>
        </w:tc>
        <w:tc>
          <w:tcPr>
            <w:tcW w:w="1340" w:type="dxa"/>
            <w:vAlign w:val="bottom"/>
          </w:tcPr>
          <w:p>
            <w:pPr>
              <w:jc w:val="right"/>
              <w:ind w:right="250"/>
              <w:spacing w:after="0" w:line="202" w:lineRule="exact"/>
              <w:rPr>
                <w:sz w:val="20"/>
                <w:szCs w:val="20"/>
                <w:color w:val="auto"/>
              </w:rPr>
            </w:pPr>
            <w:r>
              <w:rPr>
                <w:rFonts w:ascii="Times New Roman" w:cs="Times New Roman" w:eastAsia="Times New Roman" w:hAnsi="Times New Roman"/>
                <w:sz w:val="18"/>
                <w:szCs w:val="18"/>
                <w:b w:val="1"/>
                <w:bCs w:val="1"/>
                <w:color w:val="auto"/>
              </w:rPr>
              <w:t>Aggregate</w:t>
            </w:r>
          </w:p>
        </w:tc>
      </w:tr>
      <w:tr>
        <w:trPr>
          <w:trHeight w:val="259"/>
        </w:trPr>
        <w:tc>
          <w:tcPr>
            <w:tcW w:w="50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 per Share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40" w:type="dxa"/>
            <w:vAlign w:val="bottom"/>
          </w:tcPr>
          <w:p>
            <w:pPr>
              <w:spacing w:after="0"/>
              <w:rPr>
                <w:sz w:val="22"/>
                <w:szCs w:val="22"/>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56"/>
        </w:trPr>
        <w:tc>
          <w:tcPr>
            <w:tcW w:w="4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r>
      <w:tr>
        <w:trPr>
          <w:trHeight w:val="25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281,913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3,517,111</w:t>
            </w:r>
          </w:p>
        </w:tc>
      </w:tr>
      <w:tr>
        <w:trPr>
          <w:trHeight w:val="257"/>
        </w:trPr>
        <w:tc>
          <w:tcPr>
            <w:tcW w:w="4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6"/>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(63,172)</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1"/>
                <w:szCs w:val="21"/>
                <w:color w:val="auto"/>
              </w:rPr>
            </w:pPr>
          </w:p>
        </w:tc>
        <w:tc>
          <w:tcPr>
            <w:tcW w:w="158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713,366</w:t>
            </w:r>
          </w:p>
        </w:tc>
      </w:tr>
      <w:tr>
        <w:trPr>
          <w:trHeight w:val="25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(13,749)</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201,202</w:t>
            </w:r>
          </w:p>
        </w:tc>
      </w:tr>
      <w:tr>
        <w:trPr>
          <w:trHeight w:val="243"/>
        </w:trPr>
        <w:tc>
          <w:tcPr>
            <w:tcW w:w="4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5"/>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204,992</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2,937,327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75"/>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at June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80,024</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1,146,662</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options outstanding and options exercisable at June 30, 2025 is calculated as the difference between the exercise price of the underlying options and the market price of the Company’s Common Stock for the options that had exercise prices that were lower than the $16.58 closing price of the Company’s Common Stock on June 30, 2025. The total intrinsic value of options when forfeited are determined as of the date of forfeiture. The total intrinsic value of options when expired are determined as of the date of expiration.</w:t>
      </w:r>
    </w:p>
    <w:p>
      <w:pPr>
        <w:spacing w:after="0" w:line="1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Participants in the 2014 Plan and the 2024 Plan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received $57,088 from the exercise of 25,422 options during the six months ended June 30, 2025. The remaining options exercised during the six months ended June 30, 2025 were Net Exercises and Share Exchanges, resulting in the issuance of 23,564 shares of Common Stock. No options were exercised during six months ended June 30, 2024.</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estimated fair value of unamortized compensation cost related to 135,385 unvested stock option awards was approximately $20,000. Unamortized compensation cost as of June 30, 2025 is expected to be recognized over a remaining weighted-average vesting period of 1.52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restricted Common Stock activity under the 2014 Plan and the 2024 Plan for six months ended June 30, 2025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6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6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Fair Value per</w:t>
            </w:r>
          </w:p>
        </w:tc>
        <w:tc>
          <w:tcPr>
            <w:tcW w:w="140" w:type="dxa"/>
            <w:vAlign w:val="bottom"/>
          </w:tcPr>
          <w:p>
            <w:pPr>
              <w:spacing w:after="0"/>
              <w:rPr>
                <w:sz w:val="17"/>
                <w:szCs w:val="17"/>
                <w:color w:val="auto"/>
              </w:rPr>
            </w:pPr>
          </w:p>
        </w:tc>
        <w:tc>
          <w:tcPr>
            <w:tcW w:w="134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Aggregate Fair</w:t>
            </w:r>
          </w:p>
        </w:tc>
      </w:tr>
      <w:tr>
        <w:trPr>
          <w:trHeight w:val="259"/>
        </w:trPr>
        <w:tc>
          <w:tcPr>
            <w:tcW w:w="660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40" w:type="dxa"/>
            <w:vAlign w:val="bottom"/>
          </w:tcPr>
          <w:p>
            <w:pPr>
              <w:spacing w:after="0"/>
              <w:rPr>
                <w:sz w:val="22"/>
                <w:szCs w:val="22"/>
                <w:color w:val="auto"/>
              </w:rPr>
            </w:pP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57"/>
        </w:trPr>
        <w:tc>
          <w:tcPr>
            <w:tcW w:w="65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267,586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1,402,151</w:t>
            </w:r>
          </w:p>
        </w:tc>
      </w:tr>
      <w:tr>
        <w:trPr>
          <w:trHeight w:val="257"/>
        </w:trPr>
        <w:tc>
          <w:tcPr>
            <w:tcW w:w="6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6"/>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1,484,099</w:t>
            </w: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(216,226)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(821,659)</w:t>
            </w: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(97,290)</w:t>
            </w:r>
          </w:p>
        </w:tc>
      </w:tr>
      <w:tr>
        <w:trPr>
          <w:trHeight w:val="257"/>
        </w:trPr>
        <w:tc>
          <w:tcPr>
            <w:tcW w:w="6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5"/>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1,967,301</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was calculated using the closing price of the Company’s Common Stock on the grant date. For the three months ended June 30, 2025 and 2024, stock-based compensation for these grants was approximately $442,000 and $228,000, respectively, which is included in other operating expenses on the accompanying condensed consolidated statements of income and comprehensive income. For the six months ended June 30, 2025 and 2024, stock-based compensation for these grants was approximately $751,000 and $441,000, respectively, which is included in other operating expenses on the accompanying condensed consolidated statements of income and comprehensive income. These amounts reflect the Company’s accounting expense and do not correspond to the actual value that will be recognized by the directors, executives and employees. Unamortized compensation cost of $1,293,283 as of June 30, 2025 is expected to be recognized over a remaining weighted-average vesting period of 1.59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Stock Purchase Plan</w:t>
      </w: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19, 2021, the Company’s Board of Directors adopted the Kingstone Companies, Inc. Employee Stock Purchase Plan (the “ESPP”), subject to stockholder approval. Such approval was obtained on August 10, 2021. The purpose of the ESPP is to provide eligible employees of the Company with an opportunity to use payroll deductions to purchase shares of Common Stock of the Company. The maximum number of shares of Common Stock that may be purchased under the ESPP is 750,000, subject to adjustment as provided for in the ESPP. The ESPP was effective August 10, 2021 and expires on August 10, 2031. A maximum of 5,000 shares of Common Stock may be purchased by an employee during any offering period.</w:t>
      </w:r>
    </w:p>
    <w:p>
      <w:pPr>
        <w:spacing w:after="0" w:line="1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initial offering period under the ESPP was from November 1, 2021 through October 31, 2022. There was no offering pursuant to the ESPP from November 1, 2022 through December 31, 2024. Effective January 1, 2025, the Company initiated an offering period of January 1, 2025 through December 31, 2025 under the ESPP (the "2025 Offering'). For the three months ended June 30, 2025 and 2024, stock-based compensation under the 2025 Offering was approximately $7,000 and $0, respectively, which is included in other operating expenses on the accompanying condensed consolidated statements of income and comprehensive income. For the six months ended June 30, 2025 and 2024, stock-based compensation under the 2025 Offering was approximately $16,000 and $0, respectively, which is included in other operating expenses on the accompanying condensed consolidated statements of income and comprehensive income.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1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In connection with the 2022 Exchange Agreement (see Note 7 – Debt – “Exchange Agreements”), as additional consideration, on December 15, 2022, the Company issued warrants (the "Warrants") to the 2022 Exchanging Noteholders to purchase 969,525 shares of Common Stock. Pursuant to the 2024 Exchange Agreement, the expiration date of the Warrants was extended to June 30, 2026 from December 30, 2025. The fair value of the Warrants, using the Black-Scholes valuation formula, was $993,200, which has been capitalized as a deferred financing cost of the 2022 Notes and the 2024 Notes. The fair value of the Warrants is being amortized over the life of the Warrants, which is 36.5 months through September 12, 2024 and effective as of such date, the unamortized balance is being amortized over the extended life of the Warrants, which is now 21.5 months.</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accordance with ASC 815 - Derivatives and Hedging – Subsequent Measurement, the effect of a modification or an exchange shall be measured as the difference between the fair value of the modified or exchanged instrument and the fair value of that instrument immediately before it is modified or exchanged. The Company calculated the respective fair values and determined the difference was immaterial.</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are exercisable through June 30, 2026 at an exercise price of $1.00 per share. Holders of the Warrants may exercise their outstanding Warrants in cash, or, in whole or in part, by having the Company reduce the number of shares otherwise issuable by a number of shares having a fair market value equal to the exercise price of the Warrants being exercised ("Net Exercise").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holders exercised 394,525 Warrants under Net Exercises, resulting in the issuance of 371,634 shares of Common Stock. No warrants were exercised or granted during the six months ended June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Warrants for the purchase of an aggregate of 247,500 shares of Common Stock were outstanding.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Shelf Registration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5, 2024, the Company filed a shelf registration statement on Form S-3 with the SEC under the Securities Act of 1933, as amended, with regard to the registration of $50,000,000 of its equity and debt securities (the “Shelf Registration Statement”). The Shelf Registration Statement was declared effective by the SEC on April 22, 2024. Any offering made pursuant to the Shelf Registration Statement may only be made by means of a prospectus, including a prospectus supplement, forming a part of the effective Shelf Registration Statement, relating to the offering.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At-the-Market Offering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2024, the Company entered into a Sales Agreement with Janney Montgomery Scott LLC (the “Sales Agent”) under which the Company initially had the ability to issue and sell shares of its Common Stock, from time to time, through the Sales Agent, pursuant to the Shelf Registration Statement, up to an aggregate offering price of approximately $16,400,000 in what is referred to as an “at-the-market” (“ATM”) program. On January 7, 2025, the Company filed a prospectus supplement providing for a going forward aggregate offering price for the ATM program of $25,000,000. During the six months ended June 30, 2025, the Company sold 612,999 shares of its Common Stock at a weighted average price of $16.00 per share and raised $9,484,382 in net proceeds under the ATM program. As of June 30, 2025, the Company had remaining capacity to sell up to an additional $15,945,937 of Common Stock under the ATM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files a consolidated U.S. federal income tax return that includes all wholly-owned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carrying amounts of the assets and liabilities for financial reporting purposes and income tax purposes, tax effected at various rates depending on whether the temporary differences are subject to federal taxes, state taxes, or both.</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as follows: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0"/>
        </w:trPr>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50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carryovers (1)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419,357</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Claims reserve discount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1,404,961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1,305,466</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premium</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4,890,007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3,810,973</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ceding commission revenue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1,469,086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2,423,660</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losses on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2,263,093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3,069,900</w:t>
            </w:r>
          </w:p>
        </w:tc>
      </w:tr>
      <w:tr>
        <w:trPr>
          <w:trHeight w:val="250"/>
        </w:trPr>
        <w:tc>
          <w:tcPr>
            <w:tcW w:w="8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1,015,367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834,921</w:t>
            </w: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11,042,514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11,864,277</w:t>
            </w:r>
          </w:p>
        </w:tc>
      </w:tr>
      <w:tr>
        <w:trPr>
          <w:trHeight w:val="257"/>
        </w:trPr>
        <w:tc>
          <w:tcPr>
            <w:tcW w:w="8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7"/>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in KICO (2)</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759,543</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5,008,086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5,193,798</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62,241</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208,016</w:t>
            </w:r>
          </w:p>
        </w:tc>
      </w:tr>
      <w:tr>
        <w:trPr>
          <w:trHeight w:val="243"/>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5,934,870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6,266,357</w:t>
            </w:r>
          </w:p>
        </w:tc>
      </w:tr>
      <w:tr>
        <w:trPr>
          <w:trHeight w:val="257"/>
        </w:trPr>
        <w:tc>
          <w:tcPr>
            <w:tcW w:w="8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deferred income tax asset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5,107,644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5,597,920</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ind w:left="2020" w:hanging="959"/>
        <w:spacing w:after="0"/>
        <w:tabs>
          <w:tab w:leader="none" w:pos="2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deferred tax assets from net operating loss carryovers (“NOL”)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59"/>
        </w:trPr>
        <w:tc>
          <w:tcPr>
            <w:tcW w:w="556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Type of NOL</w:t>
            </w:r>
          </w:p>
        </w:tc>
        <w:tc>
          <w:tcPr>
            <w:tcW w:w="260" w:type="dxa"/>
            <w:vAlign w:val="bottom"/>
          </w:tcPr>
          <w:p>
            <w:pPr>
              <w:spacing w:after="0"/>
              <w:rPr>
                <w:sz w:val="22"/>
                <w:szCs w:val="22"/>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57"/>
        </w:trPr>
        <w:tc>
          <w:tcPr>
            <w:tcW w:w="5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tcBorders>
              <w:top w:val="single" w:sz="8" w:color="auto"/>
            </w:tcBorders>
          </w:tcPr>
          <w:p>
            <w:pPr>
              <w:spacing w:after="0"/>
              <w:rPr>
                <w:sz w:val="22"/>
                <w:szCs w:val="22"/>
                <w:color w:val="auto"/>
              </w:rPr>
            </w:pPr>
          </w:p>
        </w:tc>
      </w:tr>
      <w:tr>
        <w:trPr>
          <w:trHeight w:val="250"/>
        </w:trPr>
        <w:tc>
          <w:tcPr>
            <w:tcW w:w="5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 only, NOL from 2024 and 2023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419,357</w:t>
            </w:r>
          </w:p>
        </w:tc>
        <w:tc>
          <w:tcPr>
            <w:tcW w:w="100" w:type="dxa"/>
            <w:vAlign w:val="bottom"/>
            <w:shd w:val="clear" w:color="auto" w:fill="CCEEFF"/>
          </w:tcPr>
          <w:p>
            <w:pPr>
              <w:spacing w:after="0"/>
              <w:rPr>
                <w:sz w:val="21"/>
                <w:szCs w:val="21"/>
                <w:color w:val="auto"/>
              </w:rPr>
            </w:pP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r>
      <w:tr>
        <w:trPr>
          <w:trHeight w:val="257"/>
        </w:trPr>
        <w:tc>
          <w:tcPr>
            <w:tcW w:w="5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256"/>
        </w:trPr>
        <w:tc>
          <w:tcPr>
            <w:tcW w:w="5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State only (A)</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3,243,094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3,075,395</w:t>
            </w:r>
          </w:p>
        </w:tc>
        <w:tc>
          <w:tcPr>
            <w:tcW w:w="100" w:type="dxa"/>
            <w:vAlign w:val="bottom"/>
            <w:shd w:val="clear" w:color="auto" w:fill="CCEEFF"/>
          </w:tcPr>
          <w:p>
            <w:pPr>
              <w:spacing w:after="0"/>
              <w:rPr>
                <w:sz w:val="22"/>
                <w:szCs w:val="22"/>
                <w:color w:val="auto"/>
              </w:rPr>
            </w:pP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2027 - December 2045</w:t>
            </w:r>
          </w:p>
        </w:tc>
      </w:tr>
      <w:tr>
        <w:trPr>
          <w:trHeight w:val="250"/>
        </w:trPr>
        <w:tc>
          <w:tcPr>
            <w:tcW w:w="556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(3,243,094)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(3,075,395)</w:t>
            </w:r>
          </w:p>
        </w:tc>
        <w:tc>
          <w:tcPr>
            <w:tcW w:w="100" w:type="dxa"/>
            <w:vAlign w:val="bottom"/>
            <w:tcBorders>
              <w:bottom w:val="single" w:sz="8" w:color="CCEEFF"/>
            </w:tcBorders>
          </w:tcPr>
          <w:p>
            <w:pPr>
              <w:spacing w:after="0"/>
              <w:rPr>
                <w:sz w:val="21"/>
                <w:szCs w:val="21"/>
                <w:color w:val="auto"/>
              </w:rPr>
            </w:pPr>
          </w:p>
        </w:tc>
        <w:tc>
          <w:tcPr>
            <w:tcW w:w="2520" w:type="dxa"/>
            <w:vAlign w:val="bottom"/>
            <w:tcBorders>
              <w:bottom w:val="single" w:sz="8" w:color="CCEEFF"/>
            </w:tcBorders>
          </w:tcPr>
          <w:p>
            <w:pPr>
              <w:spacing w:after="0"/>
              <w:rPr>
                <w:sz w:val="21"/>
                <w:szCs w:val="21"/>
                <w:color w:val="auto"/>
              </w:rPr>
            </w:pPr>
          </w:p>
        </w:tc>
      </w:tr>
      <w:tr>
        <w:trPr>
          <w:trHeight w:val="250"/>
        </w:trPr>
        <w:tc>
          <w:tcPr>
            <w:tcW w:w="5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State only, net of valuation allowance</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r>
      <w:tr>
        <w:trPr>
          <w:trHeight w:val="257"/>
        </w:trPr>
        <w:tc>
          <w:tcPr>
            <w:tcW w:w="5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270"/>
        </w:trPr>
        <w:tc>
          <w:tcPr>
            <w:tcW w:w="5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deferred tax asset from net operating loss carryovers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419,357</w:t>
            </w:r>
          </w:p>
        </w:tc>
        <w:tc>
          <w:tcPr>
            <w:tcW w:w="100" w:type="dxa"/>
            <w:vAlign w:val="bottom"/>
            <w:shd w:val="clear" w:color="auto" w:fill="CCEEFF"/>
          </w:tcPr>
          <w:p>
            <w:pPr>
              <w:spacing w:after="0"/>
              <w:rPr>
                <w:sz w:val="23"/>
                <w:szCs w:val="23"/>
                <w:color w:val="auto"/>
              </w:rPr>
            </w:pPr>
          </w:p>
        </w:tc>
        <w:tc>
          <w:tcPr>
            <w:tcW w:w="2520" w:type="dxa"/>
            <w:vAlign w:val="bottom"/>
            <w:shd w:val="clear" w:color="auto" w:fill="CCEEFF"/>
          </w:tcPr>
          <w:p>
            <w:pPr>
              <w:spacing w:after="0"/>
              <w:rPr>
                <w:sz w:val="23"/>
                <w:szCs w:val="23"/>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ind w:left="1380" w:hanging="319"/>
        <w:spacing w:after="0" w:line="256" w:lineRule="auto"/>
        <w:tabs>
          <w:tab w:leader="none" w:pos="13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Kingstone generates operating losses for state purposes and has prior year NOLs available. The state NOL as of June 30, 2025 and December 31, 2024 was $49,893,758 and $47,313,775, respectively. KICO, the Company’s insurance underwriting subsidiary, is not subject to state income taxes. KICO’s state tax obligations are paid through a gross premiums tax, which is included in the condensed consolidated statements of income and comprehensive income within other underwriting expenses. Kingstone has recorded a full valuation allowance due to the uncertainty of generating enough state taxable income to utilize 100% of the available state NOLs over their remaining lives, which expire between 2027 and 2045.</w:t>
      </w:r>
    </w:p>
    <w:p>
      <w:pPr>
        <w:spacing w:after="0" w:line="18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(2) Deferred tax liability – Investment in KICO</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1040"/>
        <w:spacing w:after="0" w:line="253" w:lineRule="auto"/>
        <w:rPr>
          <w:sz w:val="20"/>
          <w:szCs w:val="20"/>
          <w:color w:val="auto"/>
        </w:rPr>
      </w:pPr>
      <w:r>
        <w:rPr>
          <w:rFonts w:ascii="Times New Roman" w:cs="Times New Roman" w:eastAsia="Times New Roman" w:hAnsi="Times New Roman"/>
          <w:sz w:val="18"/>
          <w:szCs w:val="18"/>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no material unrecognized tax benefit and no adjustments to liabilities or operations were required. There were no interest or penalties related to income taxes that have been accrued or recognized as of and for the six months ended June 30, 2025 and 2024. If any had been recognized these would have been reported in income tax expense.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taxing authorities may examine the Company’s tax returns for the three years from the date of filing. The Company’s tax returns for the years ended December 31, 2021 through December 31, 2024 remain subject to examination.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Earnings Per Common Share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Basic net earnings per common share is computed by dividing net income by the weighted-average number of shares of Common Stock outstanding. Diluted earnings per common share reflects, in periods in which it has a dilutive effect, the impact of shares of Common Stock issuable upon exercise of stock options and warrants as well as non-vested restricted stock awards. The computation of diluted earnings per common share excludes those options and warrants with an exercise price in excess of the average market price of the Company’s Common Stock during the periods presented. For the three months ended June 30, 2025 and 2024, there were -0- options and 107,201 options, respectively, with an exercise price in excess of the average market price of the Company’s Common Stock during the periods. For the six months ended June 30, 2025 and 2024, there were -0- options and 107,201 options, respectively, with an exercise price in excess of the average market price of the Company’s Common Stock during the periods. For the three months and six months ended June 30, 2025 and 2024, there were no warrants with an exercise price in excess of the average market price of the Company’s Common Stock during the periods.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computation of diluted earnings per common share excludes outstanding options, warrants and non-vested restricted stock awards in periods where the exercise of such options and warrants or vesting of such restricted stock awards would be anti-dilutive. For the three months ended June 30, 2025 and 2024, there were no options, warrants or restricted stock awards that were anti-dilutive for the relevant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 of the weighted average number of shares of Common Stock used in the calculation of basic and diluted earnings per common share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31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5"/>
        </w:trPr>
        <w:tc>
          <w:tcPr>
            <w:tcW w:w="5020" w:type="dxa"/>
            <w:vAlign w:val="bottom"/>
          </w:tcPr>
          <w:p>
            <w:pPr>
              <w:spacing w:after="0"/>
              <w:rPr>
                <w:sz w:val="21"/>
                <w:szCs w:val="21"/>
                <w:color w:val="auto"/>
              </w:rPr>
            </w:pPr>
          </w:p>
        </w:tc>
        <w:tc>
          <w:tcPr>
            <w:tcW w:w="198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7"/>
              </w:rPr>
              <w:t>June 30</w:t>
            </w: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7"/>
        </w:trPr>
        <w:tc>
          <w:tcPr>
            <w:tcW w:w="50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13,925,707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11,019,347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13,700,308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11,009,442</w:t>
            </w:r>
          </w:p>
        </w:tc>
        <w:tc>
          <w:tcPr>
            <w:tcW w:w="0" w:type="dxa"/>
            <w:vAlign w:val="bottom"/>
          </w:tcPr>
          <w:p>
            <w:pPr>
              <w:spacing w:after="0"/>
              <w:rPr>
                <w:sz w:val="1"/>
                <w:szCs w:val="1"/>
                <w:color w:val="auto"/>
              </w:rPr>
            </w:pPr>
          </w:p>
        </w:tc>
      </w:tr>
      <w:tr>
        <w:trPr>
          <w:trHeight w:val="257"/>
        </w:trPr>
        <w:tc>
          <w:tcPr>
            <w:tcW w:w="50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 common share equivalents:</w:t>
            </w: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55,243</w:t>
            </w:r>
          </w:p>
        </w:tc>
        <w:tc>
          <w:tcPr>
            <w:tcW w:w="0" w:type="dxa"/>
            <w:vAlign w:val="bottom"/>
          </w:tcPr>
          <w:p>
            <w:pPr>
              <w:spacing w:after="0"/>
              <w:rPr>
                <w:sz w:val="1"/>
                <w:szCs w:val="1"/>
                <w:color w:val="auto"/>
              </w:rPr>
            </w:pPr>
          </w:p>
        </w:tc>
      </w:tr>
      <w:tr>
        <w:trPr>
          <w:trHeight w:val="263"/>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230,381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651,681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229,951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608,598</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Restricted stock awards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49,804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355,442</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314,693</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used for computing</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14,387,538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12,110,946</w:t>
            </w:r>
          </w:p>
        </w:tc>
        <w:tc>
          <w:tcPr>
            <w:tcW w:w="100" w:type="dxa"/>
            <w:vAlign w:val="bottom"/>
          </w:tcPr>
          <w:p>
            <w:pPr>
              <w:spacing w:after="0"/>
              <w:rPr>
                <w:sz w:val="18"/>
                <w:szCs w:val="18"/>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14,148,748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11,987,976</w:t>
            </w:r>
          </w:p>
        </w:tc>
        <w:tc>
          <w:tcPr>
            <w:tcW w:w="0" w:type="dxa"/>
            <w:vAlign w:val="bottom"/>
          </w:tcPr>
          <w:p>
            <w:pPr>
              <w:spacing w:after="0"/>
              <w:rPr>
                <w:sz w:val="1"/>
                <w:szCs w:val="1"/>
                <w:color w:val="auto"/>
              </w:rPr>
            </w:pPr>
          </w:p>
        </w:tc>
      </w:tr>
      <w:tr>
        <w:trPr>
          <w:trHeight w:val="221"/>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Office Lease</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February 10, 2025, KICO entered into a lease agreement for an office facility located in Kingston, New York under an operating lease. The lease commenced on March 1, 2025 (the "Commencement Date") and will expire on March 31, 2030. KICO has the option to renew the lease for an additional term of five years. KICO may terminate the lease anytime following the third anniversary of the Commencement Date if its insurance business is sold or substantially all of the Company's assets are sold. Base rent over the term of the lease is $269,777 plus a proportionate share of taxes, common area maintenance costs and insurance.</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a party to a non-cancellable operating lease, dated March 27, 2015, for its office facility for KICO located in Valley Stream, New York, which expired on March 31, 2024. The lease was not renewed.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the Company’s office operating leases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268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6"/>
        </w:trPr>
        <w:tc>
          <w:tcPr>
            <w:tcW w:w="5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13,391</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41,342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17,855</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41,342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lease cost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13,391</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41,342</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17,855</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41,342</w:t>
            </w:r>
          </w:p>
        </w:tc>
        <w:tc>
          <w:tcPr>
            <w:tcW w:w="0" w:type="dxa"/>
            <w:vAlign w:val="bottom"/>
          </w:tcPr>
          <w:p>
            <w:pPr>
              <w:spacing w:after="0"/>
              <w:rPr>
                <w:sz w:val="1"/>
                <w:szCs w:val="1"/>
                <w:color w:val="auto"/>
              </w:rPr>
            </w:pPr>
          </w:p>
        </w:tc>
      </w:tr>
      <w:tr>
        <w:trPr>
          <w:trHeight w:val="21"/>
        </w:trPr>
        <w:tc>
          <w:tcPr>
            <w:tcW w:w="5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 on operating leases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included in the measurement of lease liability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in operating cash flows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12,254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49,145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16,338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49,145</w:t>
            </w:r>
          </w:p>
        </w:tc>
        <w:tc>
          <w:tcPr>
            <w:tcW w:w="0" w:type="dxa"/>
            <w:vAlign w:val="bottom"/>
          </w:tcPr>
          <w:p>
            <w:pPr>
              <w:spacing w:after="0"/>
              <w:rPr>
                <w:sz w:val="1"/>
                <w:szCs w:val="1"/>
                <w:color w:val="auto"/>
              </w:rPr>
            </w:pPr>
          </w:p>
        </w:tc>
      </w:tr>
      <w:tr>
        <w:trPr>
          <w:trHeight w:val="25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63"/>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lease term in years</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 right-of-use assets, included in other assets, were $173,098 and $0 as of June 30, 2025 and December 31, 2024, respectively. Operating lease right-of-use liabilities, included in accounts payable, accrued expenses and other liabilities, were $173,098 and $-0- as of June 30, 2025 and December 31, 2024, respectively.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Rent expense for the three months ended June 30, 2025 and 2024 amounted to $13,391 and $41,342, respectively, and is included in the accompanying condensed consolidated statements of income and comprehensive income within other underwriting expenses. Rent expense for the six months ended June 30, 2025 and 2024 amounted to $17,855 and $41,342, respectively, and is included in the accompanying condensed consolidated statements of income and comprehensive income within other underwriting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Meryl Golden, President and Chief Executive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2023</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27, 2022, the Company and Meryl Golden, President and Chief Executive Officer of the Company, entered into a second amended and restated employment agreement which took effect as of January 1, 2023, and expired on December 31, 2024 (the “Second Amended Golden Employment Agreement”).</w:t>
      </w:r>
    </w:p>
    <w:p>
      <w:pPr>
        <w:spacing w:after="0" w:line="16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Pursuant to the Second Amended Golden Employment Agreement, Ms. Golden was entitled to receive an annual base salary of $500,000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her base salary. In addition, pursuant to the Second Amended Golden Employment Agreement, Ms. Golden was granted, under the terms of the 2014 Plan, during each of January 2023 and January 2024, a number of shares of restricted stock determined by dividing $136,500 by the fair market value of the Company’s Common Stock on the date of grant. In January 2023, Ms. Golden was granted 101,111 shares of restricted stock pursuant to this provision. The 2023 grant vested with respect to one-half of the award on the first anniversary of the grant date and one-half of the award on December 31, 2024, based on the continued provision of services through such dates. In January 2024, Ms. Golden was granted 64,085 shares of restricted stock pursuant to this provision. The 2024 grant vested on January 2, 2025, based on the continued provision of services through such date. Further, pursuant to the Second Amended Golden Employment Agreement, Ms. Golden would be entitled to receive, under certain circumstances, a payment equal to 1.5 times her then annual base salary and her accrued bonus in the event of the termination of her employment within 18 months following a change of control of the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effective as of January 1, 2025</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15, 2024, the Company and Ms. Golden entered into a third amended and restated employment agreement (the “Third Amended Golden Employment Agreement”). The Third Amended Golden Employment Agreement was effective as of January 1, 2025 and extends the expiration date of the Second Amended Golden Employment Agreement from December 31, 2024 to December 31, 2026. Pursuant to the Third Amended Golden Employment Agreement, Ms. Golden</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is entitled to receive an annual base salary of $550,000 (increased from $500,000 previously in effect)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her base annual salary (the same as previously in effect). Pursuant to the Third Amended Golden Employment Agreement (and as was provided for in the Second Amended Golden Employment Agreement), in the event that Ms. Golden’s employment is terminated by the Company without cause or she resigns for good reason (each as defined in the Third Amended Golden Employment Agreement), Ms. Golden would be entitled to receive her base salary and the 3% bonus for the remainder of the term. Ms. Golden would be entitled, under certain circumstances, to a payment equal to 1.5 times her then annual salary and her accrued bonus in the event of the termination of her employment following a change of control of the Company (also as is provided for in the Second Amended Golden Employment Agreement). Pursuant to the Third Amended Golden Employment Agreement, Ms. Golden received during January 2025, and will be entitled to receive during January 2026, under certain circumstances, a grant of 40,000 shares of restricted stock. The 2025 grant will become vested with respect to one-half of the award on the first anniversary of the grant date and one-half on December 31, 2026. The 2026 grant will become vested on the first anniversary of the grant date. In the event that the Company is precluded from making a grant to Ms. Golden in 2026, she would instead be entitled to a cash bonus of $136,500 for such 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 Subsequent Events, Employment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Employee Benefit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Bonus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Bonus Plan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months ended June 30, 2025 and 2024, the Company accrued $856,458 and $502,075, respectively ("Cash Payments") related to an employee bonus plan (the "Bonus Plan"), of which $195,272 and $114,473, respectively, is allocated and recorded in loss and LAE, and $661,186 and $387,602, respectively, is recorded in other underwriting expenses on the accompanying condensed consolidated statements of income and comprehensive income. For the six months ended June 30, 2025 and 2024, the Company accrued approximately $980,391 and $584,140, respectively, of Cash Payments related to the Bonus Plan, of which $223,529 and $133,184,respectively, is allocated and recorded in loss and LAE, and $756,862 and $450,956, respectively, is recorded in other underwriting expenses on the accompanying condensed consolidated statements of income and comprehensive income. In addition to the Cash Payments, the Bonus Plan also calls for a restricted stock award ("RSA") to the Company's senior leadership team ("SLT") in an amount up to their Cash Payments if certain performance metrics have been met. The performance metrics for the six months ended June 30, 2025 were met, and, accordingly, $48,006 of stock based compensation liability has been accrued for the three months and six months ended June 30, 2025 for the SLT RSA bonus and is recorded in other operating expenses on the accompanying condensed consolidated statements of income and comprehensive income. For the three months and six months ended June 30, 2024, the performance metrics were not met, and accordingly, the Company did not accrue any amount for the SLT RSA bonus.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Bonus Plan</w:t>
      </w:r>
    </w:p>
    <w:p>
      <w:pPr>
        <w:spacing w:after="0" w:line="2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For the three months ended June 30, 2025 and 2024, the Company accrued approximately $345,000 and $116,000, respectively, for a bonus pursuant to the Third Amended Golden Employment Agreement ("Executive Bonus"), of which $311,000 and $0, respectively, is recorded in other underwriting expenses, and $34,000 and $116,000, respectively, is recorded in other operating expenses on the accompanying condensed consolidated statements of income and comprehensive income. For the six months ended June 30, 2025, the Company accrued approximately $371,000 and $116,000, respectively, for the Executive Bonus of which $334,000 and $0, respectively, is recorded in other underwriting expenses, and $37,000 and $116,000, respectively, is recorded in other operating expenses on the accompanying condensed consolidated statements of income and comprehensive income.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401(k) Plan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a salary reduction plan under Section 401(k) of the Internal Revenue Code (the “401(k) Plan”) for its qualified employees. The Company matches 100% of each participant’s contribution up to 4% of the participant’s eligible contribution. The Company incurred approximately $72,000 and $66,000, respectively, of expense for the three months ended June 30, 2025 and 2024, related to the 401(k) Plan, which is recorded in other underwriting expenses on the accompanying condensed consolidated statements of income and comprehensive income. The Company incurred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approximately $185,000 and $138,000, respectively, of expense for the six months ended June 30, 2025 and 2024, related to the 401(k) Plan, which is recorded in other underwriting expenses on the accompanying condensed consolidated statements of income and comprehensive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Information</w:t>
      </w:r>
    </w:p>
    <w:p>
      <w:pPr>
        <w:spacing w:after="0" w:line="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Company reports results of operations for its reportable segments consistent with the manner in which its chief operating decision maker ("CODM") reviews the business to assess performance and allocate resources. The Company identifies its CODM to be its President and Chief Executive Officer.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evaluates the results of its single reportable segment as follows:</w:t>
      </w:r>
    </w:p>
    <w:p>
      <w:pPr>
        <w:spacing w:after="0" w:line="225"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Insurance operations are evaluated on underwriting results (net premiums earned, ceding commission earned, other income, loss and loss adjustment expenses, commission expense, and other underwriting expenses), equating to the components of the net combined ratio.</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Investments from the insurance operations are primarily evaluated on net investment income and its return on equity contribution.</w:t>
      </w:r>
    </w:p>
    <w:p>
      <w:pPr>
        <w:spacing w:after="0" w:line="225" w:lineRule="exact"/>
        <w:rPr>
          <w:sz w:val="20"/>
          <w:szCs w:val="20"/>
          <w:color w:val="auto"/>
        </w:rPr>
      </w:pPr>
    </w:p>
    <w:p>
      <w:pPr>
        <w:jc w:val="both"/>
        <w:ind w:left="660" w:right="20"/>
        <w:spacing w:after="0" w:line="236" w:lineRule="auto"/>
        <w:rPr>
          <w:sz w:val="20"/>
          <w:szCs w:val="20"/>
          <w:color w:val="auto"/>
        </w:rPr>
      </w:pPr>
      <w:r>
        <w:rPr>
          <w:rFonts w:ascii="Times New Roman" w:cs="Times New Roman" w:eastAsia="Times New Roman" w:hAnsi="Times New Roman"/>
          <w:sz w:val="18"/>
          <w:szCs w:val="18"/>
          <w:color w:val="auto"/>
        </w:rPr>
        <w:t>Net (losses) gains on investments, gain on sale of real estate, other operating expenses are corporate expenses, depreciation and amortization, interest expense, and income tax, which are broken out below the insurance operations components of the net combined ratio to return to the consolidated net income.</w:t>
      </w:r>
    </w:p>
    <w:p>
      <w:pPr>
        <w:spacing w:after="0" w:line="2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Company's CODM uses these measures of profit or loss predominantly in the annual budget and forecasting process, considering budget-to-actual variances throughout the year. The CODM also uses these profit measures for evaluating (i) financial performance, (ii) pricing in the Company's insurance operations, and (iii) employee compensation.</w:t>
      </w:r>
    </w:p>
    <w:p>
      <w:pPr>
        <w:spacing w:after="0" w:line="2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 does not allocate items not included in the net combined ratio. Such items include net (losses) gains on investments, gain on sale of real estate, depreciation and amortization, interest expense, corporate expenses included in other operating expenses, and assets to these segments. The Company does not allocate income taxes to its segments. The Company does not manage those segments on after-tax results.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reconciles the revenue and expense components of the net combined ratio to consolidated net income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8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40" w:type="dxa"/>
            <w:vAlign w:val="bottom"/>
          </w:tcPr>
          <w:p>
            <w:pPr>
              <w:spacing w:after="0"/>
              <w:rPr>
                <w:sz w:val="17"/>
                <w:szCs w:val="17"/>
                <w:color w:val="auto"/>
              </w:rPr>
            </w:pPr>
          </w:p>
        </w:tc>
      </w:tr>
      <w:tr>
        <w:trPr>
          <w:trHeight w:val="238"/>
        </w:trPr>
        <w:tc>
          <w:tcPr>
            <w:tcW w:w="4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2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57"/>
        </w:trPr>
        <w:tc>
          <w:tcPr>
            <w:tcW w:w="4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7"/>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components of net combined ratio</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premiums earned</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46,215,260</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30,303,612</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89,738,323</w:t>
            </w:r>
          </w:p>
        </w:tc>
        <w:tc>
          <w:tcPr>
            <w:tcW w:w="100" w:type="dxa"/>
            <w:vAlign w:val="bottom"/>
          </w:tcPr>
          <w:p>
            <w:pPr>
              <w:spacing w:after="0"/>
              <w:rPr>
                <w:sz w:val="21"/>
                <w:szCs w:val="21"/>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59,123,514</w:t>
            </w:r>
          </w:p>
        </w:tc>
      </w:tr>
      <w:tr>
        <w:trPr>
          <w:trHeight w:val="26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Ceding commission revenue</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3,081,556</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4,561,961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6,040,247</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9,129,072</w:t>
            </w:r>
          </w:p>
        </w:tc>
      </w:tr>
      <w:tr>
        <w:trPr>
          <w:trHeight w:val="250"/>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151,173</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104,811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291,127</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252,978</w:t>
            </w:r>
          </w:p>
        </w:tc>
      </w:tr>
      <w:tr>
        <w:trPr>
          <w:trHeight w:val="250"/>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 components of net combined ratio</w:t>
            </w: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49,447,989</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34,970,384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96,069,697</w:t>
            </w:r>
          </w:p>
        </w:tc>
        <w:tc>
          <w:tcPr>
            <w:tcW w:w="10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68,505,564</w:t>
            </w:r>
          </w:p>
        </w:tc>
      </w:tr>
      <w:tr>
        <w:trPr>
          <w:trHeight w:val="257"/>
        </w:trPr>
        <w:tc>
          <w:tcPr>
            <w:tcW w:w="4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7"/>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 components of net combined ratio</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17,927,162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14,238,308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45,102,240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32,097,895</w:t>
            </w:r>
          </w:p>
        </w:tc>
      </w:tr>
      <w:tr>
        <w:trPr>
          <w:trHeight w:val="263"/>
        </w:trPr>
        <w:tc>
          <w:tcPr>
            <w:tcW w:w="4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Commission expense</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10,629,629</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8,232,480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19,942,509</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16,084,292</w:t>
            </w:r>
          </w:p>
        </w:tc>
      </w:tr>
      <w:tr>
        <w:trPr>
          <w:trHeight w:val="250"/>
        </w:trPr>
        <w:tc>
          <w:tcPr>
            <w:tcW w:w="4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7,727,367</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5,900,525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15,132,789</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11,781,130</w:t>
            </w:r>
          </w:p>
        </w:tc>
      </w:tr>
      <w:tr>
        <w:trPr>
          <w:trHeight w:val="250"/>
        </w:trPr>
        <w:tc>
          <w:tcPr>
            <w:tcW w:w="4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expense components of net combined ratio</w:t>
            </w: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36,284,158</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28,371,313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80,177,538</w:t>
            </w:r>
          </w:p>
        </w:tc>
        <w:tc>
          <w:tcPr>
            <w:tcW w:w="10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59,963,317</w:t>
            </w:r>
          </w:p>
        </w:tc>
      </w:tr>
      <w:tr>
        <w:trPr>
          <w:trHeight w:val="257"/>
        </w:trPr>
        <w:tc>
          <w:tcPr>
            <w:tcW w:w="4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segment net income</w:t>
            </w: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13,163,831</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6,599,071</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15,892,159</w:t>
            </w:r>
          </w:p>
        </w:tc>
        <w:tc>
          <w:tcPr>
            <w:tcW w:w="10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8,542,247</w:t>
            </w:r>
          </w:p>
        </w:tc>
      </w:tr>
      <w:tr>
        <w:trPr>
          <w:trHeight w:val="257"/>
        </w:trPr>
        <w:tc>
          <w:tcPr>
            <w:tcW w:w="4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7"/>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components</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excluded from net combined ratio:</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7"/>
        </w:trPr>
        <w:tc>
          <w:tcPr>
            <w:tcW w:w="4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07"/>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components excluded from net combined</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5"/>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2,300,267</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1,764,596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4,348,863</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3,267,456</w:t>
            </w:r>
          </w:p>
        </w:tc>
      </w:tr>
      <w:tr>
        <w:trPr>
          <w:trHeight w:val="25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gains (losses) on investments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546,451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408,472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492,785</w:t>
            </w:r>
          </w:p>
        </w:tc>
      </w:tr>
      <w:tr>
        <w:trPr>
          <w:trHeight w:val="26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4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1,965,989</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r>
      <w:tr>
        <w:trPr>
          <w:trHeight w:val="243"/>
        </w:trPr>
        <w:tc>
          <w:tcPr>
            <w:tcW w:w="4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 components excluded</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50"/>
        </w:trPr>
        <w:tc>
          <w:tcPr>
            <w:tcW w:w="42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from net combined ratio</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2,846,790</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1,531,731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6,723,857</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3,761,728</w:t>
            </w:r>
          </w:p>
        </w:tc>
      </w:tr>
      <w:tr>
        <w:trPr>
          <w:trHeight w:val="257"/>
        </w:trPr>
        <w:tc>
          <w:tcPr>
            <w:tcW w:w="42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07"/>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 components excluded from net combined</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5"/>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4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1,153,480</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800,966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2,189,217</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1,579,048</w:t>
            </w:r>
          </w:p>
        </w:tc>
      </w:tr>
      <w:tr>
        <w:trPr>
          <w:trHeight w:val="250"/>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613,364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1,237,227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1,216,447</w:t>
            </w:r>
          </w:p>
        </w:tc>
      </w:tr>
      <w:tr>
        <w:trPr>
          <w:trHeight w:val="263"/>
        </w:trPr>
        <w:tc>
          <w:tcPr>
            <w:tcW w:w="4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77,074</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989,723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304,528</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1,983,598</w:t>
            </w:r>
          </w:p>
        </w:tc>
      </w:tr>
      <w:tr>
        <w:trPr>
          <w:trHeight w:val="250"/>
        </w:trPr>
        <w:tc>
          <w:tcPr>
            <w:tcW w:w="4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2,914,371</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1,205,242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3,750,052</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1,583,266</w:t>
            </w:r>
          </w:p>
        </w:tc>
      </w:tr>
      <w:tr>
        <w:trPr>
          <w:trHeight w:val="243"/>
        </w:trPr>
        <w:tc>
          <w:tcPr>
            <w:tcW w:w="4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expense components excluded</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50"/>
        </w:trPr>
        <w:tc>
          <w:tcPr>
            <w:tcW w:w="4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from net combined ratio</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4,758,289</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3,615,865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7,481,024</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6,362,359</w:t>
            </w:r>
          </w:p>
        </w:tc>
      </w:tr>
      <w:tr>
        <w:trPr>
          <w:trHeight w:val="256"/>
        </w:trPr>
        <w:tc>
          <w:tcPr>
            <w:tcW w:w="42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income (loss) components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7"/>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excluded from net combined ratio:</w:t>
            </w: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(1,911,499)</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(2,084,134)</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(757,167)</w:t>
            </w:r>
          </w:p>
        </w:tc>
        <w:tc>
          <w:tcPr>
            <w:tcW w:w="10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(2,600,631)</w:t>
            </w:r>
          </w:p>
        </w:tc>
      </w:tr>
      <w:tr>
        <w:trPr>
          <w:trHeight w:val="256"/>
        </w:trPr>
        <w:tc>
          <w:tcPr>
            <w:tcW w:w="4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5"/>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11,252,332</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4,514,937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15,134,992</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5,941,616</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calculation of the net combined ratio and return on equity from net investment income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40" w:type="dxa"/>
            <w:vAlign w:val="bottom"/>
            <w:gridSpan w:val="5"/>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1"/>
                <w:szCs w:val="21"/>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5"/>
        </w:trPr>
        <w:tc>
          <w:tcPr>
            <w:tcW w:w="37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57"/>
        </w:trPr>
        <w:tc>
          <w:tcPr>
            <w:tcW w:w="376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shd w:val="clear" w:color="auto" w:fill="CCEEFF"/>
          </w:tcPr>
          <w:p>
            <w:pPr>
              <w:spacing w:after="0"/>
              <w:rPr>
                <w:sz w:val="22"/>
                <w:szCs w:val="22"/>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combined ratio</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ratio</w:t>
            </w:r>
          </w:p>
        </w:tc>
        <w:tc>
          <w:tcPr>
            <w:tcW w:w="3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100" w:type="dxa"/>
            <w:vAlign w:val="bottom"/>
            <w:shd w:val="clear" w:color="auto" w:fill="CCEEFF"/>
          </w:tcPr>
          <w:p>
            <w:pPr>
              <w:spacing w:after="0"/>
              <w:rPr>
                <w:sz w:val="22"/>
                <w:szCs w:val="22"/>
                <w:color w:val="auto"/>
              </w:rPr>
            </w:pPr>
          </w:p>
        </w:tc>
      </w:tr>
      <w:tr>
        <w:trPr>
          <w:trHeight w:val="250"/>
        </w:trPr>
        <w:tc>
          <w:tcPr>
            <w:tcW w:w="3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00" w:type="dxa"/>
            <w:vAlign w:val="bottom"/>
            <w:tcBorders>
              <w:bottom w:val="single" w:sz="8" w:color="CCEEFF"/>
            </w:tcBorders>
          </w:tcPr>
          <w:p>
            <w:pPr>
              <w:spacing w:after="0"/>
              <w:rPr>
                <w:sz w:val="21"/>
                <w:szCs w:val="21"/>
                <w:color w:val="auto"/>
              </w:rPr>
            </w:pPr>
          </w:p>
        </w:tc>
      </w:tr>
      <w:tr>
        <w:trPr>
          <w:trHeight w:val="275"/>
        </w:trPr>
        <w:tc>
          <w:tcPr>
            <w:tcW w:w="3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combined ratio</w:t>
            </w:r>
          </w:p>
        </w:tc>
        <w:tc>
          <w:tcPr>
            <w:tcW w:w="3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78.2 %</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82.3 %</w:t>
            </w:r>
          </w:p>
        </w:tc>
        <w:tc>
          <w:tcPr>
            <w:tcW w:w="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85.6 %</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23"/>
        </w:trPr>
        <w:tc>
          <w:tcPr>
            <w:tcW w:w="3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Reconciliation of net underwriting expense ratio:</w:t>
            </w:r>
          </w:p>
        </w:tc>
        <w:tc>
          <w:tcPr>
            <w:tcW w:w="3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0"/>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Commission expense and other</w:t>
            </w: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underwriting expenses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18,356,996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14,133,005</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35,075,298</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27,865,422</w:t>
            </w:r>
          </w:p>
        </w:tc>
        <w:tc>
          <w:tcPr>
            <w:tcW w:w="100" w:type="dxa"/>
            <w:vAlign w:val="bottom"/>
          </w:tcPr>
          <w:p>
            <w:pPr>
              <w:spacing w:after="0"/>
              <w:rPr>
                <w:sz w:val="22"/>
                <w:szCs w:val="22"/>
                <w:color w:val="auto"/>
              </w:rPr>
            </w:pPr>
          </w:p>
        </w:tc>
      </w:tr>
      <w:tr>
        <w:trPr>
          <w:trHeight w:val="250"/>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Ceding commission revenue</w:t>
            </w:r>
          </w:p>
        </w:tc>
        <w:tc>
          <w:tcPr>
            <w:tcW w:w="3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(3,081,556)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(4,561,961)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(6,040,247)</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(9,129,072)</w:t>
            </w:r>
          </w:p>
        </w:tc>
        <w:tc>
          <w:tcPr>
            <w:tcW w:w="100" w:type="dxa"/>
            <w:vAlign w:val="bottom"/>
          </w:tcPr>
          <w:p>
            <w:pPr>
              <w:spacing w:after="0"/>
              <w:rPr>
                <w:sz w:val="21"/>
                <w:szCs w:val="21"/>
                <w:color w:val="auto"/>
              </w:rPr>
            </w:pPr>
          </w:p>
        </w:tc>
      </w:tr>
      <w:tr>
        <w:trPr>
          <w:trHeight w:val="263"/>
        </w:trPr>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Other income</w:t>
            </w:r>
          </w:p>
        </w:tc>
        <w:tc>
          <w:tcPr>
            <w:tcW w:w="3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(151,173)</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(104,811)</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(291,127)</w:t>
            </w:r>
          </w:p>
        </w:tc>
        <w:tc>
          <w:tcPr>
            <w:tcW w:w="8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(252,978)</w:t>
            </w:r>
          </w:p>
        </w:tc>
        <w:tc>
          <w:tcPr>
            <w:tcW w:w="100" w:type="dxa"/>
            <w:vAlign w:val="bottom"/>
          </w:tcPr>
          <w:p>
            <w:pPr>
              <w:spacing w:after="0"/>
              <w:rPr>
                <w:sz w:val="22"/>
                <w:szCs w:val="22"/>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commission expense and other</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2"/>
        </w:trPr>
        <w:tc>
          <w:tcPr>
            <w:tcW w:w="37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underwriting expenses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15,124,267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9,466,233</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28,743,924</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18,483,372</w:t>
            </w:r>
          </w:p>
        </w:tc>
        <w:tc>
          <w:tcPr>
            <w:tcW w:w="100" w:type="dxa"/>
            <w:vAlign w:val="bottom"/>
          </w:tcPr>
          <w:p>
            <w:pPr>
              <w:spacing w:after="0"/>
              <w:rPr>
                <w:sz w:val="24"/>
                <w:szCs w:val="24"/>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5"/>
        </w:trPr>
        <w:tc>
          <w:tcPr>
            <w:tcW w:w="3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earned premium</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46,215,260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30,303,612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89,738,323</w:t>
            </w:r>
          </w:p>
        </w:tc>
        <w:tc>
          <w:tcPr>
            <w:tcW w:w="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59,123,514</w:t>
            </w:r>
          </w:p>
        </w:tc>
        <w:tc>
          <w:tcPr>
            <w:tcW w:w="100" w:type="dxa"/>
            <w:vAlign w:val="bottom"/>
          </w:tcPr>
          <w:p>
            <w:pPr>
              <w:spacing w:after="0"/>
              <w:rPr>
                <w:sz w:val="23"/>
                <w:szCs w:val="23"/>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3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00" w:type="dxa"/>
            <w:vAlign w:val="bottom"/>
          </w:tcPr>
          <w:p>
            <w:pPr>
              <w:spacing w:after="0"/>
              <w:rPr>
                <w:sz w:val="22"/>
                <w:szCs w:val="22"/>
                <w:color w:val="auto"/>
              </w:rPr>
            </w:pPr>
          </w:p>
        </w:tc>
      </w:tr>
      <w:tr>
        <w:trPr>
          <w:trHeight w:val="270"/>
        </w:trPr>
        <w:tc>
          <w:tcPr>
            <w:tcW w:w="3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Return on equity on net investment income</w:t>
            </w:r>
          </w:p>
        </w:tc>
        <w:tc>
          <w:tcPr>
            <w:tcW w:w="3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equity beginning of period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82,209,963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35,749,807</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66,708,451</w:t>
            </w:r>
          </w:p>
        </w:tc>
        <w:tc>
          <w:tcPr>
            <w:tcW w:w="8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34,504,139</w:t>
            </w:r>
          </w:p>
        </w:tc>
        <w:tc>
          <w:tcPr>
            <w:tcW w:w="100" w:type="dxa"/>
            <w:vAlign w:val="bottom"/>
          </w:tcPr>
          <w:p>
            <w:pPr>
              <w:spacing w:after="0"/>
              <w:rPr>
                <w:sz w:val="21"/>
                <w:szCs w:val="21"/>
                <w:color w:val="auto"/>
              </w:rPr>
            </w:pPr>
          </w:p>
        </w:tc>
      </w:tr>
      <w:tr>
        <w:trPr>
          <w:trHeight w:val="26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Stockholders' equity end of period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94,877,892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40,802,774</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94,877,892</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40,802,774</w:t>
            </w:r>
          </w:p>
        </w:tc>
        <w:tc>
          <w:tcPr>
            <w:tcW w:w="100" w:type="dxa"/>
            <w:vAlign w:val="bottom"/>
          </w:tcPr>
          <w:p>
            <w:pPr>
              <w:spacing w:after="0"/>
              <w:rPr>
                <w:sz w:val="22"/>
                <w:szCs w:val="22"/>
                <w:color w:val="auto"/>
              </w:rPr>
            </w:pPr>
          </w:p>
        </w:tc>
      </w:tr>
      <w:tr>
        <w:trPr>
          <w:trHeight w:val="250"/>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 stockholders' equity</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88,543,928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38,276,291</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80,793,172</w:t>
            </w:r>
          </w:p>
        </w:tc>
        <w:tc>
          <w:tcPr>
            <w:tcW w:w="8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37,653,457</w:t>
            </w:r>
          </w:p>
        </w:tc>
        <w:tc>
          <w:tcPr>
            <w:tcW w:w="100" w:type="dxa"/>
            <w:vAlign w:val="bottom"/>
          </w:tcPr>
          <w:p>
            <w:pPr>
              <w:spacing w:after="0"/>
              <w:rPr>
                <w:sz w:val="21"/>
                <w:szCs w:val="21"/>
                <w:color w:val="auto"/>
              </w:rPr>
            </w:pPr>
          </w:p>
        </w:tc>
      </w:tr>
      <w:tr>
        <w:trPr>
          <w:trHeight w:val="26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2,300,267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1,764,596</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4,348,863</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3,267,456</w:t>
            </w:r>
          </w:p>
        </w:tc>
        <w:tc>
          <w:tcPr>
            <w:tcW w:w="100" w:type="dxa"/>
            <w:vAlign w:val="bottom"/>
          </w:tcPr>
          <w:p>
            <w:pPr>
              <w:spacing w:after="0"/>
              <w:rPr>
                <w:sz w:val="22"/>
                <w:szCs w:val="22"/>
                <w:color w:val="auto"/>
              </w:rPr>
            </w:pPr>
          </w:p>
        </w:tc>
      </w:tr>
      <w:tr>
        <w:trPr>
          <w:trHeight w:val="250"/>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Return on equity on net investment income</w:t>
            </w: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r>
      <w:tr>
        <w:trPr>
          <w:trHeight w:val="218"/>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Return on equity on net investment income -</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annualized</w:t>
            </w:r>
          </w:p>
        </w:tc>
        <w:tc>
          <w:tcPr>
            <w:tcW w:w="3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r>
      <w:tr>
        <w:trPr>
          <w:trHeight w:val="243"/>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393,421,525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318,292,723</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393,421,525</w:t>
            </w:r>
          </w:p>
        </w:tc>
        <w:tc>
          <w:tcPr>
            <w:tcW w:w="8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318,292,723</w:t>
            </w:r>
          </w:p>
        </w:tc>
        <w:tc>
          <w:tcPr>
            <w:tcW w:w="100" w:type="dxa"/>
            <w:vAlign w:val="bottom"/>
          </w:tcPr>
          <w:p>
            <w:pPr>
              <w:spacing w:after="0"/>
              <w:rPr>
                <w:sz w:val="21"/>
                <w:szCs w:val="2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Sale of Real Estate</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February 5, 2025, a subsidiary of the Company entered into a contract of sale with Ulster County, New York (the “County”) for the sale to the County of the Company’s headquarters building in Kingston, New York, along with an adjacent mixed-use property (collectively, the “Property”). The purchase price for the Property was $3,600,000. The closing of the sale was on March 19,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events that occurred subsequent to June 30, 2025 through the date these condensed consolidated financial statements were issued for matters that required disclosure or adjustment in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Reinsurance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July 1, 2025, KICO entered into new excess of loss and catastrophe reinsurance treaties (see Note 6 – Property and Casualty Insurance Activity - “Reinsurance”). The new catastrophe reinsurance treaties includes the issuance of a $125,000,000 catastrophe bond ("Series 2025-1 Notes"). The Series 2025-1 Notes were priced at 4.5% and issued through a Bermuda-registered special purpose insurer, 1886 Re Ltd., providing KICO with $125,000,000 of collateralized reinsurance protection. The notes offer multi-year protection against named storm events across New York, New Jersey, Connecticut, Massachusetts and Rhode Island on an indemnity trigger and per-occurrence basis. The notes, which were structured and placed by Aon Securities LLC, will cover four annual risk periods from July 1, 2025, through June 30, 2029.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July 4, 2025, the One Big Beautiful Bill Act (the "Act") was enacted. The Act includes significant federal tax law changes which, among other impacts, modify and make permanent certain business tax provisions originally enacted in the 2017 Tax Cuts and Jobs Act. The Act is subject to further clarification from the issuance of future technical guidance by the U.S. Department of Treasury. The Company is currently evaluating the impacts of the Act but does not expect it to have a material impact on its results of operations or financial condition.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 Declared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22, 2025, the Company’s Board of Directors approved a quarterly dividend of $0.05 per share payable in cash on August 26, 2025 to stockholders of record as of the close of business on August 11, 2025 (see Note 8 – Stockholders’ Equity).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 - New Chief Financial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Randy Patten, Vice President, Treasurer and Chief Financial Officer (effective August 25, 2025)</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23, 2025, the Company and Randy Patten entered into an employment agreement (the “Patten Employment Agreement”) pursuant to which Mr. Patten will serve as the Company’s Chief Financial Officer, Vice President and Treasurer. Mr. Patten will also serve as KICO’s Chief Financial Officer, Vice President and Treasurer. The Patten Employment Agreement will be effective as of August 25, 2025 (the "Effective Date") and will expire on August 25, 2028 (the "Expiration Date"). The term of Patten Employment Agreement shall automatically be extended for one year periods beyond the Expiration Date unless either party provides written notice to the other party, no later than four months preceding the Expiration Date (or the end of the Term, if extended) of its or his desire that the term of this Agreement not be extended.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Patten Employment Agreement, Mr. Patten is entitled to receive an annual base salary of $400,000 and shall participate in the Company's Bonus Plan and SLT RSA bonus (see Note 12 – Employee Benefit Plans, Employee Bonus Plan). In accordance with the Bonus Plan, Mr. Patten's Cash Bonus target will be 25% of his base salary, and in no event, will the Cash Bonus for the calendar year ending December 31, 2025 be less than $35,000.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or about the Effective Date, the Company will pay to Mr. Patten a sign-on bonus of $200,000 (the “Sign-on Bonus”). In the event that, prior to the first anniversary of the Effective Date, Mr. Patten's employment with the Company is terminated by the Company for cause or by the Employee without good reason, Mr. Patten would be obligated to promptly repay the Sign-on Bonus to the Company. At its option, the Company shall have the right to offset such Sign-on Bonus repayment obligation against any and all amounts payable to Mr. Patten.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or about the Effective Date, Mr. Patten will be entitled to receive a restricted stock grant of a number of shares of Common Stock determined by dividing $600,000 by the fair market value of the Company’s Common Stock on the date of grant. Such stock grant will become vested with respect to 25% of the award on each of the first and second anniversary dates of the grant date and 50% on the third anniversary dates of the grant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other subsequent events identified requiring recognition or disclosure in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offer property and casualty insurance products through our wholly-owned subsidiary, Kingstone Insurance Company (“KICO”). KICO is a New York domiciled carrier writing business through retail and wholesale agents and brokers. KICO is actively writing personal lines and commercial auto insurance in New York, and in 2024 was the 12th largest writer of homeowners insurance in New York. KICO is also licensed in the states of New Jersey, Rhode Island, Massachusetts, Connecticut, Pennsylvania, New Hampshire, and Maine. For the three months ended June 30, 2025 and 2024 respectively, 97.9% and 95.9% of KICO’s direct written premiums came from the New York policies. For the six months ended June 30, 2025 and 2024 respectively,</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98.1% and 95.2% of KICO’s direct written premiums came from the New York policies. We refer to our New York business as our “Core” business and the business outside of New York as our “non-Core” business.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our subsidiary, Cosi Agency, Inc. (“Cosi”), a multi-state licensed general agency, receives commission revenue from KICO for the policies it places with others and pays commissions to these agencies. Cosi retains the profit between the commission revenue received and the commission expense paid (“Net Cosi Revenue”). Commission expense is reduced by Net Cosi Revenue. Cosi-related operating expenses are minimal and are included in other operating expenses.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 year term. Earned premiums represent premiums received from insureds, which are recognized as revenue over the period of time that insurance coverage is provided (i.e., ratably over the one 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83"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Other operating expenses include our corporate expenses as a holding company. These corporate expenses include legal and auditing fees, executive employment costs and equity compensation, directors' fees, and other costs directly associated with being a public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Lines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product lines include the following:</w:t>
      </w:r>
    </w:p>
    <w:p>
      <w:pPr>
        <w:spacing w:after="0" w:line="221" w:lineRule="exact"/>
        <w:rPr>
          <w:sz w:val="20"/>
          <w:szCs w:val="20"/>
          <w:color w:val="auto"/>
        </w:rPr>
      </w:pPr>
    </w:p>
    <w:p>
      <w:pPr>
        <w:jc w:val="both"/>
        <w:ind w:right="20" w:firstLine="6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Personal lines</w:t>
      </w:r>
      <w:r>
        <w:rPr>
          <w:rFonts w:ascii="Times New Roman" w:cs="Times New Roman" w:eastAsia="Times New Roman" w:hAnsi="Times New Roman"/>
          <w:sz w:val="18"/>
          <w:szCs w:val="18"/>
          <w:color w:val="auto"/>
        </w:rPr>
        <w:t>: Our largest line of business is personal lines, consisting of homeowners, dwelling fire, cooperative/condominium, renters,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personal umbrella policies.</w:t>
      </w:r>
    </w:p>
    <w:p>
      <w:pPr>
        <w:spacing w:after="0" w:line="155" w:lineRule="exact"/>
        <w:rPr>
          <w:sz w:val="20"/>
          <w:szCs w:val="20"/>
          <w:color w:val="auto"/>
        </w:rPr>
      </w:pPr>
    </w:p>
    <w:p>
      <w:pPr>
        <w:jc w:val="both"/>
        <w:ind w:firstLine="607"/>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Commercial liability: </w:t>
      </w:r>
      <w:r>
        <w:rPr>
          <w:rFonts w:ascii="Times New Roman" w:cs="Times New Roman" w:eastAsia="Times New Roman" w:hAnsi="Times New Roman"/>
          <w:sz w:val="18"/>
          <w:szCs w:val="18"/>
          <w:color w:val="auto"/>
        </w:rPr>
        <w:t>Through July 2019, we offered businessowners policies, which consist primarily of small business retail, service, and office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risks, with 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2019, due to the poor performance of these lines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In-force policies as of July 31, 2019 for these lines were non-renewed at the end of their annual terms. As of June 30, 2025 and December 31, 2024, there were no commercial liability policies in-force. As of June 30, 2025, these expired policies represented approximately 11.7% of loss and LAE reserves net of reinsurance recoverables. See discussion below under “Additional Financial Information”.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Livery physical damage: </w:t>
      </w:r>
      <w:r>
        <w:rPr>
          <w:rFonts w:ascii="Times New Roman" w:cs="Times New Roman" w:eastAsia="Times New Roman" w:hAnsi="Times New Roman"/>
          <w:sz w:val="18"/>
          <w:szCs w:val="18"/>
          <w:color w:val="auto"/>
        </w:rPr>
        <w:t>We write for-hire vehicle physical damage only policies for livery and car service vehicles and taxicabs. These policies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insure only the physical damage portion of insurance for such vehicles, with no liability coverage included.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We write canine legal liability policies and have a small participation in mandatory state joint underwriting associations.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GAAP and Non-GAAP Measures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utilize the following key GAAP accounting principles generally accepted in the United States and non-GAAP measures in analyzing the results of our insurance underwriting business. See "Non-GAAP Financial Measures" for a reconciliation of the below non-GAAP measures to the most directly comparable GAAP measure:</w:t>
      </w:r>
    </w:p>
    <w:p>
      <w:pPr>
        <w:spacing w:after="0" w:line="172" w:lineRule="exact"/>
        <w:rPr>
          <w:sz w:val="20"/>
          <w:szCs w:val="20"/>
          <w:color w:val="auto"/>
        </w:rPr>
      </w:pPr>
    </w:p>
    <w:p>
      <w:pPr>
        <w:jc w:val="both"/>
        <w:ind w:firstLine="607"/>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 written premiums, net premiums written: </w:t>
      </w:r>
      <w:r>
        <w:rPr>
          <w:rFonts w:ascii="Times New Roman" w:cs="Times New Roman" w:eastAsia="Times New Roman" w:hAnsi="Times New Roman"/>
          <w:sz w:val="18"/>
          <w:szCs w:val="18"/>
          <w:color w:val="auto"/>
        </w:rPr>
        <w:t>Direct written premiums represent the total premiums charged on policies issued by an insurance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during the respective fiscal period. Net written premiums are direct written premiums less premiums ceded to reinsurers. Net premiums earned, the GAAP measure most comparable to direct written premiums and net written premiums, are net written premiums that are pro-rata earned during the fiscal period presented. All of our policies are written for a twelve-month period. Management uses direct written premiums and net written premiums, along with other measures, to gauge our performance and evaluate results. Direct written premiums and net written premiums are provided as supplemental information, not as a substitute for net premiums earned, and do not reflect the Company’s net premiums earned.</w:t>
      </w:r>
    </w:p>
    <w:p>
      <w:pPr>
        <w:spacing w:after="0" w:line="20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Core and Non-Core direct written premiums: </w:t>
      </w:r>
      <w:r>
        <w:rPr>
          <w:rFonts w:ascii="Times New Roman" w:cs="Times New Roman" w:eastAsia="Times New Roman" w:hAnsi="Times New Roman"/>
          <w:sz w:val="18"/>
          <w:szCs w:val="18"/>
          <w:color w:val="auto"/>
        </w:rPr>
        <w:t>Core and Non-Core direct written premiums are not based on GAAP. Net premiums earned 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most directly comparable GAAP measure to direct written premiums. The aggregate of Core and Non-Core direct written premiums written is represented by direct written premiums.</w:t>
      </w:r>
    </w:p>
    <w:p>
      <w:pPr>
        <w:spacing w:after="0" w:line="164" w:lineRule="exact"/>
        <w:rPr>
          <w:sz w:val="20"/>
          <w:szCs w:val="20"/>
          <w:color w:val="auto"/>
        </w:rPr>
      </w:pPr>
    </w:p>
    <w:p>
      <w:pPr>
        <w:jc w:val="both"/>
        <w:ind w:firstLine="607"/>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ratio: </w:t>
      </w:r>
      <w:r>
        <w:rPr>
          <w:rFonts w:ascii="Times New Roman" w:cs="Times New Roman" w:eastAsia="Times New Roman" w:hAnsi="Times New Roman"/>
          <w:sz w:val="18"/>
          <w:szCs w:val="18"/>
          <w:color w:val="auto"/>
        </w:rPr>
        <w:t>The net loss ratio is a measure of the underwriting profitability of an insurance company’s business. Expressed as a percentage,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the ratio of net losses and LAE incurred to net premiums earned.</w:t>
      </w:r>
    </w:p>
    <w:p>
      <w:pPr>
        <w:spacing w:after="0" w:line="15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Underlying loss ratio: </w:t>
      </w:r>
      <w:r>
        <w:rPr>
          <w:rFonts w:ascii="Times New Roman" w:cs="Times New Roman" w:eastAsia="Times New Roman" w:hAnsi="Times New Roman"/>
          <w:sz w:val="18"/>
          <w:szCs w:val="18"/>
          <w:color w:val="auto"/>
        </w:rPr>
        <w:t>The underlying loss ratio is a non-GAAP ratio, which is computed as the GAAP net loss ratio excluding the effect of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loss reserve development and catastrophes losses. Management believes that this ratio is useful to investors, and it is used by management to reveal the trends in our business that may be obscured by prior year loss reserve development and catastrophe losses. Catastrophe losses cause our loss ratios to vary significantly between periods as a result of their incidence of occurrence and magnitude and can have a significant impact on the net loss ratio. Management believes that this measure is useful for investors to evaluate this component separately when reviewing our underwriting performance. The most directly comparable GAAP measure is the net loss ratio. The underlying loss ratio should not be considered a substitute for the net loss ratio and does not reflect our net loss ratio.</w:t>
      </w:r>
    </w:p>
    <w:p>
      <w:pPr>
        <w:spacing w:after="0" w:line="21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loss ratio excluding the effect of catastrophes: </w:t>
      </w:r>
      <w:r>
        <w:rPr>
          <w:rFonts w:ascii="Times New Roman" w:cs="Times New Roman" w:eastAsia="Times New Roman" w:hAnsi="Times New Roman"/>
          <w:sz w:val="16"/>
          <w:szCs w:val="16"/>
          <w:color w:val="auto"/>
        </w:rPr>
        <w:t>The n</w:t>
      </w:r>
      <w:r>
        <w:rPr>
          <w:rFonts w:ascii="Times New Roman" w:cs="Times New Roman" w:eastAsia="Times New Roman" w:hAnsi="Times New Roman"/>
          <w:sz w:val="18"/>
          <w:szCs w:val="18"/>
          <w:color w:val="auto"/>
        </w:rPr>
        <w:t>et loss ratio excluding the effect of catastrophes is a non-GAAP ratio, which is computed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difference between the GAAP net loss ratio and the effect of catastrophes on the net loss ratio. Management believes that this ratio is useful to investors, and it is used by management to reveal the trends in our business that may be obscured by catastrophe losses. Catastrophe losses cause our net loss ratios to vary significantly between periods as a result of their incidence of occurrence and magnitude and can have a significant impact on the net loss ratio. Management believes that this measure is useful for investors to evaluate this component separately when reviewing our underwriting performance. The most directly comparable GAAP measure is the net loss ratio. The net loss ratio excluding the effect of catastrophes should not be considered a substitute for the net loss ratio and does not reflect our net loss ratio.</w:t>
      </w:r>
    </w:p>
    <w:p>
      <w:pPr>
        <w:spacing w:after="0" w:line="21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ratio excluding commercial lines business: </w:t>
      </w:r>
      <w:r>
        <w:rPr>
          <w:rFonts w:ascii="Times New Roman" w:cs="Times New Roman" w:eastAsia="Times New Roman" w:hAnsi="Times New Roman"/>
          <w:sz w:val="16"/>
          <w:szCs w:val="16"/>
          <w:color w:val="auto"/>
        </w:rPr>
        <w:t>The n</w:t>
      </w:r>
      <w:r>
        <w:rPr>
          <w:rFonts w:ascii="Times New Roman" w:cs="Times New Roman" w:eastAsia="Times New Roman" w:hAnsi="Times New Roman"/>
          <w:sz w:val="18"/>
          <w:szCs w:val="18"/>
          <w:color w:val="auto"/>
        </w:rPr>
        <w:t>et loss ratio excluding commercial lines business is a non-GAAP ratio, which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computed as the difference between the GAAP net loss ratio and the effect of commercial lines on the net loss ratio. Management believes that this ratio is useful to investors, and it is used by management to reveal the trends in our business that may be obscured by losses from commercial lines business. Our commercial lines business has been in run-off since July 2019. Commercial lines losses cause our net loss ratios to vary between periods as a result of changes to their loss reserves during the run-off period and have an impact on the net loss ratio. Management believes that this measure is useful for investors to evaluate this component separately when reviewing our underwriting performance. The most directly comparable GAAP measure is the net loss ratio. The net loss ratio excluding commercial lines business should not be considered a substitute for the net loss ratio and does not reflect our net loss ratio.</w:t>
      </w:r>
    </w:p>
    <w:p>
      <w:pPr>
        <w:spacing w:after="0" w:line="194" w:lineRule="exact"/>
        <w:rPr>
          <w:sz w:val="20"/>
          <w:szCs w:val="20"/>
          <w:color w:val="auto"/>
        </w:rPr>
      </w:pPr>
    </w:p>
    <w:p>
      <w:pPr>
        <w:jc w:val="both"/>
        <w:ind w:firstLine="607"/>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underwriting expense ratio: </w:t>
      </w:r>
      <w:r>
        <w:rPr>
          <w:rFonts w:ascii="Times New Roman" w:cs="Times New Roman" w:eastAsia="Times New Roman" w:hAnsi="Times New Roman"/>
          <w:sz w:val="18"/>
          <w:szCs w:val="18"/>
          <w:color w:val="auto"/>
        </w:rPr>
        <w:t>The net underwriting expense ratio is a measure of an insurance company’s operational efficiency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administering its business. Expressed as a percentage, this is the ratio of the sum of acquisition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(the most significant being commissions paid to our producers) and other underwriting expenses less ceding commission revenue less other income to net premiums earned.</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underwriting expense ratio excluding the effect of catastrophes: </w:t>
      </w:r>
      <w:r>
        <w:rPr>
          <w:rFonts w:ascii="Times New Roman" w:cs="Times New Roman" w:eastAsia="Times New Roman" w:hAnsi="Times New Roman"/>
          <w:sz w:val="16"/>
          <w:szCs w:val="16"/>
          <w:color w:val="auto"/>
        </w:rPr>
        <w:t>The n</w:t>
      </w:r>
      <w:r>
        <w:rPr>
          <w:rFonts w:ascii="Times New Roman" w:cs="Times New Roman" w:eastAsia="Times New Roman" w:hAnsi="Times New Roman"/>
          <w:sz w:val="18"/>
          <w:szCs w:val="18"/>
          <w:color w:val="auto"/>
        </w:rPr>
        <w:t>et underwriting expense ratio excluding the effect of catastrophes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non-GAAP ratio, which is computed as the difference between the GAAP net underwriting expense ratio and the effect of catastrophes on the net underwriting expense ratio. Management believes that this ratio is useful to investors, and it is used by management to reveal the trends in our business that may be obscured by catastrophe losses. Catastrophe losses may cause our net underwriting expense ratios to vary significantly between periods as a result of their incidence of occurrence and magnitude and may, but currently do not, have any significant impact on the underwriting expense ratio. Management believes that this measure is useful for investors to evaluate this component separately when reviewing our underwriting performance if there should be a catastrophe effect on the net underwriting expense ratio. The most directly comparable GAAP measure is the net underwriting expense ratio. The net underwriting expense ratio excluding the effect of catastrophes should not be considered a substitute for the net underwriting expense ratio and does not reflect our net underwriting expense ratio.</w:t>
      </w:r>
    </w:p>
    <w:p>
      <w:pPr>
        <w:spacing w:after="0" w:line="188" w:lineRule="exact"/>
        <w:rPr>
          <w:sz w:val="20"/>
          <w:szCs w:val="20"/>
          <w:color w:val="auto"/>
        </w:rPr>
      </w:pPr>
    </w:p>
    <w:p>
      <w:pPr>
        <w:jc w:val="both"/>
        <w:ind w:firstLine="607"/>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combined ratio: </w:t>
      </w:r>
      <w:r>
        <w:rPr>
          <w:rFonts w:ascii="Times New Roman" w:cs="Times New Roman" w:eastAsia="Times New Roman" w:hAnsi="Times New Roman"/>
          <w:sz w:val="18"/>
          <w:szCs w:val="18"/>
          <w:color w:val="auto"/>
        </w:rPr>
        <w:t>The net combined ratio is a measure of an insurance company’s overall underwriting profit. This is the sum of the net loss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underwriting expense ratios. If the net combined ratio is at or above 100 percent, an insurance company cannot be profitable without investment income, and may not be profitable if investment income is insufficient.</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combined ratio excluding the effect of catastrophes: </w:t>
      </w:r>
      <w:r>
        <w:rPr>
          <w:rFonts w:ascii="Times New Roman" w:cs="Times New Roman" w:eastAsia="Times New Roman" w:hAnsi="Times New Roman"/>
          <w:sz w:val="16"/>
          <w:szCs w:val="16"/>
          <w:color w:val="auto"/>
        </w:rPr>
        <w:t>The n</w:t>
      </w:r>
      <w:r>
        <w:rPr>
          <w:rFonts w:ascii="Times New Roman" w:cs="Times New Roman" w:eastAsia="Times New Roman" w:hAnsi="Times New Roman"/>
          <w:sz w:val="18"/>
          <w:szCs w:val="18"/>
          <w:color w:val="auto"/>
        </w:rPr>
        <w:t>et combined ratio excluding the effect of catastrophes is a non-GAAP ratio,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computed as the difference between the GAAP combined ratio and the effect of catastrophes on the net combined ratio. Management believes that this ratio is useful to investors, and it is used by management to reveal the trends in our business that may be obscured by catastrophe losses. Catastrophe losses cause our net combined ratios to vary significantly between periods as a result of their incidence of occurrence and magnitude and can have a significant impact on the net combined ratio. Management believes that this measure is useful for investors to evaluate this component separately when reviewing our underwriting performance. The most directly comparable GAAP measure is the net combined ratio. The net combined ratio excluding the effect of catastrophes should not be considered a substitute for the net combined ratio and does not reflect our net combined ratio.</w:t>
      </w:r>
    </w:p>
    <w:p>
      <w:pPr>
        <w:spacing w:after="0" w:line="183" w:lineRule="exact"/>
        <w:rPr>
          <w:sz w:val="20"/>
          <w:szCs w:val="20"/>
          <w:color w:val="auto"/>
        </w:rPr>
      </w:pPr>
    </w:p>
    <w:p>
      <w:pPr>
        <w:jc w:val="both"/>
        <w:ind w:firstLine="607"/>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Underwriting income: </w:t>
      </w:r>
      <w:r>
        <w:rPr>
          <w:rFonts w:ascii="Times New Roman" w:cs="Times New Roman" w:eastAsia="Times New Roman" w:hAnsi="Times New Roman"/>
          <w:sz w:val="18"/>
          <w:szCs w:val="18"/>
          <w:color w:val="auto"/>
        </w:rPr>
        <w:t>Underwriting income is net pre-tax income attributable to our insurance underwriting business before investment activity.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excludes net investment income, net realized gains from investments, gain on sale of real estate, depreciation and amortization, and interest expense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7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Net income from insurance underwriting business on a standalone basis</w:t>
      </w:r>
      <w:r>
        <w:rPr>
          <w:rFonts w:ascii="Arial" w:cs="Arial" w:eastAsia="Arial" w:hAnsi="Arial"/>
          <w:sz w:val="16"/>
          <w:szCs w:val="16"/>
          <w:b w:val="1"/>
          <w:bCs w:val="1"/>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income from insurance underwriting business on a standalone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is a non-GAAP measure, which is computed as GAAP net income without the effect of holding company operations on GAAP net income. Management believes that this measure is useful to investors, and it is used by management to reveal the trends in our insurance underwriting business that may be obscured by holding company operations. Holding company operations cause our GAAP net income to vary significantly between periods as a result of their magnitude and can have a significant impact on GAAP net income. Management believes that this measure is useful for investors to evaluate this component separately when reviewing our underwriting performance. The most directly comparable GAAP measure is GAAP net income. Net income from insurance underwriting business on a standalone basis should not be considered a substitute for GAAP net income and does not reflect our GAAP net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include the accounts of Kingstone Companies, Inc. and all wholly-owned subsidiaries. The preparation of financial statements in conformity with GAAP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and the current economic environment, and other factors, in forming its estimates and judgments of certain amounts included in the condensed consolidated financial statements, giving due consideration to materiality. It is possible that the ultimate outcome as anticipated by our management in formulating its estimates in these financial statements may not materialize.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similar companies.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below a description of these critical accounting estimates. Also see Note 2 to the consolidated financial statements in our Annual Report on Form 10-K for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and Loss Adjustment Expense Reserves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Property and casualty loss and loss adjustment expense (“LAE”) reserves are established to provide for the estimated cost of settling both reported (“case”) and incurred but not reported (“IBNR”) claims and claims adjusting expenses. The liability for these reserves is estimated on an undiscounted basis, using individual case-basis valuations and paid claims, pending claims, statistical analyses and various actuarial reserving methodologies. Due to the inherent uncertainty of the reserve process, actual loss costs could vary significantly compared to estimated loss costs. The below table provides detail of our reserves as of June 30, 2025 and December 31, 2024: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5"/>
        </w:trPr>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50"/>
        </w:trPr>
        <w:tc>
          <w:tcPr>
            <w:tcW w:w="1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Ceded</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Net</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Ceded</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57"/>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45,795</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46,366</w:t>
            </w:r>
          </w:p>
        </w:tc>
      </w:tr>
      <w:tr>
        <w:trPr>
          <w:trHeight w:val="25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Case LAE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w:t>
            </w:r>
          </w:p>
        </w:tc>
      </w:tr>
      <w:tr>
        <w:trPr>
          <w:trHeight w:val="263"/>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IBNR loss</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45,436</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28,020</w:t>
            </w:r>
          </w:p>
        </w:tc>
      </w:tr>
      <w:tr>
        <w:trPr>
          <w:trHeight w:val="250"/>
        </w:trPr>
        <w:tc>
          <w:tcPr>
            <w:tcW w:w="2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IBNR LAE</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18,043</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15,578</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14,365</w:t>
            </w:r>
          </w:p>
        </w:tc>
      </w:tr>
      <w:tr>
        <w:trPr>
          <w:trHeight w:val="275"/>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133,927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101,119</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32,322</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93,888</w:t>
            </w: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(Components may not sum due to rounding)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Case Reserves – Reserves for reported losses are based on an estimate of ultimate loss costs of an individual claim derived from individual case-basis valuations, actual claims paid, pending claims, statistical analyses and various actuarial reserving methodologies.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IBNR Reserves – IBNR reserves are estimates of claims that have occurred but as to which we have not yet been notified to establish the case reserve. IBNR also accounts for loss development on claims that have been reported. IBNR is determined using historical information aggregated by line of insurance and adjusted to current conditions.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Reinsurance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purchase reinsurance to manage our underwriting risk on certain policies. Reinsurance receivables represent management’s best estimate of loss and LAE recoverable from reinsurers. Reinsurance receivables are estimated using the same methodologies as loss and LAE reserves. Changes in the methods and assumptions used could result in significant variances between actual and estimated losses.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effective tax rate is based on GAAP income at statutory tax rates, adjusted for non-taxable and non-deductible items, and tax credits. Changes in estimates used in preparing the condensed consolidated statements of income and comprehensive income could result in significant changes to our deferred tax asset or liability.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Deferred tax assets or liabilities are recognized for estimated future tax consequences which result in differences between the financial statement carrying amounts of assets and liabilities and their respective tax basis. These assets and liabilities are carried at the enacted tax rates expected to apply when the asset or liability is expected to be recovered or settled. Changes in estimates and assumptions in the condensed consolidated statements of income and comprehensive income, or changes in the enacted tax rate, could result in significant variances between our carried deferred tax and tax recognized on the recovery or settlement of the asset or liability.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Bonds are classified as held-to-maturity (“HTM”) or available-for-sale (“AFS”), and stocks are generally classified as AFS. Investments classified as HTM are carried at amortized cost, which requires very little judgement. Investments in stocks classified as AFS are generally carried at fair value with an unrealized gain/loss recorded in net income. Investments in bonds classified as AFS are generally carried at fair value with an unrealized gain/loss recorded in accumulated other comprehensive income. Actual results could vary significantly from the fair values recognized in the condensed consolidated statements of income and comprehensive income.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Kingstone 2.0 (completed), Kingstone 3.0 (completed), Change in Market Dynamics (underway), and 5-Year Growth Plan (underway)</w:t>
      </w:r>
    </w:p>
    <w:p>
      <w:pPr>
        <w:spacing w:after="0" w:line="229" w:lineRule="exact"/>
        <w:rPr>
          <w:sz w:val="20"/>
          <w:szCs w:val="20"/>
          <w:color w:val="auto"/>
        </w:rPr>
      </w:pPr>
    </w:p>
    <w:p>
      <w:pPr>
        <w:ind w:left="660" w:firstLine="279"/>
        <w:spacing w:after="0" w:line="282" w:lineRule="auto"/>
        <w:tabs>
          <w:tab w:leader="none" w:pos="13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the fourth quarter of 2019, a series of strategic initiatives, coined “Kingstone 2.0”, were commenced to modernize our company. The pillars of the new strategy were as follows:</w:t>
      </w:r>
    </w:p>
    <w:p>
      <w:pPr>
        <w:spacing w:after="0" w:line="161" w:lineRule="exact"/>
        <w:rPr>
          <w:rFonts w:ascii="Times New Roman" w:cs="Times New Roman" w:eastAsia="Times New Roman" w:hAnsi="Times New Roman"/>
          <w:sz w:val="18"/>
          <w:szCs w:val="18"/>
          <w:color w:val="auto"/>
        </w:rPr>
      </w:pPr>
    </w:p>
    <w:p>
      <w:pPr>
        <w:ind w:left="2120" w:hanging="1069"/>
        <w:spacing w:after="0" w:line="282" w:lineRule="auto"/>
        <w:tabs>
          <w:tab w:leader="none" w:pos="211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the management team by adding highly qualified professionals with deep domain experience and diverse backgrounds;</w:t>
      </w:r>
    </w:p>
    <w:p>
      <w:pPr>
        <w:spacing w:after="0" w:line="161" w:lineRule="exact"/>
        <w:rPr>
          <w:rFonts w:ascii="Times New Roman" w:cs="Times New Roman" w:eastAsia="Times New Roman" w:hAnsi="Times New Roman"/>
          <w:sz w:val="18"/>
          <w:szCs w:val="18"/>
          <w:color w:val="auto"/>
        </w:rPr>
      </w:pPr>
    </w:p>
    <w:p>
      <w:pPr>
        <w:ind w:left="2120" w:right="20" w:hanging="1069"/>
        <w:spacing w:after="0" w:line="282" w:lineRule="auto"/>
        <w:tabs>
          <w:tab w:leader="none" w:pos="211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expenses and increase efficiency by embracing technology, including converting to a new policy management system, retiring multiple legacy systems and starting up a new claims system, among other technology initiatives;</w:t>
      </w:r>
    </w:p>
    <w:p>
      <w:pPr>
        <w:spacing w:after="0" w:line="161" w:lineRule="exact"/>
        <w:rPr>
          <w:rFonts w:ascii="Times New Roman" w:cs="Times New Roman" w:eastAsia="Times New Roman" w:hAnsi="Times New Roman"/>
          <w:sz w:val="18"/>
          <w:szCs w:val="18"/>
          <w:color w:val="auto"/>
        </w:rPr>
      </w:pPr>
    </w:p>
    <w:p>
      <w:pPr>
        <w:ind w:left="2120" w:hanging="1069"/>
        <w:spacing w:after="0" w:line="282" w:lineRule="auto"/>
        <w:tabs>
          <w:tab w:leader="none" w:pos="211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implement a new, more highly segmented product suite (Kingstone Select) which better matches rate to risk using advanced analytics and an abundance of data; and</w:t>
      </w:r>
    </w:p>
    <w:p>
      <w:pPr>
        <w:spacing w:after="0" w:line="161" w:lineRule="exact"/>
        <w:rPr>
          <w:rFonts w:ascii="Times New Roman" w:cs="Times New Roman" w:eastAsia="Times New Roman" w:hAnsi="Times New Roman"/>
          <w:sz w:val="18"/>
          <w:szCs w:val="18"/>
          <w:color w:val="auto"/>
        </w:rPr>
      </w:pPr>
    </w:p>
    <w:p>
      <w:pPr>
        <w:ind w:left="2120" w:right="20" w:hanging="1069"/>
        <w:spacing w:after="0" w:line="282" w:lineRule="auto"/>
        <w:tabs>
          <w:tab w:leader="none" w:pos="211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manage our catastrophe exposure in order to reduce the growth rate of our probable maximum loss (“PML”) in order to mitigate the impact of the then emerging “hard market” in catastrophe reinsurance.</w:t>
      </w:r>
    </w:p>
    <w:p>
      <w:pPr>
        <w:spacing w:after="0" w:line="161" w:lineRule="exact"/>
        <w:rPr>
          <w:rFonts w:ascii="Times New Roman" w:cs="Times New Roman" w:eastAsia="Times New Roman" w:hAnsi="Times New Roman"/>
          <w:sz w:val="18"/>
          <w:szCs w:val="18"/>
          <w:color w:val="auto"/>
        </w:rPr>
      </w:pPr>
    </w:p>
    <w:p>
      <w:pPr>
        <w:ind w:left="660" w:firstLine="279"/>
        <w:spacing w:after="0" w:line="282" w:lineRule="auto"/>
        <w:tabs>
          <w:tab w:leader="none" w:pos="1303"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announced the substantive completion of Kingstone 2.0 in late 2022 and embarked on a new strategy to optimize our in-force business, which we coined as “Kingstone 3.0”. The four pillars of this strategy entail:</w:t>
      </w:r>
    </w:p>
    <w:p>
      <w:pPr>
        <w:spacing w:after="0" w:line="161" w:lineRule="exact"/>
        <w:rPr>
          <w:rFonts w:ascii="Times New Roman" w:cs="Times New Roman" w:eastAsia="Times New Roman" w:hAnsi="Times New Roman"/>
          <w:sz w:val="18"/>
          <w:szCs w:val="18"/>
          <w:b w:val="1"/>
          <w:bCs w:val="1"/>
          <w:color w:val="auto"/>
        </w:rPr>
      </w:pPr>
    </w:p>
    <w:p>
      <w:pPr>
        <w:jc w:val="both"/>
        <w:ind w:left="2040" w:hanging="1060"/>
        <w:spacing w:after="0" w:line="246" w:lineRule="auto"/>
        <w:tabs>
          <w:tab w:leader="none" w:pos="2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Aggressively reduced the non-Core book of business, which has had a disproportionately negative impact on underwriting results, by stopping new business, culling the agent base, reducing commissions, or other means, subject to regulatory constraints, and have aggressively reduced policy count. Our request to withdraw from the state of New Jersey was acknowledged in October 2023 and all remaining policies are being non-renewed over a two year period starting January 1, 2024. As of June 30, 2025, our non-Core policy count was down by 67.6% compared to June 30, 2024;</w:t>
      </w:r>
    </w:p>
    <w:p>
      <w:pPr>
        <w:spacing w:after="0" w:line="194" w:lineRule="exact"/>
        <w:rPr>
          <w:rFonts w:ascii="Times New Roman" w:cs="Times New Roman" w:eastAsia="Times New Roman" w:hAnsi="Times New Roman"/>
          <w:sz w:val="18"/>
          <w:szCs w:val="18"/>
          <w:color w:val="auto"/>
        </w:rPr>
      </w:pPr>
    </w:p>
    <w:p>
      <w:pPr>
        <w:jc w:val="both"/>
        <w:ind w:left="2040" w:hanging="1060"/>
        <w:spacing w:after="0" w:line="242" w:lineRule="auto"/>
        <w:tabs>
          <w:tab w:leader="none" w:pos="2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pricing to stay ahead of loss trends, including inflation, by filing the maximum annual rate change that can be supported in each state and product and ensured all policyholders were insured to value. Inflation has been a dominant headwind that is showing signs of stabilizing. We have been cognizant that inflation’s impact on loss costs places added pressure on premiums and, as such, we have been more frequent and aggressive with our rate change requests. Similarly, home replacement values reflect that same inflationary pressure. In September 2023, we completed our first cycle of valuation adjustments, making sure that all homes were insured to value. As a result, we have seen a rise in premiums attributable to the heightened replacement costs. All policies are renewed at the most current replacement cost. Overall average written premium for our Core personal lines renewal policies for the last 12 months, reflecting both rate and replacement cost changes, increased by 17.6%;</w:t>
      </w:r>
    </w:p>
    <w:p>
      <w:pPr>
        <w:spacing w:after="0" w:line="200" w:lineRule="exact"/>
        <w:rPr>
          <w:rFonts w:ascii="Times New Roman" w:cs="Times New Roman" w:eastAsia="Times New Roman" w:hAnsi="Times New Roman"/>
          <w:sz w:val="18"/>
          <w:szCs w:val="18"/>
          <w:color w:val="auto"/>
        </w:rPr>
      </w:pPr>
    </w:p>
    <w:p>
      <w:pPr>
        <w:jc w:val="both"/>
        <w:ind w:left="2040" w:hanging="1060"/>
        <w:spacing w:after="0" w:line="250" w:lineRule="auto"/>
        <w:tabs>
          <w:tab w:leader="none" w:pos="2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Tightly managed reinsurance requirements and costs, using risk selection and other underwriting capabilities to manage the growth rate of our PML. We needed to contain our exposure to spiking reinsurance pricing. We did so and were able to reduce the required limit to be purchased while maintaining our same risk tolerance. We used all the tools available to us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40"/>
        <w:spacing w:after="0" w:line="266" w:lineRule="auto"/>
        <w:rPr>
          <w:sz w:val="20"/>
          <w:szCs w:val="20"/>
          <w:color w:val="auto"/>
        </w:rPr>
      </w:pPr>
      <w:r>
        <w:rPr>
          <w:rFonts w:ascii="Times New Roman" w:cs="Times New Roman" w:eastAsia="Times New Roman" w:hAnsi="Times New Roman"/>
          <w:sz w:val="18"/>
          <w:szCs w:val="18"/>
          <w:color w:val="auto"/>
        </w:rPr>
        <w:t>to limit new business that was deemed to be too expensive and at the same time re-underwrote the book to cull those risks which presented the greatest risk; and</w:t>
      </w:r>
    </w:p>
    <w:p>
      <w:pPr>
        <w:spacing w:after="0" w:line="176" w:lineRule="exact"/>
        <w:rPr>
          <w:sz w:val="20"/>
          <w:szCs w:val="20"/>
          <w:color w:val="auto"/>
        </w:rPr>
      </w:pPr>
    </w:p>
    <w:p>
      <w:pPr>
        <w:jc w:val="both"/>
        <w:ind w:left="2040" w:hanging="1060"/>
        <w:spacing w:after="0" w:line="244" w:lineRule="auto"/>
        <w:tabs>
          <w:tab w:leader="none" w:pos="2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expense reduction focus with a goal of reducing the net expense ratio to 33% by year-end 2024. For the year ended December 31, 2024, we achieved our goal of 33%, with a net underwriting expense ratio of 32.0%. For the six months ended June 30, 2025, the net underwriting expense ratio increased 0.7 percentage points to 32.0% due to lower contingent ceding commission on our primary quota share treaty, which is on sliding scale based on loss ratio. As the year progresses, and if the loss ratio continues to improve as we expect, contingent ceding commission will increase and our net underwriting expense ratio will benefit as a result. We anticipate the net underwriting expense ratio for the full year 2025 to be in line with 2024.</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believe that the above actions taken resulted in our return to profitability for the last seven consecutive quarters, will continue to have the intended effect, and will continue through the year ended December 31, 2025 and beyond.</w:t>
      </w:r>
    </w:p>
    <w:p>
      <w:pPr>
        <w:spacing w:after="0" w:line="163"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Market Dynamics</w:t>
      </w:r>
    </w:p>
    <w:p>
      <w:pPr>
        <w:spacing w:after="0" w:line="19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On August 2, 2024, two large competitors announced a plan to wind down their personal lines operations in New York State and to non-renew or mid-term cancel their entire book of business before year end 2024. The policyholders of such competitors needed to find alternative coverage. Beginning in the quarter ended September 30, 2024, we began seeing a sizable increase in our policies in force and direct written premiums from these non-renewed and cancelled policies. We refer to this new business as a Change in Market Dynamics.</w:t>
      </w:r>
    </w:p>
    <w:p>
      <w:pPr>
        <w:spacing w:after="0" w:line="171"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On April 14, 2025, KICO entered into an agreement to offer a replacement policy to selected homeowners policyholders in Downstate New York as one of our competitors pivots focus away from admitted personal lines business (the "Withdrawal Plan"). The Withdrawal Plan, which includes this transaction, has been approved by the New York Department of Financial Services. This transaction encompasses approximately $70 million in written premium. The Withdrawal Plan will enable KICO to work with new distribution partners to further increase our footprint in Downstate New York by offering an alternative policy to selected homeowners policyholders with effective dates starting in late third quarter of 2025. This transaction will be handled in a similar manner to the Change in Market Dynamics, except that we will be streamlining the process by providing a quote for eligible policyholders to our producers.</w:t>
      </w:r>
    </w:p>
    <w:p>
      <w:pPr>
        <w:spacing w:after="0" w:line="171" w:lineRule="exact"/>
        <w:rPr>
          <w:sz w:val="20"/>
          <w:szCs w:val="20"/>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5-Year Growth Plan</w:t>
      </w:r>
    </w:p>
    <w:p>
      <w:pPr>
        <w:spacing w:after="0" w:line="21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We recently announced our 5-year goal of $500 million in direct written premium (the "5-Year Growth Plan"), effectively doubling the size of our company relative to today. We are diligently working on a strategic plan that outlines how we will achieve this goal through a combination of organic initiatives and strategic inorganic opportunities in our core state of New York along with measured geographic expansion into new states. We intend to maintain our focus on our core-expertise of insuring catastrophe-exposed properties.</w:t>
      </w:r>
    </w:p>
    <w:p>
      <w:pPr>
        <w:spacing w:after="0" w:line="18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Relative to geographic expansion, we have conducted a thorough study of selected geographies and states with the help of industry-leading third-party advisors and overlaid important lessons learned from our past challenges to ensure that we do not face such challenges again. We plan to pursue prudent growth at a measured pace in our chosen new states, testing and validating rate adequacy commensurate with risk factors in the new geographies. Our current plan is to go live in two states in 2026, and two additional states in 2027.</w:t>
      </w:r>
    </w:p>
    <w:p>
      <w:pPr>
        <w:spacing w:after="0" w:line="19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See the tables below for our Core and non-Core business for policies in force as of June 30, 2025 and 2024 and direct written premiums for three months and six months ended June 30, 2025 and 2024. For the three months ended June 30, 2025, our Core direct written premiums increased by 16.6% compared to the three months ended June 30, 2024, while Core policies in force increased by 11.4% as of June 30, 2025 as compared to June 30, 2024. For the same periods, our non-Core direct written premiums decreased by 42.5% and policies in force decreased by 67.6%. For the six months ended June 30, 2025, our Core direct written premiums increased by 19.5% compared to the six months ended June 30, 2024, while Core policies in force increased by 11.4% as of June 30, 2025 as compared to June 30, 2024.For the same periods, our non-Core direct written premiums decreased by 54.1% and policies in force decreased by 67.6%.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7"/>
          </w:tcPr>
          <w:p>
            <w:pPr>
              <w:ind w:left="66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506"/>
        </w:trPr>
        <w:tc>
          <w:tcPr>
            <w:tcW w:w="31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Policies In Force, as of end of Period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Core</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74,555</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66,934</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50"/>
        </w:trPr>
        <w:tc>
          <w:tcPr>
            <w:tcW w:w="15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Non-Core</w:t>
            </w:r>
          </w:p>
        </w:tc>
        <w:tc>
          <w:tcPr>
            <w:tcW w:w="2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8"/>
              </w:rPr>
              <w:t>(4,936)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81"/>
        </w:trPr>
        <w:tc>
          <w:tcPr>
            <w:tcW w:w="17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policies in force</w:t>
            </w:r>
          </w:p>
        </w:tc>
        <w:tc>
          <w:tcPr>
            <w:tcW w:w="7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76,925</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74,240</w:t>
            </w:r>
          </w:p>
        </w:tc>
        <w:tc>
          <w:tcPr>
            <w:tcW w:w="6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gridSpan w:val="3"/>
          </w:tcPr>
          <w:p>
            <w:pPr>
              <w:spacing w:after="0" w:line="20" w:lineRule="exact"/>
              <w:rPr>
                <w:sz w:val="1"/>
                <w:szCs w:val="1"/>
                <w:color w:val="auto"/>
              </w:rPr>
            </w:pPr>
          </w:p>
        </w:tc>
        <w:tc>
          <w:tcPr>
            <w:tcW w:w="66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50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(000’s except</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percentages)</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Pr>
          <w:p>
            <w:pPr>
              <w:spacing w:after="0"/>
              <w:rPr>
                <w:sz w:val="21"/>
                <w:szCs w:val="21"/>
                <w:color w:val="auto"/>
              </w:rPr>
            </w:pPr>
          </w:p>
        </w:tc>
        <w:tc>
          <w:tcPr>
            <w:tcW w:w="11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462"/>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 written</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500" w:type="dxa"/>
            <w:vAlign w:val="bottom"/>
            <w:gridSpan w:val="2"/>
          </w:tcPr>
          <w:p>
            <w:pPr>
              <w:ind w:left="20"/>
              <w:spacing w:after="0" w:line="253" w:lineRule="exact"/>
              <w:rPr>
                <w:sz w:val="20"/>
                <w:szCs w:val="20"/>
                <w:color w:val="auto"/>
              </w:rPr>
            </w:pPr>
            <w:r>
              <w:rPr>
                <w:rFonts w:ascii="Times New Roman" w:cs="Times New Roman" w:eastAsia="Times New Roman" w:hAnsi="Times New Roman"/>
                <w:sz w:val="18"/>
                <w:szCs w:val="18"/>
                <w:b w:val="1"/>
                <w:bCs w:val="1"/>
                <w:color w:val="auto"/>
              </w:rPr>
              <w:t>premiums</w:t>
            </w:r>
            <w:r>
              <w:rPr>
                <w:rFonts w:ascii="Times New Roman" w:cs="Times New Roman" w:eastAsia="Times New Roman" w:hAnsi="Times New Roman"/>
                <w:sz w:val="23"/>
                <w:szCs w:val="23"/>
                <w:b w:val="1"/>
                <w:bCs w:val="1"/>
                <w:color w:val="auto"/>
                <w:vertAlign w:val="superscript"/>
              </w:rPr>
              <w:t>1</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50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Core</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$59,802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8,496</w:t>
            </w:r>
          </w:p>
        </w:tc>
        <w:tc>
          <w:tcPr>
            <w:tcW w:w="12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116,977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97,893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19,084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56"/>
        </w:trPr>
        <w:tc>
          <w:tcPr>
            <w:tcW w:w="1500" w:type="dxa"/>
            <w:vAlign w:val="bottom"/>
            <w:tcBorders>
              <w:bottom w:val="single" w:sz="8" w:color="CCEEFF"/>
            </w:tcBorders>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Non-Core</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6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(930)</w:t>
            </w:r>
          </w:p>
        </w:tc>
        <w:tc>
          <w:tcPr>
            <w:tcW w:w="124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w w:val="98"/>
              </w:rPr>
              <w:t>(2,667)</w:t>
            </w:r>
          </w:p>
        </w:tc>
        <w:tc>
          <w:tcPr>
            <w:tcW w:w="1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187"/>
        </w:trPr>
        <w:tc>
          <w:tcPr>
            <w:tcW w:w="150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direct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written</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61,062</w:t>
            </w:r>
          </w:p>
        </w:tc>
        <w:tc>
          <w:tcPr>
            <w:tcW w:w="68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53,495</w:t>
            </w:r>
          </w:p>
        </w:tc>
        <w:tc>
          <w:tcPr>
            <w:tcW w:w="8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7,567</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119,237</w:t>
            </w:r>
          </w:p>
        </w:tc>
        <w:tc>
          <w:tcPr>
            <w:tcW w:w="10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102,820</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3"/>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16,417</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premiums</w:t>
            </w: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760" w:type="dxa"/>
            <w:vAlign w:val="bottom"/>
            <w:tcBorders>
              <w:bottom w:val="single" w:sz="8" w:color="auto"/>
            </w:tcBorders>
            <w:vMerge w:val="continue"/>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8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vMerge w:val="continue"/>
            <w:shd w:val="clear" w:color="auto" w:fill="CCEEFF"/>
          </w:tcPr>
          <w:p>
            <w:pPr>
              <w:spacing w:after="0"/>
              <w:rPr>
                <w:sz w:val="22"/>
                <w:szCs w:val="22"/>
                <w:color w:val="auto"/>
              </w:rPr>
            </w:pPr>
          </w:p>
        </w:tc>
        <w:tc>
          <w:tcPr>
            <w:tcW w:w="860" w:type="dxa"/>
            <w:vAlign w:val="bottom"/>
            <w:tcBorders>
              <w:bottom w:val="single" w:sz="8" w:color="auto"/>
            </w:tcBorders>
            <w:gridSpan w:val="3"/>
            <w:vMerge w:val="continue"/>
            <w:shd w:val="clear" w:color="auto" w:fill="CCEEFF"/>
          </w:tcPr>
          <w:p>
            <w:pPr>
              <w:spacing w:after="0"/>
              <w:rPr>
                <w:sz w:val="22"/>
                <w:szCs w:val="22"/>
                <w:color w:val="auto"/>
              </w:rPr>
            </w:pPr>
          </w:p>
        </w:tc>
        <w:tc>
          <w:tcPr>
            <w:tcW w:w="12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82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vMerge w:val="continue"/>
            <w:shd w:val="clear" w:color="auto" w:fill="CCEEFF"/>
          </w:tcPr>
          <w:p>
            <w:pPr>
              <w:spacing w:after="0"/>
              <w:rPr>
                <w:sz w:val="22"/>
                <w:szCs w:val="22"/>
                <w:color w:val="auto"/>
              </w:rPr>
            </w:pPr>
          </w:p>
        </w:tc>
        <w:tc>
          <w:tcPr>
            <w:tcW w:w="940" w:type="dxa"/>
            <w:vAlign w:val="bottom"/>
            <w:tcBorders>
              <w:bottom w:val="single" w:sz="8" w:color="auto"/>
            </w:tcBorders>
            <w:gridSpan w:val="3"/>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vMerge w:val="continue"/>
            <w:shd w:val="clear" w:color="auto" w:fill="CCEEFF"/>
          </w:tcPr>
          <w:p>
            <w:pPr>
              <w:spacing w:after="0"/>
              <w:rPr>
                <w:sz w:val="22"/>
                <w:szCs w:val="22"/>
                <w:color w:val="auto"/>
              </w:rPr>
            </w:pPr>
          </w:p>
        </w:tc>
        <w:tc>
          <w:tcPr>
            <w:tcW w:w="840" w:type="dxa"/>
            <w:vAlign w:val="bottom"/>
            <w:tcBorders>
              <w:bottom w:val="single" w:sz="8" w:color="auto"/>
            </w:tcBorders>
            <w:gridSpan w:val="3"/>
            <w:vMerge w:val="continue"/>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(Columns in the table above may not sum to totals due to rounding)</w:t>
      </w:r>
    </w:p>
    <w:p>
      <w:pPr>
        <w:spacing w:after="0" w:line="22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Direct written premiums, Core written premiums, and Non-Core written premiums are non-GAAP measures defined above under "Key GAAP and Non-GAAP Measures". See "Non-GAAP Financial Measures" below for the reconciliation of direct written premiums, Core written premiums, and Non-Core written premiums to the GAAP measure of net premiums earned.</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Compared to Six Months Ended June 30, 2024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results of our operations (in thousands)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5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4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Direct written premiums (1)</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119,237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102,820</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93"/>
        </w:trPr>
        <w:tc>
          <w:tcPr>
            <w:tcW w:w="4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Assumed written premiums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3"/>
        </w:trPr>
        <w:tc>
          <w:tcPr>
            <w:tcW w:w="4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119,237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102,820</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73"/>
        </w:trPr>
        <w:tc>
          <w:tcPr>
            <w:tcW w:w="4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Ceded written premiums</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Ceded to quota share treaties (2)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21,041</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0" w:type="dxa"/>
            <w:vAlign w:val="bottom"/>
          </w:tcPr>
          <w:p>
            <w:pPr>
              <w:spacing w:after="0"/>
              <w:rPr>
                <w:sz w:val="1"/>
                <w:szCs w:val="1"/>
                <w:color w:val="auto"/>
              </w:rPr>
            </w:pPr>
          </w:p>
        </w:tc>
      </w:tr>
      <w:tr>
        <w:trPr>
          <w:trHeight w:val="193"/>
        </w:trPr>
        <w:tc>
          <w:tcPr>
            <w:tcW w:w="4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Ceded to excess of loss treaties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Ceded to catastrophe treaties</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86"/>
        </w:trPr>
        <w:tc>
          <w:tcPr>
            <w:tcW w:w="4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ceded written premiums</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6,017</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23,300</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(17,283)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0" w:type="dxa"/>
            <w:vAlign w:val="bottom"/>
          </w:tcPr>
          <w:p>
            <w:pPr>
              <w:spacing w:after="0"/>
              <w:rPr>
                <w:sz w:val="1"/>
                <w:szCs w:val="1"/>
                <w:color w:val="auto"/>
              </w:rPr>
            </w:pPr>
          </w:p>
        </w:tc>
      </w:tr>
      <w:tr>
        <w:trPr>
          <w:trHeight w:val="23"/>
        </w:trPr>
        <w:tc>
          <w:tcPr>
            <w:tcW w:w="4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written premiums (1)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79,520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33,700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23"/>
        </w:trPr>
        <w:tc>
          <w:tcPr>
            <w:tcW w:w="4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unearned premiums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Direct and assumed</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6,252</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3"/>
        </w:trPr>
        <w:tc>
          <w:tcPr>
            <w:tcW w:w="4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Ceded to reinsurance treaties (2)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0" w:type="dxa"/>
            <w:vAlign w:val="bottom"/>
          </w:tcPr>
          <w:p>
            <w:pPr>
              <w:spacing w:after="0"/>
              <w:rPr>
                <w:sz w:val="1"/>
                <w:szCs w:val="1"/>
                <w:color w:val="auto"/>
              </w:rPr>
            </w:pPr>
          </w:p>
        </w:tc>
      </w:tr>
      <w:tr>
        <w:trPr>
          <w:trHeight w:val="23"/>
        </w:trPr>
        <w:tc>
          <w:tcPr>
            <w:tcW w:w="4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net unearned premiums</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(20,397)</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83"/>
        </w:trPr>
        <w:tc>
          <w:tcPr>
            <w:tcW w:w="4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Premiums earned</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Direct and assumed</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101,006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22,670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Ceded to reinsurance treaties</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(33,938)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(41,882)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86"/>
        </w:trPr>
        <w:tc>
          <w:tcPr>
            <w:tcW w:w="4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premiums earned</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89,738</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59,124</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30,614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Ceding commission revenue (2)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investment income</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193"/>
        </w:trPr>
        <w:tc>
          <w:tcPr>
            <w:tcW w:w="4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gains on investments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sale of real estate</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39"/>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0" w:type="dxa"/>
            <w:vAlign w:val="bottom"/>
          </w:tcPr>
          <w:p>
            <w:pPr>
              <w:spacing w:after="0"/>
              <w:rPr>
                <w:sz w:val="1"/>
                <w:szCs w:val="1"/>
                <w:color w:val="auto"/>
              </w:rPr>
            </w:pPr>
          </w:p>
        </w:tc>
      </w:tr>
      <w:tr>
        <w:trPr>
          <w:trHeight w:val="186"/>
        </w:trPr>
        <w:tc>
          <w:tcPr>
            <w:tcW w:w="4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102,794</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72,267</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30,527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42.2 %</w:t>
            </w:r>
          </w:p>
        </w:tc>
        <w:tc>
          <w:tcPr>
            <w:tcW w:w="0" w:type="dxa"/>
            <w:vAlign w:val="bottom"/>
          </w:tcPr>
          <w:p>
            <w:pPr>
              <w:spacing w:after="0"/>
              <w:rPr>
                <w:sz w:val="1"/>
                <w:szCs w:val="1"/>
                <w:color w:val="auto"/>
              </w:rPr>
            </w:pPr>
          </w:p>
        </w:tc>
      </w:tr>
      <w:tr>
        <w:trPr>
          <w:trHeight w:val="23"/>
        </w:trPr>
        <w:tc>
          <w:tcPr>
            <w:tcW w:w="4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Direct and assumed:</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and loss adjustment expenses excluding the effect of catastrophes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39,269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38.8 %</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Losses from catastrophes (3)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86"/>
        </w:trPr>
        <w:tc>
          <w:tcPr>
            <w:tcW w:w="4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direct and assumed loss and loss adjustment expenses</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55,748</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41,918</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13,830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33.0 %</w:t>
            </w:r>
          </w:p>
        </w:tc>
        <w:tc>
          <w:tcPr>
            <w:tcW w:w="0" w:type="dxa"/>
            <w:vAlign w:val="bottom"/>
          </w:tcPr>
          <w:p>
            <w:pPr>
              <w:spacing w:after="0"/>
              <w:rPr>
                <w:sz w:val="1"/>
                <w:szCs w:val="1"/>
                <w:color w:val="auto"/>
              </w:rPr>
            </w:pPr>
          </w:p>
        </w:tc>
      </w:tr>
      <w:tr>
        <w:trPr>
          <w:trHeight w:val="23"/>
        </w:trPr>
        <w:tc>
          <w:tcPr>
            <w:tcW w:w="4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Ceded loss and loss adjustment expenses: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Loss and loss adjustment expenses excluding the effect of catastrophes</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9,043</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15.5 %</w:t>
            </w:r>
          </w:p>
        </w:tc>
        <w:tc>
          <w:tcPr>
            <w:tcW w:w="0" w:type="dxa"/>
            <w:vAlign w:val="bottom"/>
          </w:tcPr>
          <w:p>
            <w:pPr>
              <w:spacing w:after="0"/>
              <w:rPr>
                <w:sz w:val="1"/>
                <w:szCs w:val="1"/>
                <w:color w:val="auto"/>
              </w:rPr>
            </w:pPr>
          </w:p>
        </w:tc>
      </w:tr>
      <w:tr>
        <w:trPr>
          <w:trHeight w:val="193"/>
        </w:trPr>
        <w:tc>
          <w:tcPr>
            <w:tcW w:w="4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Losses from catastrophes (3)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0" w:type="dxa"/>
            <w:vAlign w:val="bottom"/>
          </w:tcPr>
          <w:p>
            <w:pPr>
              <w:spacing w:after="0"/>
              <w:rPr>
                <w:sz w:val="1"/>
                <w:szCs w:val="1"/>
                <w:color w:val="auto"/>
              </w:rPr>
            </w:pPr>
          </w:p>
        </w:tc>
      </w:tr>
      <w:tr>
        <w:trPr>
          <w:trHeight w:val="23"/>
        </w:trPr>
        <w:tc>
          <w:tcPr>
            <w:tcW w:w="4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ceded loss and loss adjustment expenses</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9,820</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8.4 %</w:t>
            </w:r>
          </w:p>
        </w:tc>
        <w:tc>
          <w:tcPr>
            <w:tcW w:w="0" w:type="dxa"/>
            <w:vAlign w:val="bottom"/>
          </w:tcPr>
          <w:p>
            <w:pPr>
              <w:spacing w:after="0"/>
              <w:rPr>
                <w:sz w:val="1"/>
                <w:szCs w:val="1"/>
                <w:color w:val="auto"/>
              </w:rPr>
            </w:pPr>
          </w:p>
        </w:tc>
      </w:tr>
      <w:tr>
        <w:trPr>
          <w:trHeight w:val="182"/>
        </w:trPr>
        <w:tc>
          <w:tcPr>
            <w:tcW w:w="4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loss and loss adjustment expenses:</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and loss adjustment expenses excluding the effect of catastrophes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44,063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30,226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45.8 %</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Losses from catastrophes (3)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86"/>
        </w:trPr>
        <w:tc>
          <w:tcPr>
            <w:tcW w:w="4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loss and loss adjustment expenses</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45,102</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32,098</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40.5 %</w:t>
            </w:r>
          </w:p>
        </w:tc>
        <w:tc>
          <w:tcPr>
            <w:tcW w:w="0" w:type="dxa"/>
            <w:vAlign w:val="bottom"/>
          </w:tcPr>
          <w:p>
            <w:pPr>
              <w:spacing w:after="0"/>
              <w:rPr>
                <w:sz w:val="1"/>
                <w:szCs w:val="1"/>
                <w:color w:val="auto"/>
              </w:rPr>
            </w:pPr>
          </w:p>
        </w:tc>
      </w:tr>
      <w:tr>
        <w:trPr>
          <w:trHeight w:val="23"/>
        </w:trPr>
        <w:tc>
          <w:tcPr>
            <w:tcW w:w="4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Commission expense</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24.0 %</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underwriting expenses</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11,781</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28.5 %</w:t>
            </w:r>
          </w:p>
        </w:tc>
        <w:tc>
          <w:tcPr>
            <w:tcW w:w="0" w:type="dxa"/>
            <w:vAlign w:val="bottom"/>
          </w:tcPr>
          <w:p>
            <w:pPr>
              <w:spacing w:after="0"/>
              <w:rPr>
                <w:sz w:val="1"/>
                <w:szCs w:val="1"/>
                <w:color w:val="auto"/>
              </w:rPr>
            </w:pPr>
          </w:p>
        </w:tc>
      </w:tr>
      <w:tr>
        <w:trPr>
          <w:trHeight w:val="193"/>
        </w:trPr>
        <w:tc>
          <w:tcPr>
            <w:tcW w:w="4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38.6 %</w:t>
            </w:r>
          </w:p>
        </w:tc>
        <w:tc>
          <w:tcPr>
            <w:tcW w:w="0" w:type="dxa"/>
            <w:vAlign w:val="bottom"/>
          </w:tcPr>
          <w:p>
            <w:pPr>
              <w:spacing w:after="0"/>
              <w:rPr>
                <w:sz w:val="1"/>
                <w:szCs w:val="1"/>
                <w:color w:val="auto"/>
              </w:rPr>
            </w:pPr>
          </w:p>
        </w:tc>
      </w:tr>
      <w:tr>
        <w:trPr>
          <w:trHeight w:val="24"/>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193"/>
        </w:trPr>
        <w:tc>
          <w:tcPr>
            <w:tcW w:w="4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0" w:type="dxa"/>
            <w:vAlign w:val="bottom"/>
          </w:tcPr>
          <w:p>
            <w:pPr>
              <w:spacing w:after="0"/>
              <w:rPr>
                <w:sz w:val="1"/>
                <w:szCs w:val="1"/>
                <w:color w:val="auto"/>
              </w:rPr>
            </w:pPr>
          </w:p>
        </w:tc>
      </w:tr>
      <w:tr>
        <w:trPr>
          <w:trHeight w:val="24"/>
        </w:trPr>
        <w:tc>
          <w:tcPr>
            <w:tcW w:w="4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expenses</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83,909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64,742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29.6 %</w:t>
            </w:r>
          </w:p>
        </w:tc>
        <w:tc>
          <w:tcPr>
            <w:tcW w:w="0" w:type="dxa"/>
            <w:vAlign w:val="bottom"/>
          </w:tcPr>
          <w:p>
            <w:pPr>
              <w:spacing w:after="0"/>
              <w:rPr>
                <w:sz w:val="1"/>
                <w:szCs w:val="1"/>
                <w:color w:val="auto"/>
              </w:rPr>
            </w:pPr>
          </w:p>
        </w:tc>
      </w:tr>
      <w:tr>
        <w:trPr>
          <w:trHeight w:val="183"/>
        </w:trPr>
        <w:tc>
          <w:tcPr>
            <w:tcW w:w="4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before taxes</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7,525</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151.0 %</w:t>
            </w:r>
          </w:p>
        </w:tc>
        <w:tc>
          <w:tcPr>
            <w:tcW w:w="0" w:type="dxa"/>
            <w:vAlign w:val="bottom"/>
          </w:tcPr>
          <w:p>
            <w:pPr>
              <w:spacing w:after="0"/>
              <w:rPr>
                <w:sz w:val="1"/>
                <w:szCs w:val="1"/>
                <w:color w:val="auto"/>
              </w:rPr>
            </w:pPr>
          </w:p>
        </w:tc>
      </w:tr>
      <w:tr>
        <w:trPr>
          <w:trHeight w:val="193"/>
        </w:trPr>
        <w:tc>
          <w:tcPr>
            <w:tcW w:w="4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136.9 %</w:t>
            </w:r>
          </w:p>
        </w:tc>
        <w:tc>
          <w:tcPr>
            <w:tcW w:w="0" w:type="dxa"/>
            <w:vAlign w:val="bottom"/>
          </w:tcPr>
          <w:p>
            <w:pPr>
              <w:spacing w:after="0"/>
              <w:rPr>
                <w:sz w:val="1"/>
                <w:szCs w:val="1"/>
                <w:color w:val="auto"/>
              </w:rPr>
            </w:pPr>
          </w:p>
        </w:tc>
      </w:tr>
      <w:tr>
        <w:trPr>
          <w:trHeight w:val="24"/>
        </w:trPr>
        <w:tc>
          <w:tcPr>
            <w:tcW w:w="4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(Columns in the table above may not sum to totals due to rounding)</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20" w:right="400" w:hanging="802"/>
        <w:spacing w:after="0" w:line="282" w:lineRule="auto"/>
        <w:tabs>
          <w:tab w:leader="none" w:pos="161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written premiums and net premiums written are non-GAAP measures, defined above under "Key GAAP and Non-GAAP Measures", and reconciled in the table herein to the GAAP measure of net premiums earned.</w:t>
      </w:r>
    </w:p>
    <w:p>
      <w:pPr>
        <w:spacing w:after="0" w:line="161" w:lineRule="exact"/>
        <w:rPr>
          <w:rFonts w:ascii="Times New Roman" w:cs="Times New Roman" w:eastAsia="Times New Roman" w:hAnsi="Times New Roman"/>
          <w:sz w:val="18"/>
          <w:szCs w:val="18"/>
          <w:color w:val="auto"/>
        </w:rPr>
      </w:pPr>
    </w:p>
    <w:p>
      <w:pPr>
        <w:jc w:val="both"/>
        <w:ind w:left="1620" w:right="100" w:hanging="802"/>
        <w:spacing w:after="0" w:line="266" w:lineRule="auto"/>
        <w:tabs>
          <w:tab w:leader="none" w:pos="161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2024, our personal lines business was subject to a 27% quota share treaty, expiring on January 1, 2025, which included a runoff of a 3.0% portion of the prior quota share reinsurance treaty through the remainder of 2024. Effective January 1, 2025, we entered into a 16% personal lines quota share treaty, under a cutoff basis.</w:t>
      </w:r>
    </w:p>
    <w:p>
      <w:pPr>
        <w:spacing w:after="0" w:line="175" w:lineRule="exact"/>
        <w:rPr>
          <w:rFonts w:ascii="Times New Roman" w:cs="Times New Roman" w:eastAsia="Times New Roman" w:hAnsi="Times New Roman"/>
          <w:sz w:val="18"/>
          <w:szCs w:val="18"/>
          <w:color w:val="auto"/>
        </w:rPr>
      </w:pPr>
    </w:p>
    <w:p>
      <w:pPr>
        <w:ind w:left="1620" w:right="140" w:hanging="802"/>
        <w:spacing w:after="0" w:line="261" w:lineRule="auto"/>
        <w:tabs>
          <w:tab w:leader="none" w:pos="161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six months ended June 30, 2025 and 2024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0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00" w:type="dxa"/>
            <w:vAlign w:val="bottom"/>
            <w:vMerge w:val="restart"/>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Point</w:t>
            </w:r>
          </w:p>
        </w:tc>
        <w:tc>
          <w:tcPr>
            <w:tcW w:w="100" w:type="dxa"/>
            <w:vAlign w:val="bottom"/>
          </w:tcPr>
          <w:p>
            <w:pPr>
              <w:spacing w:after="0"/>
              <w:rPr>
                <w:sz w:val="19"/>
                <w:szCs w:val="19"/>
                <w:color w:val="auto"/>
              </w:rPr>
            </w:pPr>
          </w:p>
        </w:tc>
        <w:tc>
          <w:tcPr>
            <w:tcW w:w="15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41"/>
        </w:trPr>
        <w:tc>
          <w:tcPr>
            <w:tcW w:w="4800" w:type="dxa"/>
            <w:vAlign w:val="bottom"/>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448"/>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Key ratios: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ratio</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8"/>
              </w:rPr>
              <w:t>(4.0)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50"/>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21"/>
                <w:szCs w:val="21"/>
                <w:color w:val="auto"/>
              </w:rPr>
            </w:pPr>
          </w:p>
        </w:tc>
        <w:tc>
          <w:tcPr>
            <w:tcW w:w="14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0.7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82"/>
        </w:trPr>
        <w:tc>
          <w:tcPr>
            <w:tcW w:w="48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combined ratio</w:t>
            </w:r>
          </w:p>
        </w:tc>
        <w:tc>
          <w:tcPr>
            <w:tcW w:w="1000" w:type="dxa"/>
            <w:vAlign w:val="bottom"/>
            <w:tcBorders>
              <w:top w:val="single" w:sz="8" w:color="auto"/>
              <w:bottom w:val="single" w:sz="8" w:color="auto"/>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60" w:type="dxa"/>
            <w:vAlign w:val="bottom"/>
            <w:tcBorders>
              <w:top w:val="single" w:sz="8" w:color="auto"/>
              <w:bottom w:val="single" w:sz="8" w:color="auto"/>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8"/>
              </w:rPr>
              <w:t>(3.3)</w:t>
            </w:r>
          </w:p>
        </w:tc>
        <w:tc>
          <w:tcPr>
            <w:tcW w:w="16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 Written Premiums(1)</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Direct written premiums during the six months ended June 30, 2025 (“Six Months 2025”) were $119,237,000 compared to $102,820,000 during the six months ended June 30, 2024 (“Six Months 2024”). The increase of $16,417,000, or 16.0%, was primarily due to an increase in premiums from our personal lines business.</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Direct written premiums from our personal lines business for Six Months 2025 were $112,068,000, an increase of $16,191,000, or 16.9%, from $95,877,000 in Six Months 2024. The 16.9% increase in premiums from our personal lines business was primarily due to the increase in premiums associated with our Core business of 17.9% offsetting a 42.4% decrease in our non-Core business. The increase in our Core business premiums and the decrease in our non-Core business premiums is in accordance with both our Kingstone 3.0 strategic plan and change in Market Dynamics.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Direct written premiums from our livery physical damage business for Six Months 2025 were $7,137,000, an increase of $237,000, or 3.4%, from $6,900,000 in Six Months 2024. The increase in livery physical damage direct written premiums was due to the reversal of an underwriting restriction in place in Six Months 2024 to exclude certain electric vehicles until the approval of adequate rate for the risk was received, which happened in July 2024. The increase was also due to an increase in the values of the autos insured.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Direct written premiums from our Core business were $116,977,000 in Six Months 2025 compared to $97,893,000 in Six Months 2024, an increase of $19,084,000, or 19.5%. The increase in direct written premiums from our Core business was due to rate increases and an increase in policies in force. Policies in force from our Core business increased by 11.4% in Six Months 2025 compared to Six Months 2024. Direct written premiums from our non-Core business were $2,260,000 in Six Months 2025, as compared to $4,927,000 in Six Months 2024, a decrease of $2,667,000, or 54.1%. The decrease in direct written premiums from our non-Core business is a result of our decision to aggressively reduce the book of business in these states. Policies in force from our non-Core business decreased by 67.6% as of June 30, 2025 compared to June 30, 2024. The increase in our Core business and the decrease in our non-Core business is consistent with a key pillar of our Kingstone 3.0 strategy to reduce our non-Core business due to profitability concerns as well as Change in Market Dynamics.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07" w:lineRule="exact"/>
        <w:rPr>
          <w:sz w:val="20"/>
          <w:szCs w:val="20"/>
          <w:color w:val="auto"/>
        </w:rPr>
      </w:pPr>
    </w:p>
    <w:p>
      <w:pPr>
        <w:ind w:firstLine="656"/>
        <w:spacing w:after="0" w:line="282" w:lineRule="auto"/>
        <w:tabs>
          <w:tab w:leader="none" w:pos="9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written premiums is a non-GAAP measure, defined above under "Key GAAP and Non-GAAP Measures", and reconciled in the table above to the GAAP measure of net premiums earned.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Written Premiums(1) and Net Premiums Earned</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Net written premiums increased $33,700,000, or 42.4%, to $113,220,000 in Six Months 2025 from $79,520,000 in Six Months 2024. Net written premiums include direct premiums, less the amount of written premiums ceded under our reinsurance treaties (quota share, excess of loss, and catastrophe). The increase in Six Months 2025 is primarily due to the additional premiums from the Change in Market Dynamics and changes to our personal lines quota share reinsurance treaty. See quota share reinsurance treaties discussion below.</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Quota share reinsurance treaties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January 1, 2024, we entered into a 27% quota share reinsurance treaty for our personal lines business, covering the period from January 1, 2024 through January 1, 2025 (“2024/2025 Treaty”). Upon expiration of the 2024/2025 Treaty on January 1, 2025, we entered into a new 16% quota share reinsurance treaty for our personal lines business, covering the period from January 1, 2025 through January 1, 2026 (“2025/2026 Treaty”). Our personal lines business was subject to the 2025/2026 Treaty in Six Months 2025, and the 2024/2025 Treaty in Six Months 2024. In Six Months 2025, our premiums ceded under quota share treaties decreased by $17,498,000 in comparison to premiums ceded under quota share treaties in Six Months 2024 (see table above). The decrease in Six Months 2025 was attributable to the decrease in the quota share ceding percentage rate, offset by an increase in direct written premiums subject to the 2025/2026 Treaty compared to direct written premiums subject to the 2024/2025 Treaty. The inception of the 2025/2026 Treaty was recorded as a cutoff, resulting in the return of $11,471,000 from reinsurers to us of previously ceded written premiums that were unearned as of January 1, 2025.</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Excess of loss reinsurance treaties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Six Months 2025, our ceded excess of loss reinsurance premiums increased $115,000 compared to the ceded excess of loss premiums for Six Months 2024. Effective January 1, 2024, we entered into an underlying excess of loss reinsurance treaty (the “Underlying XOL Treaty”) covering the period from January 1, 2024 through January 1, 2025. The Underlying XOL Treaty provided 50% reinsurance coverage for losses of $400,000 in excess of $600,000. Losses from named storms were excluded from the Underlying XOL Treaty. Effective January 1, 2025, the Underlying XOL Treaty was renewed covering the period from January 1, 2025 through June 30, 2026.</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Catastrophe reinsurance treaties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Most of the premiums written under our personal lines policies are also subject to our catastrophe reinsurance treaties. An increase in our personal lines business historically gave rise to more property exposure, which increased our exposure to catastrophe risk; therefore, our premiums ceded under catastrophe treaties would increase. An increase in our personal lines business historically resulted in an increase in premiums ceded under our catastrophe treaties if reinsurance rates were stable or were increasing. Under Kingstone 2.0 and 3.0 we had a decrease in policies in force, and better catastrophe management, resulting in a decrease in catastrophe exposure, and a decrease in catastrophe premiums. On July 1, 2024 and 2023, we recorded our catastrophe premiums written for the entire treaty period covering July 1 through June 30, resulting in the entire annual premium written being recorded in the third quarter of 2024 and 2023. The $406,000 and $506,000 negative catastrophe premiums in Six Months 2025 and Six Months 2024, respectively, was due to a no loss bonus from one of our reinsurers.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premiums earned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premiums earned increased $30,614,000, or 51.8%, to $89,738,000 in Six Months 2025 from $59,124,000 in Six Months 2024. The increase was due to the 11 percentage point reduction in quota share rates discussed above, the increase in premiums from the Change in Market Dynamics which began in the third quarter of 2024, and a decrease in catastrophe premium rates, reflected in ceded catastrophe premiums earned, which increased the amount of growth in net premiums earned.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5" w:lineRule="exact"/>
        <w:rPr>
          <w:sz w:val="20"/>
          <w:szCs w:val="20"/>
          <w:color w:val="auto"/>
        </w:rPr>
      </w:pPr>
    </w:p>
    <w:p>
      <w:pPr>
        <w:ind w:firstLine="656"/>
        <w:spacing w:after="0" w:line="282" w:lineRule="auto"/>
        <w:tabs>
          <w:tab w:leader="none" w:pos="9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written premiums is a non-GAAP measure, defined above under "Key GAAP and Non-GAAP Measures", and reconciled in the table above to the GAAP measure of net premiums earned.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Ceding Commission Revenue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components of ceding commission revenue (in thousands)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r>
      <w:tr>
        <w:trPr>
          <w:trHeight w:val="25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2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57"/>
        </w:trPr>
        <w:tc>
          <w:tcPr>
            <w:tcW w:w="4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r>
      <w:tr>
        <w:trPr>
          <w:trHeight w:val="257"/>
        </w:trPr>
        <w:tc>
          <w:tcPr>
            <w:tcW w:w="4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Provisional ceding commissions earned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50"/>
        </w:trPr>
        <w:tc>
          <w:tcPr>
            <w:tcW w:w="49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Contingent ceding commissions earned</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56"/>
        </w:trPr>
        <w:tc>
          <w:tcPr>
            <w:tcW w:w="4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7"/>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ceding commission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1"/>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Ceding commission revenue was $6,040,000 in Six Months 2025 compared to $9,129,000 in Six Months 2024. The decrease of $3,089,000 is explained below in the discussion of provisional ceding commissions earned and contingent ceding commissions earned.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Provisional Ceding Commissions Earned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Six Months 2025, we earned provisional ceding commissions of $6,640,000 from personal lines earned premiums ceded under the 2025/2026 Treaty, and in Six Months 2024, we earned provisional ceding commissions of $9,117,000 from personal lines earned premiums ceded under the 2024/2025 Treaty. The decrease of $2,477,000 in provisional ceding commissions earned was due to the decrease in premiums ceded under these treaties during Six Months 2025 compared to Six Months 2024, offset by an increase in ceding commission rates under the 2025/2026 Treaty.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Contingent Ceding Commissions Earned</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our 2025/2026 Treaty and prior years’ quota share treaties before July 1, 2022, we received a contingent ceding commission based on a Sliding Scale of commission rates and ultimate treaty year loss ratio on the policies reinsured under this agreement based upon which contingent ceding commissions are earned. The Sliding Scale includes minimum and maximum commission rates in relation to specified ultimate loss ratio. The commission rate and contingent ceding commissions earned increase when the estimated ultimate loss ratio decreases and, conversely, the commission rate and contingent ceding commissions earned decrease when the estimated ultimate loss ratio increases. The lower the ceded loss ratio, the more contingent commission we received.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structure of the 2024/2025 Treaty called for a fixed provisional ceding commission with no opportunity to earn additional contingent ceding commissions.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Income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investment income was $4,349,000 in Six Months 2025 compared to $3,267,000 in Six Months 2024, an increase of $1,082,000, or 33.1%.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yield on non-cash invested assets was 4.00% as of June 30, 2025 compared to 3.80% as of June 30, 2024.</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invested assets were $273,550,000 as of June 30, 2025 compared to $195,789,000 as of June 30, 2024, an increase of $77,761,000.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Gains on Investments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gains on investments were $408,000 in Six Months 2025 compared to net gains on investments of $493,000 in Six Months 2024. Unrealized gains on our equity securities and other investments in Six Months 2025 were $414,000, compared to unrealized gains of $919,000 in Six Months 2024. Net realized (losses) on sales of investments were $(6,000) in Six Months 2025 compared to net realized (losses) of $(426,000) in Six Months 2024.</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Sale of Real Estate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Gain on sale of real estate was $1,966,000 in Six Months 2025 compared to $— in Six Months 2024. On March 19, 2025 one of our subsidiaries closed on the sale of our headquarters building in Kingston, New York, along with an adjacent mixed-use property (collectively, the “Property”). The purchase price for the Property was $3,600,000. We are now renting a smaller facility in Kingston, New York.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income was $292,000 in Six Months 2025 compared to $254,000 in Six Months 2024, a decrease of $(38,000), or (15.0)%.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 and LAE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loss and LAE was $45,102,000 for Six Months 2025 compared to $32,098,000 for Six Months 2024. The net loss ratio was 50.3% in Six Months 2025 compared to 54.3% in Six Months 2024, a decrease of 4.0 percentage points.</w:t>
      </w:r>
    </w:p>
    <w:p>
      <w:pPr>
        <w:spacing w:after="0" w:line="162" w:lineRule="exact"/>
        <w:rPr>
          <w:sz w:val="20"/>
          <w:szCs w:val="20"/>
          <w:color w:val="auto"/>
        </w:rPr>
      </w:pPr>
    </w:p>
    <w:p>
      <w:pPr>
        <w:jc w:val="both"/>
        <w:ind w:firstLine="551"/>
        <w:spacing w:after="0" w:line="282" w:lineRule="auto"/>
        <w:rPr>
          <w:sz w:val="20"/>
          <w:szCs w:val="20"/>
          <w:color w:val="auto"/>
        </w:rPr>
      </w:pPr>
      <w:r>
        <w:rPr>
          <w:rFonts w:ascii="Times New Roman" w:cs="Times New Roman" w:eastAsia="Times New Roman" w:hAnsi="Times New Roman"/>
          <w:sz w:val="18"/>
          <w:szCs w:val="18"/>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114300</wp:posOffset>
            </wp:positionV>
            <wp:extent cx="5306060" cy="3951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06060" cy="395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i w:val="1"/>
          <w:iCs w:val="1"/>
          <w:color w:val="auto"/>
        </w:rPr>
        <w:t>(Percent components may not sum to totals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net loss ratio for Six Months 2025 improved compared to Six Months 2024. For Six Months 2025, the improvement was primarily due to the lower catastrophe impact and lower underlying loss ratio (loss ratio excluding the impact of catastrophes and prior year development) than for Six Months 2024.</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The underlying loss ratio</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50.0% for Six Months 2025, a decrease of 2.8 points from the 52.8% underlying loss ratio recorded for Six Months 2024. Overall personal lines non-catastrophe frequency for Six Months 2025 was lower than for the same period in 2024, which is believed to be the result of our new Select product as well as our active efforts to manage less profitable lines of business. The favorable frequency for Six Months 2025 was offset by higher overall personal lines non-catastrophe severity, primarily driven by a greater impact from large fire losses and fewer low value non-weather water claims.</w:t>
      </w:r>
    </w:p>
    <w:p>
      <w:pPr>
        <w:spacing w:after="0" w:line="21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There were six newly designated catastrophe events for Six Months 2025 but no major events affecting us. The estimated total net catastrophe impact for the calendar quarter was $1,039,000, which contributed 1.2 points to the loss ratio. By comparison, the catastrophe impact for Six Months 2024 was 3.2 points.</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was favorable prior year development of $812,000 for Six Months 2025, which translates to a 0.9 point decrease to the loss ratio. By comparison, the impact of prior year development for Six Months 2024 was a decrease of 1.7 points.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5" w:lineRule="exact"/>
        <w:rPr>
          <w:sz w:val="20"/>
          <w:szCs w:val="20"/>
          <w:color w:val="auto"/>
        </w:rPr>
      </w:pPr>
    </w:p>
    <w:p>
      <w:pPr>
        <w:jc w:val="both"/>
        <w:ind w:firstLine="615"/>
        <w:spacing w:after="0" w:line="261" w:lineRule="auto"/>
        <w:tabs>
          <w:tab w:leader="none" w:pos="8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loss ratio is a non-GAAP ratio, which is computed as the GAAP net loss ratio excluding the effect of prior year loss reserve development and catastrophe losses.Net loss ratio excluding commercial lines business is a non-GAAP ratio, which is computed as the difference between the GAAP net loss ratio and the effect of commercial lines business. See "Non-GAAP Financial Measures" for the reconciliation of underlying loss ratio and net loss ratio excluding commercial lines business to the GAAP measure of net loss ratio.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table below under “Additional Financial Information” summarizing net loss ratios by line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Commission Expense</w:t>
      </w:r>
    </w:p>
    <w:p>
      <w:pPr>
        <w:spacing w:after="0" w:line="2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Commission expense was $19,943,000 in Six Months 2025 or 16.1% of direct earned premiums. Commission expense was $16,084,000 in Six Months 2024 or 15.9% of direct earned premiums The increase of $3,859,000 was primarily due to an increase in direct earned premiums of $22,669,000 and an increase of $867,000 in Six Months 2025 compared to Six Months 2024 for an accrual of estimated contingent commission based on the profitability of the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Underwriting Expenses</w:t>
      </w:r>
    </w:p>
    <w:p>
      <w:pPr>
        <w:spacing w:after="0" w:line="21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Other underwriting expenses were $15,133,000, or 12.2% of direct earned premiums, in Six Months 2025 compared to $11,781,000, or 11.7% of direct earned premiums, in Six Months 2024. The increase of $3,352,000, or 28.5%, was primarily due to increases in salaries and employment costs as described below, an increase in underwriting fees due to growth and an increase in premium taxes due to the increase in direct earned premiums. In addition, we realized a $365,000 gain on the commutations of prior years’ quota share reinsurance treaties from a group of reinsurers, in Six Months 2024, with no such gain in Six Months 2025.</w:t>
      </w:r>
    </w:p>
    <w:p>
      <w:pPr>
        <w:spacing w:after="0" w:line="21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Our largest single component of other underwriting expenses is salaries and employment costs, with costs of $7,432,000 in Six Months 2025 compared to $5,738,000 in Six Months 2024. Salaries and employment costs were 8.3 points of the net underwriting expense ratio in Six Months 2025, a reduction of 1.4 points from 9.7 points in Six Months 2024. The dollar increase in salaries and employment costs was due to hiring additional staff to handle the new business from the Change in Market Dynamics, anticipated new business in accordance with our 5-Year Growth Plan, the strengthening of our professional team by investing in the hiring of higher-level and higher compensated managers and staff needed to manage the business consistent with our Kingstone 2.0 and Kingstone 3.0 strategies, and annual employee salary increases effective January 1, 2025. In addition, the increase in salaries and employment costs was due to $1,091,000 accrued under our employee and executive bonus plans, an increase of $640,000 from Six Months 2024. The increase was due to higher profitable underwriting insurance operations in Six Months 2025 compared to Six Months 2024.</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net underwriting expense ratio in Six Months 2025 was 32.0%, compared with 31.3% in Six Months 2024. The following table shows the individual components of our net underwriting expense ratio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36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480" w:type="dxa"/>
            <w:vAlign w:val="bottom"/>
          </w:tcPr>
          <w:p>
            <w:pPr>
              <w:spacing w:after="0"/>
              <w:rPr>
                <w:sz w:val="17"/>
                <w:szCs w:val="17"/>
                <w:color w:val="auto"/>
              </w:rPr>
            </w:pPr>
          </w:p>
        </w:tc>
      </w:tr>
      <w:tr>
        <w:trPr>
          <w:trHeight w:val="265"/>
        </w:trPr>
        <w:tc>
          <w:tcPr>
            <w:tcW w:w="34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120" w:type="dxa"/>
            <w:vAlign w:val="bottom"/>
            <w:tcBorders>
              <w:bottom w:val="single" w:sz="8" w:color="auto"/>
            </w:tcBorders>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43"/>
        </w:trPr>
        <w:tc>
          <w:tcPr>
            <w:tcW w:w="3420" w:type="dxa"/>
            <w:vAlign w:val="bottom"/>
          </w:tcPr>
          <w:p>
            <w:pPr>
              <w:spacing w:after="0"/>
              <w:rPr>
                <w:sz w:val="21"/>
                <w:szCs w:val="21"/>
                <w:color w:val="auto"/>
              </w:rPr>
            </w:pPr>
          </w:p>
        </w:tc>
        <w:tc>
          <w:tcPr>
            <w:tcW w:w="45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Point Change</w:t>
            </w:r>
          </w:p>
        </w:tc>
      </w:tr>
      <w:tr>
        <w:trPr>
          <w:trHeight w:val="23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298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63"/>
        </w:trPr>
        <w:tc>
          <w:tcPr>
            <w:tcW w:w="3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Employment costs</w:t>
            </w:r>
          </w:p>
        </w:tc>
        <w:tc>
          <w:tcPr>
            <w:tcW w:w="4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Underwriting fees (inspections/surveys)</w:t>
            </w:r>
          </w:p>
        </w:tc>
        <w:tc>
          <w:tcPr>
            <w:tcW w:w="4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14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(0.1)</w:t>
            </w:r>
          </w:p>
        </w:tc>
      </w:tr>
      <w:tr>
        <w:trPr>
          <w:trHeight w:val="263"/>
        </w:trPr>
        <w:tc>
          <w:tcPr>
            <w:tcW w:w="3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 expenses</w:t>
            </w:r>
          </w:p>
        </w:tc>
        <w:tc>
          <w:tcPr>
            <w:tcW w:w="4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rPr>
              <w:t>(0.8)</w:t>
            </w:r>
          </w:p>
        </w:tc>
      </w:tr>
      <w:tr>
        <w:trPr>
          <w:trHeight w:val="250"/>
        </w:trPr>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Professional fees</w:t>
            </w:r>
          </w:p>
        </w:tc>
        <w:tc>
          <w:tcPr>
            <w:tcW w:w="4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21"/>
                <w:szCs w:val="21"/>
                <w:color w:val="auto"/>
              </w:rPr>
            </w:pPr>
          </w:p>
        </w:tc>
        <w:tc>
          <w:tcPr>
            <w:tcW w:w="14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(0.1)</w:t>
            </w:r>
          </w:p>
        </w:tc>
      </w:tr>
      <w:tr>
        <w:trPr>
          <w:trHeight w:val="263"/>
        </w:trPr>
        <w:tc>
          <w:tcPr>
            <w:tcW w:w="3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298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underwriting expenses</w:t>
            </w:r>
          </w:p>
        </w:tc>
        <w:tc>
          <w:tcPr>
            <w:tcW w:w="4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1"/>
                <w:szCs w:val="21"/>
                <w:color w:val="auto"/>
              </w:rPr>
            </w:pPr>
          </w:p>
        </w:tc>
        <w:tc>
          <w:tcPr>
            <w:tcW w:w="14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(3.1)</w:t>
            </w:r>
          </w:p>
        </w:tc>
      </w:tr>
      <w:tr>
        <w:trPr>
          <w:trHeight w:val="257"/>
        </w:trPr>
        <w:tc>
          <w:tcPr>
            <w:tcW w:w="3420" w:type="dxa"/>
            <w:vAlign w:val="bottom"/>
            <w:tcBorders>
              <w:top w:val="single" w:sz="8" w:color="CCEEFF"/>
            </w:tcBorders>
            <w:shd w:val="clear" w:color="auto" w:fill="CCEEFF"/>
          </w:tcPr>
          <w:p>
            <w:pPr>
              <w:spacing w:after="0"/>
              <w:rPr>
                <w:sz w:val="22"/>
                <w:szCs w:val="22"/>
                <w:color w:val="auto"/>
              </w:rPr>
            </w:pPr>
          </w:p>
        </w:tc>
        <w:tc>
          <w:tcPr>
            <w:tcW w:w="298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r>
      <w:tr>
        <w:trPr>
          <w:trHeight w:val="25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 expense</w:t>
            </w:r>
          </w:p>
        </w:tc>
        <w:tc>
          <w:tcPr>
            <w:tcW w:w="4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21"/>
                <w:szCs w:val="21"/>
                <w:color w:val="auto"/>
              </w:rPr>
            </w:pPr>
          </w:p>
        </w:tc>
        <w:tc>
          <w:tcPr>
            <w:tcW w:w="14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(5.0)</w:t>
            </w:r>
          </w:p>
        </w:tc>
      </w:tr>
      <w:tr>
        <w:trPr>
          <w:trHeight w:val="256"/>
        </w:trPr>
        <w:tc>
          <w:tcPr>
            <w:tcW w:w="3420" w:type="dxa"/>
            <w:vAlign w:val="bottom"/>
            <w:tcBorders>
              <w:top w:val="single" w:sz="8" w:color="CCEEFF"/>
            </w:tcBorders>
            <w:shd w:val="clear" w:color="auto" w:fill="CCEEFF"/>
          </w:tcPr>
          <w:p>
            <w:pPr>
              <w:spacing w:after="0"/>
              <w:rPr>
                <w:sz w:val="22"/>
                <w:szCs w:val="22"/>
                <w:color w:val="auto"/>
              </w:rPr>
            </w:pPr>
          </w:p>
        </w:tc>
        <w:tc>
          <w:tcPr>
            <w:tcW w:w="298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r>
      <w:tr>
        <w:trPr>
          <w:trHeight w:val="25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Ceding commission revenue</w:t>
            </w:r>
          </w:p>
        </w:tc>
        <w:tc>
          <w:tcPr>
            <w:tcW w:w="29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3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Provisional</w:t>
            </w:r>
          </w:p>
        </w:tc>
        <w:tc>
          <w:tcPr>
            <w:tcW w:w="4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7"/>
              </w:rPr>
              <w:t>8.0</w:t>
            </w:r>
          </w:p>
        </w:tc>
      </w:tr>
      <w:tr>
        <w:trPr>
          <w:trHeight w:val="250"/>
        </w:trPr>
        <w:tc>
          <w:tcPr>
            <w:tcW w:w="3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Contingent</w:t>
            </w:r>
          </w:p>
        </w:tc>
        <w:tc>
          <w:tcPr>
            <w:tcW w:w="298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ind w:left="1010"/>
              <w:spacing w:after="0"/>
              <w:rPr>
                <w:sz w:val="20"/>
                <w:szCs w:val="20"/>
                <w:color w:val="auto"/>
              </w:rPr>
            </w:pPr>
            <w:r>
              <w:rPr>
                <w:rFonts w:ascii="Times New Roman" w:cs="Times New Roman" w:eastAsia="Times New Roman" w:hAnsi="Times New Roman"/>
                <w:sz w:val="18"/>
                <w:szCs w:val="18"/>
                <w:color w:val="auto"/>
                <w:w w:val="97"/>
              </w:rPr>
              <w:t>0.7</w:t>
            </w:r>
          </w:p>
        </w:tc>
      </w:tr>
      <w:tr>
        <w:trPr>
          <w:trHeight w:val="25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ceding commission revenue</w:t>
            </w:r>
          </w:p>
        </w:tc>
        <w:tc>
          <w:tcPr>
            <w:tcW w:w="4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7"/>
              </w:rPr>
              <w:t>8.7</w:t>
            </w:r>
          </w:p>
        </w:tc>
      </w:tr>
      <w:tr>
        <w:trPr>
          <w:trHeight w:val="257"/>
        </w:trPr>
        <w:tc>
          <w:tcPr>
            <w:tcW w:w="34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r>
      <w:tr>
        <w:trPr>
          <w:trHeight w:val="25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7"/>
              </w:rPr>
              <w:t>0.1</w:t>
            </w:r>
          </w:p>
        </w:tc>
      </w:tr>
      <w:tr>
        <w:trPr>
          <w:trHeight w:val="257"/>
        </w:trPr>
        <w:tc>
          <w:tcPr>
            <w:tcW w:w="34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r>
      <w:tr>
        <w:trPr>
          <w:trHeight w:val="27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4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7"/>
              </w:rPr>
              <w:t>0.7</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467"/>
        </w:trPr>
        <w:tc>
          <w:tcPr>
            <w:tcW w:w="3420" w:type="dxa"/>
            <w:vAlign w:val="bottom"/>
          </w:tcPr>
          <w:p>
            <w:pPr>
              <w:spacing w:after="0"/>
              <w:rPr>
                <w:sz w:val="24"/>
                <w:szCs w:val="24"/>
                <w:color w:val="auto"/>
              </w:rPr>
            </w:pPr>
          </w:p>
        </w:tc>
        <w:tc>
          <w:tcPr>
            <w:tcW w:w="510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i w:val="1"/>
                <w:iCs w:val="1"/>
                <w:color w:val="auto"/>
                <w:w w:val="99"/>
              </w:rPr>
              <w:t>(Components may not sum to totals due to rounding)</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23"/>
        </w:trPr>
        <w:tc>
          <w:tcPr>
            <w:tcW w:w="3420" w:type="dxa"/>
            <w:vAlign w:val="bottom"/>
          </w:tcPr>
          <w:p>
            <w:pPr>
              <w:spacing w:after="0"/>
              <w:rPr>
                <w:sz w:val="24"/>
                <w:szCs w:val="24"/>
                <w:color w:val="auto"/>
              </w:rPr>
            </w:pPr>
          </w:p>
        </w:tc>
        <w:tc>
          <w:tcPr>
            <w:tcW w:w="29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64</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01"/>
        </w:trPr>
        <w:tc>
          <w:tcPr>
            <w:tcW w:w="3420" w:type="dxa"/>
            <w:vAlign w:val="bottom"/>
            <w:tcBorders>
              <w:bottom w:val="single" w:sz="8" w:color="9A9A9A"/>
            </w:tcBorders>
          </w:tcPr>
          <w:p>
            <w:pPr>
              <w:spacing w:after="0"/>
              <w:rPr>
                <w:sz w:val="8"/>
                <w:szCs w:val="8"/>
                <w:color w:val="auto"/>
              </w:rPr>
            </w:pPr>
          </w:p>
        </w:tc>
        <w:tc>
          <w:tcPr>
            <w:tcW w:w="298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Operating Expenses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operating expenses, related to the expenses of our holding company and Cosi, were $2,189,000 for Six Months 2025 compared to $1,579,000 for Six Months 2024. The following table shows a breakdown of the significant components of other operating expenses for the periods indicated:</w:t>
      </w:r>
    </w:p>
    <w:p>
      <w:pPr>
        <w:spacing w:after="0" w:line="226" w:lineRule="exact"/>
        <w:rPr>
          <w:sz w:val="20"/>
          <w:szCs w:val="20"/>
          <w:color w:val="auto"/>
        </w:rPr>
      </w:pPr>
    </w:p>
    <w:p>
      <w:pPr>
        <w:jc w:val="center"/>
        <w:ind w:left="162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20" w:lineRule="exact"/>
        <w:rPr>
          <w:sz w:val="20"/>
          <w:szCs w:val="20"/>
          <w:color w:val="auto"/>
        </w:rPr>
      </w:pPr>
    </w:p>
    <w:p>
      <w:pPr>
        <w:jc w:val="center"/>
        <w:ind w:left="162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13335</wp:posOffset>
            </wp:positionV>
            <wp:extent cx="18942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1"/>
                <w:szCs w:val="21"/>
                <w:color w:val="auto"/>
              </w:rPr>
            </w:pPr>
          </w:p>
        </w:tc>
        <w:tc>
          <w:tcPr>
            <w:tcW w:w="1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506"/>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63"/>
        </w:trPr>
        <w:tc>
          <w:tcPr>
            <w:tcW w:w="4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Employment costs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50"/>
        </w:trPr>
        <w:tc>
          <w:tcPr>
            <w:tcW w:w="4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Executive bonus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63"/>
        </w:trPr>
        <w:tc>
          <w:tcPr>
            <w:tcW w:w="4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compensation</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48.3</w:t>
            </w:r>
          </w:p>
        </w:tc>
      </w:tr>
      <w:tr>
        <w:trPr>
          <w:trHeight w:val="250"/>
        </w:trPr>
        <w:tc>
          <w:tcPr>
            <w:tcW w:w="4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Equity compensation - liability</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63"/>
        </w:trPr>
        <w:tc>
          <w:tcPr>
            <w:tcW w:w="4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Professional</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63.2</w:t>
            </w:r>
          </w:p>
        </w:tc>
      </w:tr>
      <w:tr>
        <w:trPr>
          <w:trHeight w:val="250"/>
        </w:trPr>
        <w:tc>
          <w:tcPr>
            <w:tcW w:w="4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Directors fees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66.2</w:t>
            </w:r>
          </w:p>
        </w:tc>
      </w:tr>
      <w:tr>
        <w:trPr>
          <w:trHeight w:val="263"/>
        </w:trPr>
        <w:tc>
          <w:tcPr>
            <w:tcW w:w="4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Insurance</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r>
      <w:tr>
        <w:trPr>
          <w:trHeight w:val="250"/>
        </w:trPr>
        <w:tc>
          <w:tcPr>
            <w:tcW w:w="4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63"/>
        </w:trPr>
        <w:tc>
          <w:tcPr>
            <w:tcW w:w="4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expenses</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55.5</w:t>
            </w:r>
          </w:p>
        </w:tc>
      </w:tr>
      <w:tr>
        <w:trPr>
          <w:trHeight w:val="243"/>
        </w:trPr>
        <w:tc>
          <w:tcPr>
            <w:tcW w:w="4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other operating expenses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7"/>
        </w:trPr>
        <w:tc>
          <w:tcPr>
            <w:tcW w:w="4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(Components may not sum to totals due to rounding)</w:t>
      </w:r>
    </w:p>
    <w:p>
      <w:pPr>
        <w:spacing w:after="0" w:line="227"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The increase in Six Months 2025 of $610,000, or 38.6%, as compared to Six Months 2024 was primarily due to an increase in equity compensation and loss on extinguishment of debt, partially offset by a decrease in employment costs. The increase in equity compensation is due to additional restricted stock awards granted to our senior leadership team as of December 31, 2024 pursuant to our employee bonus plan. The $175,000 loss on extinguishment of debt loss is due to writing off the balance of unamortized debt issue costs upon the prepayment of the 2024 Notes in Six Months 2025 as disclosed in Note 7 to the condensed consolidated financial statements. The decrease in employment costs was due to fluctuations in deferred compensation liability in Six Months 2024 related to changes in the underlying invested portfolio. The deferred compensation plan was terminated in Six Months 2024. Beginning in March 2025, after the 2024 Notes were paid in full, the monthly cost of warrant amortization and the write-off of unamortized balances of warrants that were exercised have been included in other expenses. The increase in Six Months 2025 of $157,000 includes $178,000 of such warrant costs, compared to $0 in Six Months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was $1,237,000 in Six Months 2025 compared to $1,216,000 in Six Months 2024. The increase of $21,000, or 1.7%, in depreciation and amortization was primarily due to the difference between additional depreciation on software acquired compared to software being fully depreciated.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Interest expense in Six Months 2025 was $305,000 compared to $1,984,000 in Six Months 2024, a decrease of $(1,679,000) or (84.6)%. In Six Months 2025 and Six Months 2024, as disclosed in Note 7 to the condensed consolidated financial statements, we incurred interest expense in connection with the 2024 Notes and 2022 Notes, respectively. The 2022 Notes provided for interest at the rate of 12% per annum. In September 2024, in accordance with the 2024 Exchange Agreement, we paid $5,000,000 of principal on the 2022 Notes, reducing the principal balance to $14,950,000 from $19,950,000. Under the 2024 Exchange Agreement, the balance of the 2022 Notes were exchanged for the 2024 Notes, which provided for interest at the rate of 13.75% per annum. Beginning in the third quarter of 2024 through February 2025,</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paid optional principal amounts, reducing the balance of the 2024 Notes, and completely satisfying the obligation on February 24, 2025. In addition, we also incurred interest expense on the 2022 equipment financing.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Expense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Income tax expense in Six Months 2025 was $3,750,000, which resulted in an effective tax rate of 19.9%. Income tax expense in Six Months 2024 was $1,583,000, which resulted in an effective tax rate of 21.0%. The difference in effective tax rate is due to the effect of permanent differences in Six Months 2025 compared to Six Months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income was $15,135,000 in Six Months 2025 compared to $5,942,000 in Six Months 2024. The increase in net income of $9,193,000 was due to the items described above.</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2025 Compared to Three Months Ended June 30, 2024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results of our operations (in thousands) for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1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6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Direct written premiums (1)</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61,062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53,495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14.1 %</w:t>
            </w: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Assumed written premiums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61,062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53,495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14.1 %</w:t>
            </w:r>
          </w:p>
        </w:tc>
        <w:tc>
          <w:tcPr>
            <w:tcW w:w="0" w:type="dxa"/>
            <w:vAlign w:val="bottom"/>
          </w:tcPr>
          <w:p>
            <w:pPr>
              <w:spacing w:after="0"/>
              <w:rPr>
                <w:sz w:val="1"/>
                <w:szCs w:val="1"/>
                <w:color w:val="auto"/>
              </w:rPr>
            </w:pPr>
          </w:p>
        </w:tc>
      </w:tr>
      <w:tr>
        <w:trPr>
          <w:trHeight w:val="17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Ceded written premiums</w:t>
            </w: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Ceded to quota share treaties (2)</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193"/>
        </w:trPr>
        <w:tc>
          <w:tcPr>
            <w:tcW w:w="63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Ceded to excess of loss treaties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Ceded to catastrophe treaties</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19.8 %</w:t>
            </w:r>
          </w:p>
        </w:tc>
        <w:tc>
          <w:tcPr>
            <w:tcW w:w="0" w:type="dxa"/>
            <w:vAlign w:val="bottom"/>
          </w:tcPr>
          <w:p>
            <w:pPr>
              <w:spacing w:after="0"/>
              <w:rPr>
                <w:sz w:val="1"/>
                <w:szCs w:val="1"/>
                <w:color w:val="auto"/>
              </w:rPr>
            </w:pPr>
          </w:p>
        </w:tc>
      </w:tr>
      <w:tr>
        <w:trPr>
          <w:trHeight w:val="186"/>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ceded written premiums</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12,071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written premiums (1)</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26.0 %</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Change in unearned premiums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Direct and assumed</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4,453</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3"/>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Ceded to reinsurance treaties (2)</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net unearned premiums</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46.1 %</w:t>
            </w:r>
          </w:p>
        </w:tc>
        <w:tc>
          <w:tcPr>
            <w:tcW w:w="0" w:type="dxa"/>
            <w:vAlign w:val="bottom"/>
          </w:tcPr>
          <w:p>
            <w:pPr>
              <w:spacing w:after="0"/>
              <w:rPr>
                <w:sz w:val="1"/>
                <w:szCs w:val="1"/>
                <w:color w:val="auto"/>
              </w:rPr>
            </w:pPr>
          </w:p>
        </w:tc>
      </w:tr>
      <w:tr>
        <w:trPr>
          <w:trHeight w:val="183"/>
        </w:trPr>
        <w:tc>
          <w:tcPr>
            <w:tcW w:w="6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Premiums earned</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Direct and assumed</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23.6 %</w:t>
            </w: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Ceded to reinsurance treaties</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18.8 %</w:t>
            </w:r>
          </w:p>
        </w:tc>
        <w:tc>
          <w:tcPr>
            <w:tcW w:w="0" w:type="dxa"/>
            <w:vAlign w:val="bottom"/>
          </w:tcPr>
          <w:p>
            <w:pPr>
              <w:spacing w:after="0"/>
              <w:rPr>
                <w:sz w:val="1"/>
                <w:szCs w:val="1"/>
                <w:color w:val="auto"/>
              </w:rPr>
            </w:pPr>
          </w:p>
        </w:tc>
      </w:tr>
      <w:tr>
        <w:trPr>
          <w:trHeight w:val="186"/>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premiums earned</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46,215</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30,304</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52.5 %</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Ceding commission revenue (2)</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investment income</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30.3 %</w:t>
            </w: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gains (losses) on investments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42.5 %</w:t>
            </w:r>
          </w:p>
        </w:tc>
        <w:tc>
          <w:tcPr>
            <w:tcW w:w="0" w:type="dxa"/>
            <w:vAlign w:val="bottom"/>
          </w:tcPr>
          <w:p>
            <w:pPr>
              <w:spacing w:after="0"/>
              <w:rPr>
                <w:sz w:val="1"/>
                <w:szCs w:val="1"/>
                <w:color w:val="auto"/>
              </w:rPr>
            </w:pPr>
          </w:p>
        </w:tc>
      </w:tr>
      <w:tr>
        <w:trPr>
          <w:trHeight w:val="186"/>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52,294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36,502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15,792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43.3 %</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Direct and assumed:</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Loss and loss adjustment expenses excluding the effect of catastrophes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Losses from catastrophes (3)</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186"/>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Total direct and assumed loss and loss adjustment expenses</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21,513</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19,197</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Ceded loss and loss adjustment expenses: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 and loss adjustment expenses excluding the effect of catastrophes</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93"/>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Losses from catastrophes (3)</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ceded loss and loss adjustment expenses</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83"/>
        </w:trPr>
        <w:tc>
          <w:tcPr>
            <w:tcW w:w="6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loss and loss adjustment expenses:</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Loss and loss adjustment expenses excluding the effect of catastrophes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27.3 %</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Losses from catastrophes (3)</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186"/>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Net loss and loss adjustment expenses</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17,927</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14,238</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25.9 %</w:t>
            </w:r>
          </w:p>
        </w:tc>
        <w:tc>
          <w:tcPr>
            <w:tcW w:w="0" w:type="dxa"/>
            <w:vAlign w:val="bottom"/>
          </w:tcPr>
          <w:p>
            <w:pPr>
              <w:spacing w:after="0"/>
              <w:rPr>
                <w:sz w:val="1"/>
                <w:szCs w:val="1"/>
                <w:color w:val="auto"/>
              </w:rPr>
            </w:pPr>
          </w:p>
        </w:tc>
      </w:tr>
      <w:tr>
        <w:trPr>
          <w:trHeight w:val="24"/>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Commission expense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29.1 %</w:t>
            </w: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underwriting expenses</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30.9 %</w:t>
            </w:r>
          </w:p>
        </w:tc>
        <w:tc>
          <w:tcPr>
            <w:tcW w:w="0" w:type="dxa"/>
            <w:vAlign w:val="bottom"/>
          </w:tcPr>
          <w:p>
            <w:pPr>
              <w:spacing w:after="0"/>
              <w:rPr>
                <w:sz w:val="1"/>
                <w:szCs w:val="1"/>
                <w:color w:val="auto"/>
              </w:rPr>
            </w:pPr>
          </w:p>
        </w:tc>
      </w:tr>
      <w:tr>
        <w:trPr>
          <w:trHeight w:val="192"/>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43.9 %</w:t>
            </w: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0" w:type="dxa"/>
            <w:vAlign w:val="bottom"/>
          </w:tcPr>
          <w:p>
            <w:pPr>
              <w:spacing w:after="0"/>
              <w:rPr>
                <w:sz w:val="1"/>
                <w:szCs w:val="1"/>
                <w:color w:val="auto"/>
              </w:rPr>
            </w:pPr>
          </w:p>
        </w:tc>
      </w:tr>
      <w:tr>
        <w:trPr>
          <w:trHeight w:val="24"/>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expenses</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23.9 %</w:t>
            </w:r>
          </w:p>
        </w:tc>
        <w:tc>
          <w:tcPr>
            <w:tcW w:w="0" w:type="dxa"/>
            <w:vAlign w:val="bottom"/>
          </w:tcPr>
          <w:p>
            <w:pPr>
              <w:spacing w:after="0"/>
              <w:rPr>
                <w:sz w:val="1"/>
                <w:szCs w:val="1"/>
                <w:color w:val="auto"/>
              </w:rPr>
            </w:pPr>
          </w:p>
        </w:tc>
      </w:tr>
      <w:tr>
        <w:trPr>
          <w:trHeight w:val="183"/>
        </w:trPr>
        <w:tc>
          <w:tcPr>
            <w:tcW w:w="6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(loss) before taxes</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147.7 %</w:t>
            </w: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141.8 %</w:t>
            </w:r>
          </w:p>
        </w:tc>
        <w:tc>
          <w:tcPr>
            <w:tcW w:w="0" w:type="dxa"/>
            <w:vAlign w:val="bottom"/>
          </w:tcPr>
          <w:p>
            <w:pPr>
              <w:spacing w:after="0"/>
              <w:rPr>
                <w:sz w:val="1"/>
                <w:szCs w:val="1"/>
                <w:color w:val="auto"/>
              </w:rPr>
            </w:pPr>
          </w:p>
        </w:tc>
      </w:tr>
      <w:tr>
        <w:trPr>
          <w:trHeight w:val="24"/>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149.2 %</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149"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149"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0" w:hanging="982"/>
        <w:spacing w:after="0" w:line="282" w:lineRule="auto"/>
        <w:tabs>
          <w:tab w:leader="none" w:pos="17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written premiums and net premiums written are non-GAAP measures, defined above under "Key GAAP and Non-GAAP Measures", and reconciled in the table herein to the GAAP measure of net premiums earned.</w:t>
      </w:r>
    </w:p>
    <w:p>
      <w:pPr>
        <w:spacing w:after="0" w:line="161" w:lineRule="exact"/>
        <w:rPr>
          <w:rFonts w:ascii="Times New Roman" w:cs="Times New Roman" w:eastAsia="Times New Roman" w:hAnsi="Times New Roman"/>
          <w:sz w:val="18"/>
          <w:szCs w:val="18"/>
          <w:color w:val="auto"/>
        </w:rPr>
      </w:pPr>
    </w:p>
    <w:p>
      <w:pPr>
        <w:jc w:val="both"/>
        <w:ind w:left="1800" w:hanging="982"/>
        <w:spacing w:after="0" w:line="266" w:lineRule="auto"/>
        <w:tabs>
          <w:tab w:leader="none" w:pos="17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June 30, 2024, our personal lines business was subject to a 27% quota share treaty, expiring on January 1, 2025, which included a runoff of a 3.0% portion of the prior quota share reinsurance treaty through the remainder of 2024. Effective January 1, 2025, we entered into a 16% personal lines quota share treaty, under a cutoff basis.</w:t>
      </w:r>
    </w:p>
    <w:p>
      <w:pPr>
        <w:spacing w:after="0" w:line="175" w:lineRule="exact"/>
        <w:rPr>
          <w:rFonts w:ascii="Times New Roman" w:cs="Times New Roman" w:eastAsia="Times New Roman" w:hAnsi="Times New Roman"/>
          <w:sz w:val="18"/>
          <w:szCs w:val="18"/>
          <w:color w:val="auto"/>
        </w:rPr>
      </w:pPr>
    </w:p>
    <w:p>
      <w:pPr>
        <w:jc w:val="both"/>
        <w:ind w:left="1800" w:hanging="982"/>
        <w:spacing w:after="0" w:line="261" w:lineRule="auto"/>
        <w:tabs>
          <w:tab w:leader="none" w:pos="17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June 30, 2025 and 2024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r>
      <w:tr>
        <w:trPr>
          <w:trHeight w:val="207"/>
        </w:trPr>
        <w:tc>
          <w:tcPr>
            <w:tcW w:w="4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59"/>
        </w:trPr>
        <w:tc>
          <w:tcPr>
            <w:tcW w:w="478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Point Change</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Percent Change</w:t>
            </w:r>
          </w:p>
        </w:tc>
      </w:tr>
      <w:tr>
        <w:trPr>
          <w:trHeight w:val="50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Key ratios: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63"/>
        </w:trPr>
        <w:tc>
          <w:tcPr>
            <w:tcW w:w="5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ratio</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8"/>
              </w:rPr>
              <w:t>(8.2)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50"/>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1"/>
                <w:szCs w:val="21"/>
                <w:color w:val="auto"/>
              </w:rPr>
            </w:pPr>
          </w:p>
        </w:tc>
        <w:tc>
          <w:tcPr>
            <w:tcW w:w="14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1.5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82"/>
        </w:trPr>
        <w:tc>
          <w:tcPr>
            <w:tcW w:w="4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combined ratio</w:t>
            </w:r>
          </w:p>
        </w:tc>
        <w:tc>
          <w:tcPr>
            <w:tcW w:w="1020" w:type="dxa"/>
            <w:vAlign w:val="bottom"/>
            <w:tcBorders>
              <w:top w:val="single" w:sz="8" w:color="auto"/>
              <w:bottom w:val="single" w:sz="8" w:color="auto"/>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60" w:type="dxa"/>
            <w:vAlign w:val="bottom"/>
            <w:tcBorders>
              <w:top w:val="single" w:sz="8" w:color="auto"/>
              <w:bottom w:val="single" w:sz="8" w:color="auto"/>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8"/>
              </w:rPr>
              <w:t>(6.7)</w:t>
            </w:r>
          </w:p>
        </w:tc>
        <w:tc>
          <w:tcPr>
            <w:tcW w:w="16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 Written Premiums(1)</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Direct written premiums during the three months ended June 30, 2025 (“Three Months 2025”) were $61,062,000 compared to $53,495,000 during the three months ended June 30, 2024 (“Three Months 2024”). The increase of $7,567,000, or 14.1%, was primarily due to an increase in premiums from our personal lines business.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Direct written premiums from our personal lines business for Three Months 2025 were $57,756,000, an increase of $7,619,000, or 15.2%, from $50,137,000 in Three Months 2024. The 15.2% increase in premiums from our personal lines business was primarily due to the increase in premiums associated with our Core business of 16.6% offsetting a 42.5% decrease in our non-Core business. The increase in our Core business premiums and the decrease in our non-Core business premiums is in accordance with both our Kingstone 3.0 strategic plan and Change in Market Dynamics.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Direct written premiums from our livery physical damage business for Three Months 2025 were $3,290,000, a decrease of $48,000, or 1.4%, from $3,338,000 in Three Months 2024. The decrease in livery physical damage direct written premiums was due to an underwriting restriction in place to exclude certain electric vehicles until the approval of adequate rate for the risk was received, which happened in July 2024. The decrease was offset by an increase in the values of the autos insured.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Direct written premiums from our Core business were $59,802,000 in Three Months 2025 compared to $51,306,000 in Three Months 2024, an increase of $8,496,000, or 16.6%. The increase in direct written premiums from our Core business was due to rate increases and an increase in policies in force. Policies in force from our Core business increased by 11.4% in Three Months 2025 compared to Three Months 2024. Direct written premiums from our non-Core business were $1,260,000 in Three Months 2025 as compared to $2,190,000 in Three Months 2024, a decrease of $930,000, or 42.5%. The decrease in direct written premiums from our non-Core business is a result of our decision to aggressively reduce the book of business in these states. Policies in force from our non-Core business decreased by 67.6% in Three Months 2025 compared to Three Months 2024. The increase in our Core business and the decrease in our non-Core business is consistent with a key pillar of our Kingstone 3.0 strategy to reduce our non-Core business due to profitability concerns as well as Change in Market Dynamics..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25" w:lineRule="exact"/>
        <w:rPr>
          <w:sz w:val="20"/>
          <w:szCs w:val="20"/>
          <w:color w:val="auto"/>
        </w:rPr>
      </w:pPr>
    </w:p>
    <w:p>
      <w:pPr>
        <w:ind w:firstLine="656"/>
        <w:spacing w:after="0" w:line="282" w:lineRule="auto"/>
        <w:tabs>
          <w:tab w:leader="none" w:pos="9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written premiums is a non-GAAP measure, defined above under "Key GAAP and Non-GAAP Measures", and reconciled in the table above to the GAAP measure of net premiums earned.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Written Premiums(1) and Net Premiums Earned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written premiums increased $10,786,000, or 26.0%, to $52,211,000 in Three Months 2025 from $41,425,000 in Three Months 2024. Net written premiums include direct premiums, less the amount of written premiums ceded under our reinsurance treaties (quota share, excess of loss, and catastrophe). The increase in Three Months 2025 is primarily due to the additional premiums from the Change in Market Dynamics and changes to our personal lines quota share reinsurance treaty. See quota share reinsurance treaties discussion below.</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Quota share reinsurance treaties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1, 2024, we entered into a new 27% quota share reinsurance treaty for our personal lines business, covering the period from January 1, 2024 through January 1, 2025 (“2024/2025 Treaty”). Upon expiration of the 2024/2025 Treaty on January 1, 2025, we entered into a new 16% quota share reinsurance treaty for our personal lines business, covering the period from January 1, 2025 through January 1, 2026 (“2025/2026 Treaty”). Our personal lines business was subject to the 2025/2026 Treaty in Three Months 2025, and the 2024/2025 Treaty in Three Months 2024. In Three Months 2025, our premiums ceded under quota share treaties decreased by $3,475,000 in comparison to premiums ceded under quota share treaties in Three Months 2024 (see table above). The decrease in Three Months 2025 was attributable to the decrease in the quota share ceding percentage rate, offset by an increase in direct written premiums subject to the 2025/2026 Treaty compared to direct written premiums subject to the 2024/2025 Treaty.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Excess of loss reinsurance treaties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Three Months 2025, our ceded excess of loss reinsurance premiums increased $155,000 compared to the ceded excess of loss premiums for Three Months 2024. Effective January 1, 2024, we entered into an underlying excess of loss reinsurance treaty (the “Underlying XOL Treaty”) covering the period from January 1, 2024 through January 1, 2025. The Underlying XOL Treaty provided 50% reinsurance coverage for losses of $400,000 in excess of $600,000. Losses from named storms were excluded from the Underlying XOL Treaty. Effective January 1, 2025, the Underlying XOL Treaty was renewed covering the period from January 1, 2025 through June 30, 2026.</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Catastrophe reinsurance treaties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Most of the premiums written under our personal lines policies are also subject to our catastrophe reinsurance treaties. An increase in our personal lines business historically gave rise to more property exposure, which increased our exposure to catastrophe risk; therefore, our premiums ceded under catastrophe treaties would increase. An increase in our personal lines business historically resulted in an increase in premiums ceded under our catastrophe treaties if reinsurance rates were stable or were increasing. Under Kingstone 2.0 and 3.0 we had a decrease in policies in force, and better catastrophe management, resulting in a decrease in catastrophe exposure, and a decrease in catastrophe premiums. On July 1, 2024 and 2023, we recorded our catastrophe premiums written for the entire treaty period covering July 1 through June 30, resulting in the entire annual premium written being recorded in the third quarter of 2024 and 2023. The $406,000 and $506,000 negative catastrophe premiums in Three Months 2025 and Three Months 2024, respectively, was due to a no loss bonus from one of our reinsurers.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premiums earned increased $15,911,000, or 52.5%, to $46,215,000 in Three Months 2025 from $30,304,000 in Three Months 2024. The increase was due to the 11 percentage point reduction in quota share rates discussed above, the increase in premiums from the Change in Market Dynamics which began in the third quarter of 2024, and a decrease in catastrophe premium rates, reflected in ceded catastrophe premiums earned, which increased the amount of growth in net premiums earned.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5" w:lineRule="exact"/>
        <w:rPr>
          <w:sz w:val="20"/>
          <w:szCs w:val="20"/>
          <w:color w:val="auto"/>
        </w:rPr>
      </w:pPr>
    </w:p>
    <w:p>
      <w:pPr>
        <w:ind w:firstLine="656"/>
        <w:spacing w:after="0" w:line="282" w:lineRule="auto"/>
        <w:tabs>
          <w:tab w:leader="none" w:pos="9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written premiums is a non-GAAP measure, defined above under "Key GAAP and Non-GAAP Measures", and reconciled in the table above to the GAAP measure of net premiums earned.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Ceding Commission Revenue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components of ceding commission revenue (in thousands)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r>
      <w:tr>
        <w:trPr>
          <w:trHeight w:val="25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2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1"/>
                <w:szCs w:val="21"/>
                <w:color w:val="auto"/>
              </w:rPr>
            </w:pPr>
          </w:p>
        </w:tc>
        <w:tc>
          <w:tcPr>
            <w:tcW w:w="16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57"/>
        </w:trPr>
        <w:tc>
          <w:tcPr>
            <w:tcW w:w="4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r>
      <w:tr>
        <w:trPr>
          <w:trHeight w:val="257"/>
        </w:trPr>
        <w:tc>
          <w:tcPr>
            <w:tcW w:w="4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Provisional ceding commissions earned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50"/>
        </w:trPr>
        <w:tc>
          <w:tcPr>
            <w:tcW w:w="498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Contingent ceding commissions earned</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57"/>
        </w:trPr>
        <w:tc>
          <w:tcPr>
            <w:tcW w:w="4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6"/>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ceding commission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1"/>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Ceding commission revenue was $3,081,000 in Three Months 2025 compared to $4,562,000 in Three Months 2024. The decrease of $1,481,000 is explained below in the discussion of provisional ceding commissions earned and contingent ceding commissions earned.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Provisional Ceding Commissions Earned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Three Months 2025, we earned provisional ceding commissions of $3,388,000 from personal lines earned premiums ceded under the 2025/2026 Treaty, and in Three Months 2024, we earned provisional ceding commissions of 4,562,000 from personal lines earned premiums ceded under the 2024/2025 Treaty. The decrease of $1,174,000 in provisional ceding commissions earned was due to the decrease in premiums ceded under these treaties during Three Months 2025 compared to Three Months 2024, offset by an increase in ceding commission rates under the 2025/2026 Treaty.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Contingent Ceding Commissions Earned</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our 2025/2026 Treaty and prior years’ quota share treaties before July 1, 2022, we received a contingent ceding commission based on a Sliding Scale of commission rates and ultimate treaty year loss ratio on the policies reinsured under this agreement based upon which contingent ceding commissions are earned. The Sliding Scale includes minimum and maximum commission rates in relation to specified ultimate loss ratio. The commission rate and contingent ceding commissions earned increase when the estimated ultimate loss ratio decreases and, conversely, the commission rate and contingent ceding commissions earned decrease when the estimated ultimate loss ratio increases. The lower the ceded loss ratio, the more contingent commission we received.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structure of the 2024/2025 Treaty called for a fixed provisional ceding commission with no opportunity to earn additional contingent ceding commissions.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Income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investment income was $2,300,000 in Three Months 2025 compared to $1,765,000 in Three Months 2024, an increase of $535,000, or 30.3%.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yield on non-cash invested assets was 4.00% as of June 30, 2025 compared to 3.80% as of June 30, 2024.</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invested assets were $273,550,000 as of June 30, 2025 compared to $195,789,000 as of June 30, 2024, an increase of $77,761,000.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Gains (Losses) on Investments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gains on investments were $546,000 in Three Months 2025 compared to net (losses) of $(234,000) in Three Months 2024. Unrealized gains on our equity securities and other investments in Three Months 2025 were $551,000, compared to unrealized gains of $100,000 in Three Months 2024. Net realized (losses) on sales of investments were $(4,000) in Three Months 2025 compared to net realized (losses) of $(333,000) in Three Months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was $151,000 in Three Months 2025 compared to $106,000 in Three Months 2024, a decrease of $45,000, or 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 and LAE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loss and LAE was $17,927,000 for Three Months 2025 compared to $14,238,000 for Three Months 2024. The net loss ratio was 38.8% in Three Months 2025 compared to 47.0% in Three Months 2024, a decrease of 8.2 percentage points.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114300</wp:posOffset>
            </wp:positionV>
            <wp:extent cx="5246370" cy="39090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46370" cy="390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i w:val="1"/>
          <w:iCs w:val="1"/>
          <w:color w:val="auto"/>
        </w:rPr>
        <w:t>(Percent components may not sum to totals due to rounding)</w:t>
      </w: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net loss ratio for Three Months 2025 improved compared to Three Months 2024. For Three Months 2025, the underlying loss ratio (loss ratio excluding the impact of catastrophes and prior year development) was lower than for Three Months 2024, while the impact of catastrophes and prior year development was about the same.</w:t>
      </w:r>
    </w:p>
    <w:p>
      <w:pPr>
        <w:spacing w:after="0" w:line="163"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18"/>
          <w:szCs w:val="18"/>
          <w:color w:val="auto"/>
        </w:rPr>
        <w:t>The underlying loss ratio</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38.7% for Three Months 2025, a decrease of 8.4 points from the 47.1% underlying loss ratio recorded for Three Months 2024. Overall personal lines non-catastrophe frequency for Three Months 2025 was lower than the for same period in 2024, which is believed to be the result of our new Select product as well as our active efforts to reduce less profitable lines of business. Overall personal lines non-catastrophe severity for Three Months 2025 was higher than for Three Months 2024 but improved compared to the first quarter of 2025.</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There were three newly designated catastrophe events for Three Months 2025, but no major events affecting us. The estimated total net catastrophe impact for the calendar quarter was $289,000, which contributed 0.6 points to the loss ratio. By comparison, the catastrophe impact for Three Months 2024 was 1.3 points.</w:t>
      </w:r>
    </w:p>
    <w:p>
      <w:pPr>
        <w:spacing w:after="0" w:line="20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There was favorable prior year development of $213,000 for Three Months 2025, which translates to a 0.5-point decrease to the loss ratio. By comparison, the impact of favorable prior year development for Three Months 2024 was a decrease of 1.4 points.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05" w:lineRule="exact"/>
        <w:rPr>
          <w:sz w:val="20"/>
          <w:szCs w:val="20"/>
          <w:color w:val="auto"/>
        </w:rPr>
      </w:pPr>
    </w:p>
    <w:p>
      <w:pPr>
        <w:jc w:val="both"/>
        <w:ind w:firstLine="615"/>
        <w:spacing w:after="0" w:line="261" w:lineRule="auto"/>
        <w:tabs>
          <w:tab w:leader="none" w:pos="88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loss ratio is a non-GAAP ratio, which is computed as the GAAP net loss ratio excluding the effect of prior year loss reserve development and catastrophe losses.Net loss ratio excluding commercial lines business is a non-GAAP ratio, which is computed as the difference between the GAAP net loss ratio and the effect of commercial lines business. See "Non-GAAP Financial Measures" for the reconciliation of underlying loss ratio and net loss ratio excluding commercial lines business to the GAAP measure of net loss ratio.</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See table below under “Additional Financial Information” summarizing net loss ratios by line of business.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Commission Expense</w:t>
      </w:r>
    </w:p>
    <w:p>
      <w:pPr>
        <w:spacing w:after="0" w:line="2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Commission expense was $10,630,000 in Three Months 2025 or 16.9% of direct earned premiums. Commission expense was $8,232,000 in Three Months 2024 or 16.1% of direct earned premiums. The increase of $2,398,000 was primarily due to an increase in direct earned premiums of $12,021,000, and an increase of $894,000 in Three Months 2025 compared to Three Months 2024 for an accrual of estimated contingent commission based on the profitability of the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Underwriting Expenses</w:t>
      </w:r>
    </w:p>
    <w:p>
      <w:pPr>
        <w:spacing w:after="0" w:line="21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Other underwriting expenses were $7,727,000, or 12.3% of direct earned premiums, in Three Months 2025 compared to $5,901,000, or 11.6% of direct earned premiums, in Three Months 2024. The increase of $1,826,000, or 30.9%, was primarily due to increases in salaries and employment costs as described below, an increase in underwriting fees due to growth and an increase in premium taxes due to the increase in direct earned premiums. In addition, we realized a $365,000 gain on the commutations of prior years’ quota share reinsurance treaties from a group of reinsurers, in Three Months 2024, with no such gain in Three Months 2025.</w:t>
      </w:r>
    </w:p>
    <w:p>
      <w:pPr>
        <w:spacing w:after="0" w:line="18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Our largest single component of other underwriting expenses is salaries and employment costs, with costs of $4,081,000 in Three Months 2025 compared to $3,137,000 in Three Months 2024. Salaries and employment costs were 8.8 points of the net underwriting expense ratio in Three Months 2025, a reduction of 1.6 points from 10.4 points in Three Months 2024. The dollar increase in salaries and employment costs was due to hiring additional staff to handle the new business from the Change in Market Dynamics, anticipated new business in accordance with our 5-Year Growth Plan,,the strengthening of our professional team by investing in the hiring of higher-level and higher compensated managers and staff needed to manage the business consistent with our Kingstone 2.0 and Kingstone 3.0 strategies, and annual employee salary increases effective January 1, 2025. In addition, the increase in salaries and employment costs was due to $971,000 accrued under our employee and executive bonus plans, an increase of $583,000 from Three Months 2024. The increase was due to higher profitable underwriting insurance operations in Three Months 2025 compared to Three Months 2024.</w:t>
      </w:r>
    </w:p>
    <w:p>
      <w:pPr>
        <w:spacing w:after="0" w:line="20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net underwriting expense ratio in Three Months 2025 was 32.7% compared to 31.2% in Three Months 2024. The following table shows the individual components of our net underwriting expense ratio for the periods indicated: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3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80" w:type="dxa"/>
            <w:vAlign w:val="bottom"/>
          </w:tcPr>
          <w:p>
            <w:pPr>
              <w:spacing w:after="0"/>
              <w:rPr>
                <w:sz w:val="17"/>
                <w:szCs w:val="17"/>
                <w:color w:val="auto"/>
              </w:rPr>
            </w:pPr>
          </w:p>
        </w:tc>
      </w:tr>
      <w:tr>
        <w:trPr>
          <w:trHeight w:val="265"/>
        </w:trPr>
        <w:tc>
          <w:tcPr>
            <w:tcW w:w="35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120" w:type="dxa"/>
            <w:vAlign w:val="bottom"/>
            <w:tcBorders>
              <w:bottom w:val="single" w:sz="8" w:color="auto"/>
            </w:tcBorders>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43"/>
        </w:trPr>
        <w:tc>
          <w:tcPr>
            <w:tcW w:w="3520" w:type="dxa"/>
            <w:vAlign w:val="bottom"/>
          </w:tcPr>
          <w:p>
            <w:pPr>
              <w:spacing w:after="0"/>
              <w:rPr>
                <w:sz w:val="21"/>
                <w:szCs w:val="21"/>
                <w:color w:val="auto"/>
              </w:rPr>
            </w:pPr>
          </w:p>
        </w:tc>
        <w:tc>
          <w:tcPr>
            <w:tcW w:w="44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Point Change</w:t>
            </w:r>
          </w:p>
        </w:tc>
      </w:tr>
      <w:tr>
        <w:trPr>
          <w:trHeight w:val="23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288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63"/>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Employment costs</w:t>
            </w:r>
          </w:p>
        </w:tc>
        <w:tc>
          <w:tcPr>
            <w:tcW w:w="4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50"/>
        </w:trPr>
        <w:tc>
          <w:tcPr>
            <w:tcW w:w="3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Underwriting fees (inspections/surveys)</w:t>
            </w:r>
          </w:p>
        </w:tc>
        <w:tc>
          <w:tcPr>
            <w:tcW w:w="4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IT expenses</w:t>
            </w:r>
          </w:p>
        </w:tc>
        <w:tc>
          <w:tcPr>
            <w:tcW w:w="4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0"/>
        </w:trPr>
        <w:tc>
          <w:tcPr>
            <w:tcW w:w="3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Professional fees</w:t>
            </w:r>
          </w:p>
        </w:tc>
        <w:tc>
          <w:tcPr>
            <w:tcW w:w="4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63"/>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expenses</w:t>
            </w:r>
          </w:p>
        </w:tc>
        <w:tc>
          <w:tcPr>
            <w:tcW w:w="288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4"/>
        </w:trPr>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underwriting expenses</w:t>
            </w:r>
          </w:p>
        </w:tc>
        <w:tc>
          <w:tcPr>
            <w:tcW w:w="4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56"/>
        </w:trPr>
        <w:tc>
          <w:tcPr>
            <w:tcW w:w="3520" w:type="dxa"/>
            <w:vAlign w:val="bottom"/>
            <w:tcBorders>
              <w:top w:val="single" w:sz="8" w:color="CCEEFF"/>
            </w:tcBorders>
            <w:shd w:val="clear" w:color="auto" w:fill="CCEEFF"/>
          </w:tcPr>
          <w:p>
            <w:pPr>
              <w:spacing w:after="0"/>
              <w:rPr>
                <w:sz w:val="22"/>
                <w:szCs w:val="22"/>
                <w:color w:val="auto"/>
              </w:rPr>
            </w:pPr>
          </w:p>
        </w:tc>
        <w:tc>
          <w:tcPr>
            <w:tcW w:w="288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r>
      <w:tr>
        <w:trPr>
          <w:trHeight w:val="25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 expense</w:t>
            </w:r>
          </w:p>
        </w:tc>
        <w:tc>
          <w:tcPr>
            <w:tcW w:w="4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7"/>
        </w:trPr>
        <w:tc>
          <w:tcPr>
            <w:tcW w:w="3520" w:type="dxa"/>
            <w:vAlign w:val="bottom"/>
            <w:tcBorders>
              <w:top w:val="single" w:sz="8" w:color="CCEEFF"/>
            </w:tcBorders>
            <w:shd w:val="clear" w:color="auto" w:fill="CCEEFF"/>
          </w:tcPr>
          <w:p>
            <w:pPr>
              <w:spacing w:after="0"/>
              <w:rPr>
                <w:sz w:val="22"/>
                <w:szCs w:val="22"/>
                <w:color w:val="auto"/>
              </w:rPr>
            </w:pPr>
          </w:p>
        </w:tc>
        <w:tc>
          <w:tcPr>
            <w:tcW w:w="288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r>
      <w:tr>
        <w:trPr>
          <w:trHeight w:val="25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Ceding commission revenue</w:t>
            </w:r>
          </w:p>
        </w:tc>
        <w:tc>
          <w:tcPr>
            <w:tcW w:w="2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Provisional</w:t>
            </w:r>
          </w:p>
        </w:tc>
        <w:tc>
          <w:tcPr>
            <w:tcW w:w="4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50"/>
        </w:trPr>
        <w:tc>
          <w:tcPr>
            <w:tcW w:w="3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Contingent</w:t>
            </w:r>
          </w:p>
        </w:tc>
        <w:tc>
          <w:tcPr>
            <w:tcW w:w="288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50"/>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ceding commission revenue</w:t>
            </w:r>
          </w:p>
        </w:tc>
        <w:tc>
          <w:tcPr>
            <w:tcW w:w="4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56"/>
        </w:trPr>
        <w:tc>
          <w:tcPr>
            <w:tcW w:w="35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r>
      <w:tr>
        <w:trPr>
          <w:trHeight w:val="25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5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r>
      <w:tr>
        <w:trPr>
          <w:trHeight w:val="27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4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426"/>
        </w:trPr>
        <w:tc>
          <w:tcPr>
            <w:tcW w:w="3520" w:type="dxa"/>
            <w:vAlign w:val="bottom"/>
          </w:tcPr>
          <w:p>
            <w:pPr>
              <w:spacing w:after="0"/>
              <w:rPr>
                <w:sz w:val="24"/>
                <w:szCs w:val="24"/>
                <w:color w:val="auto"/>
              </w:rPr>
            </w:pPr>
          </w:p>
        </w:tc>
        <w:tc>
          <w:tcPr>
            <w:tcW w:w="5000" w:type="dxa"/>
            <w:vAlign w:val="bottom"/>
            <w:gridSpan w:val="4"/>
          </w:tcPr>
          <w:p>
            <w:pPr>
              <w:ind w:left="200"/>
              <w:spacing w:after="0"/>
              <w:rPr>
                <w:sz w:val="20"/>
                <w:szCs w:val="20"/>
                <w:color w:val="auto"/>
              </w:rPr>
            </w:pPr>
            <w:r>
              <w:rPr>
                <w:rFonts w:ascii="Times New Roman" w:cs="Times New Roman" w:eastAsia="Times New Roman" w:hAnsi="Times New Roman"/>
                <w:sz w:val="18"/>
                <w:szCs w:val="18"/>
                <w:i w:val="1"/>
                <w:iCs w:val="1"/>
                <w:color w:val="auto"/>
              </w:rPr>
              <w:t>(Components may not sum to totals due to rounding)</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Operating Expenses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operating expenses, related to the expenses of our holding company and Cosi, were $1,153,000 for Three Month 2025 compared to $801,000 for Three Month 2024. The following table shows a breakdown of the significant components of other operating expenses for the periods indicated:</w:t>
      </w:r>
    </w:p>
    <w:p>
      <w:pPr>
        <w:spacing w:after="0" w:line="226"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5715</wp:posOffset>
            </wp:positionV>
            <wp:extent cx="19113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506"/>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3"/>
        </w:trPr>
        <w:tc>
          <w:tcPr>
            <w:tcW w:w="4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Employment costs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50"/>
        </w:trPr>
        <w:tc>
          <w:tcPr>
            <w:tcW w:w="4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Executive bonus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63"/>
        </w:trPr>
        <w:tc>
          <w:tcPr>
            <w:tcW w:w="4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Equity compensation</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68.0</w:t>
            </w:r>
          </w:p>
        </w:tc>
      </w:tr>
      <w:tr>
        <w:trPr>
          <w:trHeight w:val="250"/>
        </w:trPr>
        <w:tc>
          <w:tcPr>
            <w:tcW w:w="4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Equity compensation - liability</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63"/>
        </w:trPr>
        <w:tc>
          <w:tcPr>
            <w:tcW w:w="4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Professional</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52.6</w:t>
            </w:r>
          </w:p>
        </w:tc>
      </w:tr>
      <w:tr>
        <w:trPr>
          <w:trHeight w:val="250"/>
        </w:trPr>
        <w:tc>
          <w:tcPr>
            <w:tcW w:w="4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Directors fees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53.7</w:t>
            </w:r>
          </w:p>
        </w:tc>
      </w:tr>
      <w:tr>
        <w:trPr>
          <w:trHeight w:val="263"/>
        </w:trPr>
        <w:tc>
          <w:tcPr>
            <w:tcW w:w="4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Insurance</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r>
      <w:tr>
        <w:trPr>
          <w:trHeight w:val="250"/>
        </w:trPr>
        <w:tc>
          <w:tcPr>
            <w:tcW w:w="49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120.0</w:t>
            </w:r>
          </w:p>
        </w:tc>
      </w:tr>
      <w:tr>
        <w:trPr>
          <w:trHeight w:val="275"/>
        </w:trPr>
        <w:tc>
          <w:tcPr>
            <w:tcW w:w="4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operating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43.9 %</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(Components may not sum to totals due to rounding)</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607"/>
        <w:spacing w:after="0" w:line="253" w:lineRule="auto"/>
        <w:rPr>
          <w:sz w:val="20"/>
          <w:szCs w:val="20"/>
          <w:color w:val="auto"/>
        </w:rPr>
      </w:pPr>
      <w:r>
        <w:rPr>
          <w:rFonts w:ascii="Times New Roman" w:cs="Times New Roman" w:eastAsia="Times New Roman" w:hAnsi="Times New Roman"/>
          <w:sz w:val="18"/>
          <w:szCs w:val="18"/>
          <w:color w:val="auto"/>
        </w:rPr>
        <w:t>The increase in Three Months 2025 of $352,000, or 43.9%, as compared to Three Months 2024 was primarily due to equity compensation, partially offset by a decrease in employment costs and executive bonus. The increase in equity compensation is due to additional restricted stock awards granted to our senior leadership team as of December 31, 2024 pursuant to our employee bonus plan. The decrease in employment costs was due to fluctuations in deferred compensation liability in Three Months 2024 related to changes in the underlying invested portfolio. The deferred compensation plan was terminated in the third quarter of 2024. An executive bonus is accrued pursuant to the employment agreement of our Chief Executive Officer. The decrease in executive bonus of $83,000 is due to a reallocation of the bonus to other underwriting expenses after June 30, 2024, with the amount in Three Months 2025 representing 10% of the accrued bonus, compared to 100% of the accrued bonus for Three Months 2024. Beginning in March 2025, after the 2024 Notes were paid in full, the monthly cost of warrant amortization and the write-off of unamortized balances of warrants that were exercised have been included in other expenses. The increase in Three Months 2025 of $156,000 includes $161,000 of such warrant costs, compared to $0 in Three Months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was $613,000 in Three Months 2025 compared to $620,000 in Three Months 2024. The decrease of $7,000, or 1.1%, in depreciation and amortization was primarily due to the difference between additional depreciation on software acquired compared to software being fully depreciated.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Interest expense in Three Months 2025 was $77,000 compared to $990,000 in Three Months 2024, a decrease of $913,000 or 92.2%. In Three Months 2024, as disclosed in Note 7 to the condensed consolidated financial statements, we incurred interest expense in connection with the 2022 Notes. The 2022 Notes provided for interest at the rate of 12% per annum. In September 2024, in accordance with the 2024 Exchange Agreement, we paid $5,000,000 of principal on the 2022 Notes, reducing the principal balance to $14,950,000 from $19,950,000. Under the 2024 Exchange Agreement, the balance of the 2022 Notes were exchanged for the 2024 Notes, which provided for interest at the rate of 13.75% per annum. Beginning in the third quarter of 2024 through the first quarter of 2025, we paid optional principal amounts, reducing the balance of the 2024 Notes, and completely satisfying the obligation on February 24, 2025. In addition, we also incurred interest expense on the 2022 equipment financing.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Expense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Income tax expense in Three Months 2025 was $2,914,000, which resulted in an effective tax rate of 20.6%. Income tax expense in Three Months 2024 was $1,205,000, which resulted in an effective tax rate of 21.1%. The difference in effective tax rate is due to the effect of permanent differences in Three Months 2025 compared to Three Months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income was $11,252,000 in Three Months 2025 compared to a net loss of $4,515,000 in Three Months 2024. The increase in net income of $6,737,000 was due to the circumstances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Financial Information</w:t>
      </w:r>
    </w:p>
    <w:p>
      <w:pPr>
        <w:spacing w:after="0" w:line="22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We operate our business as one segment, property and casualty insurance. Within this segment, we offer an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6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308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4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80" w:type="dxa"/>
            <w:vAlign w:val="bottom"/>
            <w:tcBorders>
              <w:bottom w:val="single" w:sz="8" w:color="auto"/>
            </w:tcBorders>
          </w:tcPr>
          <w:p>
            <w:pPr>
              <w:spacing w:after="0"/>
              <w:rPr>
                <w:sz w:val="21"/>
                <w:szCs w:val="21"/>
                <w:color w:val="auto"/>
              </w:rPr>
            </w:pPr>
          </w:p>
        </w:tc>
      </w:tr>
      <w:tr>
        <w:trPr>
          <w:trHeight w:val="250"/>
        </w:trPr>
        <w:tc>
          <w:tcPr>
            <w:tcW w:w="4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Direct premiums written(1):</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6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Personal lines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57,755,566</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50,136,793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112,068,479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95,877,031</w:t>
            </w:r>
          </w:p>
        </w:tc>
      </w:tr>
      <w:tr>
        <w:trPr>
          <w:trHeight w:val="25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Livery physical damage</w:t>
            </w:r>
          </w:p>
        </w:tc>
        <w:tc>
          <w:tcPr>
            <w:tcW w:w="3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3,290,199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3,337,854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7,137,245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6,900,182</w:t>
            </w:r>
          </w:p>
        </w:tc>
      </w:tr>
      <w:tr>
        <w:trPr>
          <w:trHeight w:val="26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Other(1)</w:t>
            </w: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16,644</w:t>
            </w:r>
          </w:p>
        </w:tc>
        <w:tc>
          <w:tcPr>
            <w:tcW w:w="8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20,676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31,681</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42,726</w:t>
            </w:r>
          </w:p>
        </w:tc>
      </w:tr>
      <w:tr>
        <w:trPr>
          <w:trHeight w:val="243"/>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gross premiums written</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61,062,409</w:t>
            </w:r>
          </w:p>
        </w:tc>
        <w:tc>
          <w:tcPr>
            <w:tcW w:w="8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53,495,323</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119,237,405</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102,819,939</w:t>
            </w:r>
          </w:p>
        </w:tc>
      </w:tr>
      <w:tr>
        <w:trPr>
          <w:trHeight w:val="21"/>
        </w:trPr>
        <w:tc>
          <w:tcPr>
            <w:tcW w:w="4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3"/>
        </w:trPr>
        <w:tc>
          <w:tcPr>
            <w:tcW w:w="44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5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premiums written(1):</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Personal lines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48,906,505</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38,071,361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106,051,894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72,587,811</w:t>
            </w:r>
          </w:p>
        </w:tc>
      </w:tr>
      <w:tr>
        <w:trPr>
          <w:trHeight w:val="25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Livery physical damage</w:t>
            </w:r>
          </w:p>
        </w:tc>
        <w:tc>
          <w:tcPr>
            <w:tcW w:w="3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3,290,199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3,337,854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7,137,245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6,900,182</w:t>
            </w:r>
          </w:p>
        </w:tc>
      </w:tr>
      <w:tr>
        <w:trPr>
          <w:trHeight w:val="26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Other(2)</w:t>
            </w: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13,970</w:t>
            </w:r>
          </w:p>
        </w:tc>
        <w:tc>
          <w:tcPr>
            <w:tcW w:w="8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15,462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30,942</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32,083</w:t>
            </w:r>
          </w:p>
        </w:tc>
      </w:tr>
      <w:tr>
        <w:trPr>
          <w:trHeight w:val="243"/>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premiums written</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52,210,674</w:t>
            </w:r>
          </w:p>
        </w:tc>
        <w:tc>
          <w:tcPr>
            <w:tcW w:w="8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41,424,677</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113,220,081</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79,520,076</w:t>
            </w:r>
          </w:p>
        </w:tc>
      </w:tr>
      <w:tr>
        <w:trPr>
          <w:trHeight w:val="21"/>
        </w:trPr>
        <w:tc>
          <w:tcPr>
            <w:tcW w:w="4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3"/>
        </w:trPr>
        <w:tc>
          <w:tcPr>
            <w:tcW w:w="44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5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premiums earned:</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Personal lines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42,581,605</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26,664,472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82,517,929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51,756,960</w:t>
            </w:r>
          </w:p>
        </w:tc>
      </w:tr>
      <w:tr>
        <w:trPr>
          <w:trHeight w:val="25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Livery physical damage</w:t>
            </w:r>
          </w:p>
        </w:tc>
        <w:tc>
          <w:tcPr>
            <w:tcW w:w="3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3,616,990</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3,620,901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7,186,016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7,329,095</w:t>
            </w:r>
          </w:p>
        </w:tc>
      </w:tr>
      <w:tr>
        <w:trPr>
          <w:trHeight w:val="26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Other(2)</w:t>
            </w: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16,665</w:t>
            </w:r>
          </w:p>
        </w:tc>
        <w:tc>
          <w:tcPr>
            <w:tcW w:w="8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18,239</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34,378</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37,459</w:t>
            </w:r>
          </w:p>
        </w:tc>
      </w:tr>
      <w:tr>
        <w:trPr>
          <w:trHeight w:val="243"/>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46,215,260</w:t>
            </w:r>
          </w:p>
        </w:tc>
        <w:tc>
          <w:tcPr>
            <w:tcW w:w="8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30,303,612</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89,738,323</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59,123,514</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3"/>
        </w:trPr>
        <w:tc>
          <w:tcPr>
            <w:tcW w:w="44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5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and loss adjustment expenses(4):</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Personal lines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14,820,001</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11,030,632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39,551,760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25,742,826</w:t>
            </w:r>
          </w:p>
        </w:tc>
      </w:tr>
      <w:tr>
        <w:trPr>
          <w:trHeight w:val="25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Livery physical damage</w:t>
            </w:r>
          </w:p>
        </w:tc>
        <w:tc>
          <w:tcPr>
            <w:tcW w:w="3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1,313,864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1,487,652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2,772,169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3,168,303</w:t>
            </w:r>
          </w:p>
        </w:tc>
      </w:tr>
      <w:tr>
        <w:trPr>
          <w:trHeight w:val="26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Other(2)</w:t>
            </w: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(37,393)</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(16,048)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(22,726)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(29,195)</w:t>
            </w:r>
          </w:p>
        </w:tc>
      </w:tr>
      <w:tr>
        <w:trPr>
          <w:trHeight w:val="25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loss adjustment expenses</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1,453,193</w:t>
            </w: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1,285,896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2,815,065</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2,462,599</w:t>
            </w:r>
          </w:p>
        </w:tc>
      </w:tr>
      <w:tr>
        <w:trPr>
          <w:trHeight w:val="257"/>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without commercial lines in run-off</w:t>
            </w: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17,549,665</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13,788,132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45,116,268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31,344,533</w:t>
            </w:r>
          </w:p>
        </w:tc>
      </w:tr>
      <w:tr>
        <w:trPr>
          <w:trHeight w:val="25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lines (in run-off effective July 2019)(2)</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377,497</w:t>
            </w: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450,176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(14,028)</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753,362</w:t>
            </w:r>
          </w:p>
        </w:tc>
      </w:tr>
      <w:tr>
        <w:trPr>
          <w:trHeight w:val="275"/>
        </w:trPr>
        <w:tc>
          <w:tcPr>
            <w:tcW w:w="4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loss and loss adjustment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17,927,162</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14,238,308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45,102,240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32,097,895</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loss ratio(4):</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Personal lines</w:t>
            </w:r>
          </w:p>
        </w:tc>
        <w:tc>
          <w:tcPr>
            <w:tcW w:w="19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34.8%</w:t>
            </w:r>
          </w:p>
        </w:tc>
        <w:tc>
          <w:tcPr>
            <w:tcW w:w="1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41.4%</w:t>
            </w:r>
          </w:p>
        </w:tc>
        <w:tc>
          <w:tcPr>
            <w:tcW w:w="17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47.9%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6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Livery physical damage</w:t>
            </w:r>
          </w:p>
        </w:tc>
        <w:tc>
          <w:tcPr>
            <w:tcW w:w="19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36.3%</w:t>
            </w:r>
          </w:p>
        </w:tc>
        <w:tc>
          <w:tcPr>
            <w:tcW w:w="1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41.1%</w:t>
            </w:r>
          </w:p>
        </w:tc>
        <w:tc>
          <w:tcPr>
            <w:tcW w:w="17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38.6%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5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Other(2)</w:t>
            </w:r>
          </w:p>
        </w:tc>
        <w:tc>
          <w:tcPr>
            <w:tcW w:w="19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-224.4%</w:t>
            </w:r>
          </w:p>
        </w:tc>
        <w:tc>
          <w:tcPr>
            <w:tcW w:w="17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(88.0%)</w:t>
            </w:r>
          </w:p>
        </w:tc>
        <w:tc>
          <w:tcPr>
            <w:tcW w:w="17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-66.1%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6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without commercial lines in run-off</w:t>
            </w:r>
          </w:p>
        </w:tc>
        <w:tc>
          <w:tcPr>
            <w:tcW w:w="19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38.0%</w:t>
            </w:r>
          </w:p>
        </w:tc>
        <w:tc>
          <w:tcPr>
            <w:tcW w:w="1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45.5%</w:t>
            </w:r>
          </w:p>
        </w:tc>
        <w:tc>
          <w:tcPr>
            <w:tcW w:w="17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50.3%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5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lines (in run-off effective July 2019)(3)</w:t>
            </w:r>
          </w:p>
        </w:tc>
        <w:tc>
          <w:tcPr>
            <w:tcW w:w="19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na</w:t>
            </w:r>
          </w:p>
        </w:tc>
        <w:tc>
          <w:tcPr>
            <w:tcW w:w="17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63"/>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38.8%</w:t>
            </w:r>
          </w:p>
        </w:tc>
        <w:tc>
          <w:tcPr>
            <w:tcW w:w="1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47.0%</w:t>
            </w:r>
          </w:p>
        </w:tc>
        <w:tc>
          <w:tcPr>
            <w:tcW w:w="17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50.3%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bl>
    <w:p>
      <w:pPr>
        <w:spacing w:after="0" w:line="184" w:lineRule="exact"/>
        <w:rPr>
          <w:sz w:val="20"/>
          <w:szCs w:val="20"/>
          <w:color w:val="auto"/>
        </w:rPr>
      </w:pPr>
    </w:p>
    <w:p>
      <w:pPr>
        <w:ind w:left="1100" w:right="60" w:hanging="1092"/>
        <w:spacing w:after="0" w:line="266" w:lineRule="auto"/>
        <w:tabs>
          <w:tab w:leader="none" w:pos="109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written premiums and net written premiums are non-GAAP measures, defined above under "Key GAAP and Non-GAAP Measures". See "Non-GAAP Financial Measures" below for the reconciliation of direct written premiums, and net written premiums to the GAAP measure of net premiums earned.</w:t>
      </w:r>
    </w:p>
    <w:p>
      <w:pPr>
        <w:spacing w:after="0" w:line="67" w:lineRule="exact"/>
        <w:rPr>
          <w:rFonts w:ascii="Times New Roman" w:cs="Times New Roman" w:eastAsia="Times New Roman" w:hAnsi="Times New Roman"/>
          <w:sz w:val="18"/>
          <w:szCs w:val="18"/>
          <w:color w:val="auto"/>
        </w:rPr>
      </w:pPr>
    </w:p>
    <w:p>
      <w:pPr>
        <w:ind w:left="1100" w:right="340" w:hanging="1092"/>
        <w:spacing w:after="0" w:line="261" w:lineRule="auto"/>
        <w:tabs>
          <w:tab w:leader="none" w:pos="109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among other things, premiums and loss and loss adjustment expenses from our participation in a mandatory state joint underwriting association and loss and loss adjustment expenses from commercial auto.</w:t>
      </w:r>
    </w:p>
    <w:p>
      <w:pPr>
        <w:ind w:left="1100" w:right="60" w:hanging="1092"/>
        <w:spacing w:after="0" w:line="250" w:lineRule="auto"/>
        <w:tabs>
          <w:tab w:leader="none" w:pos="109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2019, we decided that we will no longer underwrite Commercial Liability risks. See discussions above regarding the discontinuation of this line of business.</w:t>
      </w:r>
    </w:p>
    <w:p>
      <w:pPr>
        <w:ind w:left="1100" w:right="160" w:hanging="1092"/>
        <w:spacing w:after="0" w:line="260" w:lineRule="auto"/>
        <w:tabs>
          <w:tab w:leader="none" w:pos="109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discussion above with regard to “Net Loss and LAE”, as to catastrophe losses in the three months and six months ended June 30, 2025 and 2024.</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Underwriting Business on a Standalone Basis</w:t>
      </w:r>
      <w:r>
        <w:rPr>
          <w:rFonts w:ascii="Times New Roman" w:cs="Times New Roman" w:eastAsia="Times New Roman" w:hAnsi="Times New Roman"/>
          <w:sz w:val="23"/>
          <w:szCs w:val="23"/>
          <w:b w:val="1"/>
          <w:bCs w:val="1"/>
          <w:color w:val="auto"/>
          <w:vertAlign w:val="superscript"/>
        </w:rPr>
        <w:t>(1)</w:t>
      </w:r>
    </w:p>
    <w:p>
      <w:pPr>
        <w:ind w:left="660"/>
        <w:spacing w:after="0"/>
        <w:rPr>
          <w:sz w:val="20"/>
          <w:szCs w:val="20"/>
          <w:color w:val="auto"/>
        </w:rPr>
      </w:pPr>
      <w:r>
        <w:rPr>
          <w:rFonts w:ascii="Times New Roman" w:cs="Times New Roman" w:eastAsia="Times New Roman" w:hAnsi="Times New Roman"/>
          <w:sz w:val="18"/>
          <w:szCs w:val="18"/>
          <w:color w:val="auto"/>
        </w:rPr>
        <w:t>Our insurance underwriting business reported on a standalone basis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for the periods indicated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2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96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4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premiums earned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46,215,260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30,303,612</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89,738,323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59,123,514</w:t>
            </w:r>
          </w:p>
        </w:tc>
        <w:tc>
          <w:tcPr>
            <w:tcW w:w="0" w:type="dxa"/>
            <w:vAlign w:val="bottom"/>
          </w:tcPr>
          <w:p>
            <w:pPr>
              <w:spacing w:after="0"/>
              <w:rPr>
                <w:sz w:val="1"/>
                <w:szCs w:val="1"/>
                <w:color w:val="auto"/>
              </w:rPr>
            </w:pPr>
          </w:p>
        </w:tc>
      </w:tr>
      <w:tr>
        <w:trPr>
          <w:trHeight w:val="25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Ceding commission revenue</w:t>
            </w:r>
          </w:p>
        </w:tc>
        <w:tc>
          <w:tcPr>
            <w:tcW w:w="32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3,081,556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4,561,961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6,040,247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9,129,072</w:t>
            </w:r>
          </w:p>
        </w:tc>
        <w:tc>
          <w:tcPr>
            <w:tcW w:w="0" w:type="dxa"/>
            <w:vAlign w:val="bottom"/>
          </w:tcPr>
          <w:p>
            <w:pPr>
              <w:spacing w:after="0"/>
              <w:rPr>
                <w:sz w:val="1"/>
                <w:szCs w:val="1"/>
                <w:color w:val="auto"/>
              </w:rPr>
            </w:pPr>
          </w:p>
        </w:tc>
      </w:tr>
      <w:tr>
        <w:trPr>
          <w:trHeight w:val="263"/>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2,300,267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1,764,596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4,348,863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3,267,456</w:t>
            </w:r>
          </w:p>
        </w:tc>
        <w:tc>
          <w:tcPr>
            <w:tcW w:w="0" w:type="dxa"/>
            <w:vAlign w:val="bottom"/>
          </w:tcPr>
          <w:p>
            <w:pPr>
              <w:spacing w:after="0"/>
              <w:rPr>
                <w:sz w:val="1"/>
                <w:szCs w:val="1"/>
                <w:color w:val="auto"/>
              </w:rPr>
            </w:pPr>
          </w:p>
        </w:tc>
      </w:tr>
      <w:tr>
        <w:trPr>
          <w:trHeight w:val="25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gains (losses) on investments</w:t>
            </w:r>
          </w:p>
        </w:tc>
        <w:tc>
          <w:tcPr>
            <w:tcW w:w="32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546,451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(245,351)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408,472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408,468</w:t>
            </w:r>
          </w:p>
        </w:tc>
        <w:tc>
          <w:tcPr>
            <w:tcW w:w="0" w:type="dxa"/>
            <w:vAlign w:val="bottom"/>
          </w:tcPr>
          <w:p>
            <w:pPr>
              <w:spacing w:after="0"/>
              <w:rPr>
                <w:sz w:val="1"/>
                <w:szCs w:val="1"/>
                <w:color w:val="auto"/>
              </w:rPr>
            </w:pPr>
          </w:p>
        </w:tc>
      </w:tr>
      <w:tr>
        <w:trPr>
          <w:trHeight w:val="263"/>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1,965,989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151,173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104,811</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291,127</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252,978</w:t>
            </w:r>
          </w:p>
        </w:tc>
        <w:tc>
          <w:tcPr>
            <w:tcW w:w="0" w:type="dxa"/>
            <w:vAlign w:val="bottom"/>
          </w:tcPr>
          <w:p>
            <w:pPr>
              <w:spacing w:after="0"/>
              <w:rPr>
                <w:sz w:val="1"/>
                <w:szCs w:val="1"/>
                <w:color w:val="auto"/>
              </w:rPr>
            </w:pPr>
          </w:p>
        </w:tc>
      </w:tr>
      <w:tr>
        <w:trPr>
          <w:trHeight w:val="250"/>
        </w:trPr>
        <w:tc>
          <w:tcPr>
            <w:tcW w:w="4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52,294,707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36,489,629</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102,793,021</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72,181,488</w:t>
            </w:r>
          </w:p>
        </w:tc>
        <w:tc>
          <w:tcPr>
            <w:tcW w:w="0" w:type="dxa"/>
            <w:vAlign w:val="bottom"/>
          </w:tcPr>
          <w:p>
            <w:pPr>
              <w:spacing w:after="0"/>
              <w:rPr>
                <w:sz w:val="1"/>
                <w:szCs w:val="1"/>
                <w:color w:val="auto"/>
              </w:rPr>
            </w:pPr>
          </w:p>
        </w:tc>
      </w:tr>
      <w:tr>
        <w:trPr>
          <w:trHeight w:val="257"/>
        </w:trPr>
        <w:tc>
          <w:tcPr>
            <w:tcW w:w="4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32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17,927,162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14,238,308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45,102,240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32,097,895</w:t>
            </w:r>
          </w:p>
        </w:tc>
        <w:tc>
          <w:tcPr>
            <w:tcW w:w="0" w:type="dxa"/>
            <w:vAlign w:val="bottom"/>
          </w:tcPr>
          <w:p>
            <w:pPr>
              <w:spacing w:after="0"/>
              <w:rPr>
                <w:sz w:val="1"/>
                <w:szCs w:val="1"/>
                <w:color w:val="auto"/>
              </w:rPr>
            </w:pPr>
          </w:p>
        </w:tc>
      </w:tr>
      <w:tr>
        <w:trPr>
          <w:trHeight w:val="263"/>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Commission expense</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10,629,629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8,232,480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19,942,509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16,084,292</w:t>
            </w:r>
          </w:p>
        </w:tc>
        <w:tc>
          <w:tcPr>
            <w:tcW w:w="0" w:type="dxa"/>
            <w:vAlign w:val="bottom"/>
          </w:tcPr>
          <w:p>
            <w:pPr>
              <w:spacing w:after="0"/>
              <w:rPr>
                <w:sz w:val="1"/>
                <w:szCs w:val="1"/>
                <w:color w:val="auto"/>
              </w:rPr>
            </w:pPr>
          </w:p>
        </w:tc>
      </w:tr>
      <w:tr>
        <w:trPr>
          <w:trHeight w:val="25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32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7,727,367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5,900,525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15,132,789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11,781,130</w:t>
            </w:r>
          </w:p>
        </w:tc>
        <w:tc>
          <w:tcPr>
            <w:tcW w:w="0" w:type="dxa"/>
            <w:vAlign w:val="bottom"/>
          </w:tcPr>
          <w:p>
            <w:pPr>
              <w:spacing w:after="0"/>
              <w:rPr>
                <w:sz w:val="1"/>
                <w:szCs w:val="1"/>
                <w:color w:val="auto"/>
              </w:rPr>
            </w:pPr>
          </w:p>
        </w:tc>
      </w:tr>
      <w:tr>
        <w:trPr>
          <w:trHeight w:val="263"/>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613,364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619,934</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1,237,227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1,216,447</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77,074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94,303</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158,551</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192,759</w:t>
            </w:r>
          </w:p>
        </w:tc>
        <w:tc>
          <w:tcPr>
            <w:tcW w:w="0" w:type="dxa"/>
            <w:vAlign w:val="bottom"/>
          </w:tcPr>
          <w:p>
            <w:pPr>
              <w:spacing w:after="0"/>
              <w:rPr>
                <w:sz w:val="1"/>
                <w:szCs w:val="1"/>
                <w:color w:val="auto"/>
              </w:rPr>
            </w:pPr>
          </w:p>
        </w:tc>
      </w:tr>
      <w:tr>
        <w:trPr>
          <w:trHeight w:val="250"/>
        </w:trPr>
        <w:tc>
          <w:tcPr>
            <w:tcW w:w="4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36,974,596</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29,085,550</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81,573,316</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61,372,523</w:t>
            </w:r>
          </w:p>
        </w:tc>
        <w:tc>
          <w:tcPr>
            <w:tcW w:w="0" w:type="dxa"/>
            <w:vAlign w:val="bottom"/>
          </w:tcPr>
          <w:p>
            <w:pPr>
              <w:spacing w:after="0"/>
              <w:rPr>
                <w:sz w:val="1"/>
                <w:szCs w:val="1"/>
                <w:color w:val="auto"/>
              </w:rPr>
            </w:pPr>
          </w:p>
        </w:tc>
      </w:tr>
      <w:tr>
        <w:trPr>
          <w:trHeight w:val="256"/>
        </w:trPr>
        <w:tc>
          <w:tcPr>
            <w:tcW w:w="4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15,320,111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7,404,079</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21,219,705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10,808,965</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3,201,227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1,561,579</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4,434,352</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2,280,693</w:t>
            </w:r>
          </w:p>
        </w:tc>
        <w:tc>
          <w:tcPr>
            <w:tcW w:w="0" w:type="dxa"/>
            <w:vAlign w:val="bottom"/>
          </w:tcPr>
          <w:p>
            <w:pPr>
              <w:spacing w:after="0"/>
              <w:rPr>
                <w:sz w:val="1"/>
                <w:szCs w:val="1"/>
                <w:color w:val="auto"/>
              </w:rPr>
            </w:pPr>
          </w:p>
        </w:tc>
      </w:tr>
      <w:tr>
        <w:trPr>
          <w:trHeight w:val="194"/>
        </w:trPr>
        <w:tc>
          <w:tcPr>
            <w:tcW w:w="46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Net income from insurance underwriting business on a</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12,118,884</w:t>
            </w: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5,842,500</w:t>
            </w:r>
          </w:p>
        </w:tc>
        <w:tc>
          <w:tcPr>
            <w:tcW w:w="8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16,785,353</w:t>
            </w:r>
          </w:p>
        </w:tc>
        <w:tc>
          <w:tcPr>
            <w:tcW w:w="100" w:type="dxa"/>
            <w:vAlign w:val="bottom"/>
            <w:shd w:val="clear" w:color="auto" w:fill="CCEEFF"/>
          </w:tcPr>
          <w:p>
            <w:pPr>
              <w:spacing w:after="0"/>
              <w:rPr>
                <w:sz w:val="16"/>
                <w:szCs w:val="16"/>
                <w:color w:val="auto"/>
              </w:rPr>
            </w:pP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8,528,272</w:t>
            </w:r>
          </w:p>
        </w:tc>
        <w:tc>
          <w:tcPr>
            <w:tcW w:w="0" w:type="dxa"/>
            <w:vAlign w:val="bottom"/>
          </w:tcPr>
          <w:p>
            <w:pPr>
              <w:spacing w:after="0"/>
              <w:rPr>
                <w:sz w:val="1"/>
                <w:szCs w:val="1"/>
                <w:color w:val="auto"/>
              </w:rPr>
            </w:pPr>
          </w:p>
        </w:tc>
      </w:tr>
      <w:tr>
        <w:trPr>
          <w:trHeight w:val="245"/>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standalone basis(1)</w:t>
            </w: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vMerge w:val="continue"/>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Key Measures:</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ratio</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0" w:type="dxa"/>
            <w:vAlign w:val="bottom"/>
          </w:tcPr>
          <w:p>
            <w:pPr>
              <w:spacing w:after="0"/>
              <w:rPr>
                <w:sz w:val="1"/>
                <w:szCs w:val="1"/>
                <w:color w:val="auto"/>
              </w:rPr>
            </w:pPr>
          </w:p>
        </w:tc>
      </w:tr>
      <w:tr>
        <w:trPr>
          <w:trHeight w:val="263"/>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3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0" w:type="dxa"/>
            <w:vAlign w:val="bottom"/>
          </w:tcPr>
          <w:p>
            <w:pPr>
              <w:spacing w:after="0"/>
              <w:rPr>
                <w:sz w:val="1"/>
                <w:szCs w:val="1"/>
                <w:color w:val="auto"/>
              </w:rPr>
            </w:pPr>
          </w:p>
        </w:tc>
      </w:tr>
      <w:tr>
        <w:trPr>
          <w:trHeight w:val="243"/>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combined ratio</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78.2 %</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82.3 %</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85.6 %</w:t>
            </w:r>
          </w:p>
        </w:tc>
        <w:tc>
          <w:tcPr>
            <w:tcW w:w="0" w:type="dxa"/>
            <w:vAlign w:val="bottom"/>
          </w:tcPr>
          <w:p>
            <w:pPr>
              <w:spacing w:after="0"/>
              <w:rPr>
                <w:sz w:val="1"/>
                <w:szCs w:val="1"/>
                <w:color w:val="auto"/>
              </w:rPr>
            </w:pPr>
          </w:p>
        </w:tc>
      </w:tr>
      <w:tr>
        <w:trPr>
          <w:trHeight w:val="21"/>
        </w:trPr>
        <w:tc>
          <w:tcPr>
            <w:tcW w:w="4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6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Reconciliation of net underwriting expense ratio:</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 costs and other</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underwriting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18,356,996</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14,133,005</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35,075,298</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27,865,422</w:t>
            </w:r>
          </w:p>
        </w:tc>
        <w:tc>
          <w:tcPr>
            <w:tcW w:w="0" w:type="dxa"/>
            <w:vAlign w:val="bottom"/>
          </w:tcPr>
          <w:p>
            <w:pPr>
              <w:spacing w:after="0"/>
              <w:rPr>
                <w:sz w:val="1"/>
                <w:szCs w:val="1"/>
                <w:color w:val="auto"/>
              </w:rPr>
            </w:pPr>
          </w:p>
        </w:tc>
      </w:tr>
      <w:tr>
        <w:trPr>
          <w:trHeight w:val="263"/>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Ceding commission revenue</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(3,081,556)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(4,561,961)</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(6,040,247)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(9,129,072)</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Other income</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(151,173)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(104,811)</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(291,127)</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(252,978)</w:t>
            </w:r>
          </w:p>
        </w:tc>
        <w:tc>
          <w:tcPr>
            <w:tcW w:w="0" w:type="dxa"/>
            <w:vAlign w:val="bottom"/>
          </w:tcPr>
          <w:p>
            <w:pPr>
              <w:spacing w:after="0"/>
              <w:rPr>
                <w:sz w:val="1"/>
                <w:szCs w:val="1"/>
                <w:color w:val="auto"/>
              </w:rPr>
            </w:pPr>
          </w:p>
        </w:tc>
      </w:tr>
      <w:tr>
        <w:trPr>
          <w:trHeight w:val="275"/>
        </w:trPr>
        <w:tc>
          <w:tcPr>
            <w:tcW w:w="4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underwriting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15,124,267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9,466,233</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28,743,924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18,483,372</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premiums earned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46,215,260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30,303,612</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89,738,323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59,123,514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40" w:firstLine="615"/>
        <w:spacing w:after="0" w:line="266" w:lineRule="auto"/>
        <w:tabs>
          <w:tab w:leader="none" w:pos="86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from insurance underwriting business on a standalone basis is a non-GAAP measure, which is computed as GAAP net income without the effect of holding company operations on GAAP net income. See "Non-GAAP Financial Measures" for the reconciliation of net income from insurance underwriting business on a standalone basis to the GAAP measure of net income.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An analysis of our direct, assumed and ceded earned premiums, loss and loss adjustment expenses, and loss ratios is shown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280" w:type="dxa"/>
            <w:vAlign w:val="bottom"/>
          </w:tcPr>
          <w:p>
            <w:pPr>
              <w:spacing w:after="0"/>
              <w:rPr>
                <w:sz w:val="16"/>
                <w:szCs w:val="16"/>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34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Ceded</w:t>
            </w:r>
          </w:p>
        </w:tc>
        <w:tc>
          <w:tcPr>
            <w:tcW w:w="380" w:type="dxa"/>
            <w:vAlign w:val="bottom"/>
          </w:tcPr>
          <w:p>
            <w:pPr>
              <w:spacing w:after="0"/>
              <w:rPr>
                <w:sz w:val="16"/>
                <w:szCs w:val="16"/>
                <w:color w:val="auto"/>
              </w:rPr>
            </w:pPr>
          </w:p>
        </w:tc>
        <w:tc>
          <w:tcPr>
            <w:tcW w:w="11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Written premiums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119,237,405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(6,017,324)</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113,220,081</w:t>
            </w:r>
          </w:p>
        </w:tc>
        <w:tc>
          <w:tcPr>
            <w:tcW w:w="0" w:type="dxa"/>
            <w:vAlign w:val="bottom"/>
          </w:tcPr>
          <w:p>
            <w:pPr>
              <w:spacing w:after="0"/>
              <w:rPr>
                <w:sz w:val="1"/>
                <w:szCs w:val="1"/>
                <w:color w:val="auto"/>
              </w:rPr>
            </w:pPr>
          </w:p>
        </w:tc>
      </w:tr>
      <w:tr>
        <w:trPr>
          <w:trHeight w:val="193"/>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unearned premiums</w:t>
            </w:r>
          </w:p>
        </w:tc>
        <w:tc>
          <w:tcPr>
            <w:tcW w:w="34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4,438,637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(27,920,395)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(23,481,758)</w:t>
            </w:r>
          </w:p>
        </w:tc>
        <w:tc>
          <w:tcPr>
            <w:tcW w:w="0" w:type="dxa"/>
            <w:vAlign w:val="bottom"/>
          </w:tcPr>
          <w:p>
            <w:pPr>
              <w:spacing w:after="0"/>
              <w:rPr>
                <w:sz w:val="1"/>
                <w:szCs w:val="1"/>
                <w:color w:val="auto"/>
              </w:rPr>
            </w:pPr>
          </w:p>
        </w:tc>
      </w:tr>
      <w:tr>
        <w:trPr>
          <w:trHeight w:val="23"/>
        </w:trPr>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Earned premiums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123,676,042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(33,937,719)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89,738,323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 excluding</w:t>
            </w: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the effect of catastrophes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54,510,804</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(10,447,449)</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44,063,355</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Catastrophe loss</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1,236,768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(197,883)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1,038,885</w:t>
            </w:r>
          </w:p>
        </w:tc>
        <w:tc>
          <w:tcPr>
            <w:tcW w:w="0" w:type="dxa"/>
            <w:vAlign w:val="bottom"/>
          </w:tcPr>
          <w:p>
            <w:pPr>
              <w:spacing w:after="0"/>
              <w:rPr>
                <w:sz w:val="1"/>
                <w:szCs w:val="1"/>
                <w:color w:val="auto"/>
              </w:rPr>
            </w:pPr>
          </w:p>
        </w:tc>
      </w:tr>
      <w:tr>
        <w:trPr>
          <w:trHeight w:val="186"/>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w:t>
            </w: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55,747,572</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(10,645,332)</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45,102,240</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ratio excluding the effect of catastrophes(2)</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Catastrophe loss</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6"/>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ratio</w:t>
            </w: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Written premiums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102,819,939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(23,299,863)</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79,520,076</w:t>
            </w:r>
          </w:p>
        </w:tc>
        <w:tc>
          <w:tcPr>
            <w:tcW w:w="0" w:type="dxa"/>
            <w:vAlign w:val="bottom"/>
          </w:tcPr>
          <w:p>
            <w:pPr>
              <w:spacing w:after="0"/>
              <w:rPr>
                <w:sz w:val="1"/>
                <w:szCs w:val="1"/>
                <w:color w:val="auto"/>
              </w:rPr>
            </w:pPr>
          </w:p>
        </w:tc>
      </w:tr>
      <w:tr>
        <w:trPr>
          <w:trHeight w:val="193"/>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unearned premiums</w:t>
            </w:r>
          </w:p>
        </w:tc>
        <w:tc>
          <w:tcPr>
            <w:tcW w:w="34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(1,813,141)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(18,583,421)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(20,396,562)</w:t>
            </w:r>
          </w:p>
        </w:tc>
        <w:tc>
          <w:tcPr>
            <w:tcW w:w="0" w:type="dxa"/>
            <w:vAlign w:val="bottom"/>
          </w:tcPr>
          <w:p>
            <w:pPr>
              <w:spacing w:after="0"/>
              <w:rPr>
                <w:sz w:val="1"/>
                <w:szCs w:val="1"/>
                <w:color w:val="auto"/>
              </w:rPr>
            </w:pPr>
          </w:p>
        </w:tc>
      </w:tr>
      <w:tr>
        <w:trPr>
          <w:trHeight w:val="23"/>
        </w:trPr>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Earned premiums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101,006,798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(41,883,284)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59,123,514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 excluding</w:t>
            </w: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the effect of catastrophes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39,269,168</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(9,043,308)</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30,225,860</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Catastrophe loss</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2,648,810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(776,775)</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1,872,035</w:t>
            </w:r>
          </w:p>
        </w:tc>
        <w:tc>
          <w:tcPr>
            <w:tcW w:w="0" w:type="dxa"/>
            <w:vAlign w:val="bottom"/>
          </w:tcPr>
          <w:p>
            <w:pPr>
              <w:spacing w:after="0"/>
              <w:rPr>
                <w:sz w:val="1"/>
                <w:szCs w:val="1"/>
                <w:color w:val="auto"/>
              </w:rPr>
            </w:pPr>
          </w:p>
        </w:tc>
      </w:tr>
      <w:tr>
        <w:trPr>
          <w:trHeight w:val="186"/>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w:t>
            </w: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41,917,978</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(9,820,083)</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32,097,895</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ratio excluding the effect of catastrophes(2)</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Catastrophe loss</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6"/>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ratio</w:t>
            </w: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Written premiums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61,062,409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(8,851,735)</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52,210,674</w:t>
            </w:r>
          </w:p>
        </w:tc>
        <w:tc>
          <w:tcPr>
            <w:tcW w:w="0" w:type="dxa"/>
            <w:vAlign w:val="bottom"/>
          </w:tcPr>
          <w:p>
            <w:pPr>
              <w:spacing w:after="0"/>
              <w:rPr>
                <w:sz w:val="1"/>
                <w:szCs w:val="1"/>
                <w:color w:val="auto"/>
              </w:rPr>
            </w:pPr>
          </w:p>
        </w:tc>
      </w:tr>
      <w:tr>
        <w:trPr>
          <w:trHeight w:val="193"/>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unearned premiums</w:t>
            </w:r>
          </w:p>
        </w:tc>
        <w:tc>
          <w:tcPr>
            <w:tcW w:w="34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1,968,256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(7,963,670)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(5,995,414)</w:t>
            </w:r>
          </w:p>
        </w:tc>
        <w:tc>
          <w:tcPr>
            <w:tcW w:w="0" w:type="dxa"/>
            <w:vAlign w:val="bottom"/>
          </w:tcPr>
          <w:p>
            <w:pPr>
              <w:spacing w:after="0"/>
              <w:rPr>
                <w:sz w:val="1"/>
                <w:szCs w:val="1"/>
                <w:color w:val="auto"/>
              </w:rPr>
            </w:pPr>
          </w:p>
        </w:tc>
      </w:tr>
      <w:tr>
        <w:trPr>
          <w:trHeight w:val="23"/>
        </w:trPr>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Earned premiums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63,030,665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(16,815,405)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46,215,260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 excluding</w:t>
            </w: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the effect of catastrophes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21,169,474</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(3,531,000)</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17,638,474</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Catastrophe loss</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343,676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(54,988)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288,688</w:t>
            </w:r>
          </w:p>
        </w:tc>
        <w:tc>
          <w:tcPr>
            <w:tcW w:w="0" w:type="dxa"/>
            <w:vAlign w:val="bottom"/>
          </w:tcPr>
          <w:p>
            <w:pPr>
              <w:spacing w:after="0"/>
              <w:rPr>
                <w:sz w:val="1"/>
                <w:szCs w:val="1"/>
                <w:color w:val="auto"/>
              </w:rPr>
            </w:pPr>
          </w:p>
        </w:tc>
      </w:tr>
      <w:tr>
        <w:trPr>
          <w:trHeight w:val="186"/>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w:t>
            </w: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21,513,150</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(3,585,988)</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17,927,162</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ratio excluding the effect of catastrophes(2)</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38.2 %</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Catastrophe loss</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0" w:type="dxa"/>
            <w:vAlign w:val="bottom"/>
          </w:tcPr>
          <w:p>
            <w:pPr>
              <w:spacing w:after="0"/>
              <w:rPr>
                <w:sz w:val="1"/>
                <w:szCs w:val="1"/>
                <w:color w:val="auto"/>
              </w:rPr>
            </w:pPr>
          </w:p>
        </w:tc>
      </w:tr>
      <w:tr>
        <w:trPr>
          <w:trHeight w:val="186"/>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ratio</w:t>
            </w: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34.1 %</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21.3 %</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38.8 %</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Written premiums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53,495,323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(12,070,646)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41,424,677</w:t>
            </w:r>
          </w:p>
        </w:tc>
        <w:tc>
          <w:tcPr>
            <w:tcW w:w="0" w:type="dxa"/>
            <w:vAlign w:val="bottom"/>
          </w:tcPr>
          <w:p>
            <w:pPr>
              <w:spacing w:after="0"/>
              <w:rPr>
                <w:sz w:val="1"/>
                <w:szCs w:val="1"/>
                <w:color w:val="auto"/>
              </w:rPr>
            </w:pPr>
          </w:p>
        </w:tc>
      </w:tr>
      <w:tr>
        <w:trPr>
          <w:trHeight w:val="193"/>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unearned premiums</w:t>
            </w:r>
          </w:p>
        </w:tc>
        <w:tc>
          <w:tcPr>
            <w:tcW w:w="34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(2,484,903)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(8,636,162)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(11,121,065)</w:t>
            </w:r>
          </w:p>
        </w:tc>
        <w:tc>
          <w:tcPr>
            <w:tcW w:w="0" w:type="dxa"/>
            <w:vAlign w:val="bottom"/>
          </w:tcPr>
          <w:p>
            <w:pPr>
              <w:spacing w:after="0"/>
              <w:rPr>
                <w:sz w:val="1"/>
                <w:szCs w:val="1"/>
                <w:color w:val="auto"/>
              </w:rPr>
            </w:pPr>
          </w:p>
        </w:tc>
      </w:tr>
      <w:tr>
        <w:trPr>
          <w:trHeight w:val="23"/>
        </w:trPr>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Earned premiums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51,010,420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(20,706,808)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30,303,612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 excluding</w:t>
            </w: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the effect of catastrophes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18,627,067</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(4,775,146)</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13,851,921</w:t>
            </w:r>
          </w:p>
        </w:tc>
        <w:tc>
          <w:tcPr>
            <w:tcW w:w="0" w:type="dxa"/>
            <w:vAlign w:val="bottom"/>
          </w:tcPr>
          <w:p>
            <w:pPr>
              <w:spacing w:after="0"/>
              <w:rPr>
                <w:sz w:val="1"/>
                <w:szCs w:val="1"/>
                <w:color w:val="auto"/>
              </w:rPr>
            </w:pPr>
          </w:p>
        </w:tc>
      </w:tr>
      <w:tr>
        <w:trPr>
          <w:trHeight w:val="24"/>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Catastrophe loss</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569,824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(183,437)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386,387</w:t>
            </w:r>
          </w:p>
        </w:tc>
        <w:tc>
          <w:tcPr>
            <w:tcW w:w="0" w:type="dxa"/>
            <w:vAlign w:val="bottom"/>
          </w:tcPr>
          <w:p>
            <w:pPr>
              <w:spacing w:after="0"/>
              <w:rPr>
                <w:sz w:val="1"/>
                <w:szCs w:val="1"/>
                <w:color w:val="auto"/>
              </w:rPr>
            </w:pPr>
          </w:p>
        </w:tc>
      </w:tr>
      <w:tr>
        <w:trPr>
          <w:trHeight w:val="186"/>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w:t>
            </w: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19,196,891</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(4,958,583)</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14,238,308</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ratio excluding the effect of catastrophes(2)</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24"/>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Catastrophe loss</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6"/>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ratio</w:t>
            </w: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24"/>
        </w:trPr>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sectPr>
          <w:pgSz w:w="11900" w:h="16838" w:orient="portrait"/>
          <w:cols w:equalWidth="0" w:num="1">
            <w:col w:w="11240"/>
          </w:cols>
          <w:pgMar w:left="320" w:top="119" w:right="339"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(Percent components may not sum to totals due to rounding)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key measures for our insurance underwriting business for the periods indicated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2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92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60" w:type="dxa"/>
            <w:vAlign w:val="bottom"/>
          </w:tcPr>
          <w:p>
            <w:pPr>
              <w:spacing w:after="0"/>
              <w:rPr>
                <w:sz w:val="20"/>
                <w:szCs w:val="20"/>
                <w:color w:val="auto"/>
              </w:rPr>
            </w:pPr>
          </w:p>
        </w:tc>
      </w:tr>
      <w:tr>
        <w:trPr>
          <w:trHeight w:val="27"/>
        </w:trPr>
        <w:tc>
          <w:tcPr>
            <w:tcW w:w="4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6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6"/>
        </w:trPr>
        <w:tc>
          <w:tcPr>
            <w:tcW w:w="4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46,215,260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30,303,612</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89,738,323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59,123,514</w:t>
            </w: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Ceding commission revenue</w:t>
            </w:r>
          </w:p>
        </w:tc>
        <w:tc>
          <w:tcPr>
            <w:tcW w:w="32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3,081,556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4,561,961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6,040,247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9,129,072</w:t>
            </w:r>
          </w:p>
        </w:tc>
      </w:tr>
      <w:tr>
        <w:trPr>
          <w:trHeight w:val="26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151,173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104,811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291,127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252,978</w:t>
            </w:r>
          </w:p>
        </w:tc>
      </w:tr>
      <w:tr>
        <w:trPr>
          <w:trHeight w:val="270"/>
        </w:trPr>
        <w:tc>
          <w:tcPr>
            <w:tcW w:w="4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loss adjustment expenses(1)</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17,927,162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14,238,308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45,102,240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32,097,895</w:t>
            </w:r>
          </w:p>
        </w:tc>
      </w:tr>
      <w:tr>
        <w:trPr>
          <w:trHeight w:val="270"/>
        </w:trPr>
        <w:tc>
          <w:tcPr>
            <w:tcW w:w="4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costs and other underwriting expenses:</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Commission expense</w:t>
            </w:r>
          </w:p>
        </w:tc>
        <w:tc>
          <w:tcPr>
            <w:tcW w:w="32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10,629,629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8,232,480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19,942,509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16,084,292</w:t>
            </w:r>
          </w:p>
        </w:tc>
      </w:tr>
      <w:tr>
        <w:trPr>
          <w:trHeight w:val="263"/>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3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7,727,367</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5,900,525</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15,132,789</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11,781,130</w:t>
            </w:r>
          </w:p>
        </w:tc>
      </w:tr>
      <w:tr>
        <w:trPr>
          <w:trHeight w:val="24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acquisition costs and other underwriting expenses</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18,356,996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14,133,005</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35,075,298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27,865,422</w:t>
            </w:r>
          </w:p>
        </w:tc>
      </w:tr>
      <w:tr>
        <w:trPr>
          <w:trHeight w:val="257"/>
        </w:trPr>
        <w:tc>
          <w:tcPr>
            <w:tcW w:w="4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13,163,831</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6,599,071</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15,892,159</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8,542,247</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3"/>
        </w:trPr>
        <w:tc>
          <w:tcPr>
            <w:tcW w:w="46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Measures: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63"/>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 ratio excluding the effect of catastrophes(2)</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50"/>
        </w:trPr>
        <w:tc>
          <w:tcPr>
            <w:tcW w:w="4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Effect of catastrophe loss on net loss ratio(1)(2)</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50"/>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 ratio</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56"/>
        </w:trPr>
        <w:tc>
          <w:tcPr>
            <w:tcW w:w="4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1"/>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underwriting expense ratio excluding the effect of</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8"/>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catastrophes(2)</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11"/>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catastrophe loss on net underwriting expense</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1"/>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ratio(2)</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50"/>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56"/>
        </w:trPr>
        <w:tc>
          <w:tcPr>
            <w:tcW w:w="4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7"/>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combined ratio excluding the effect of catastrophes(2)</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50"/>
        </w:trPr>
        <w:tc>
          <w:tcPr>
            <w:tcW w:w="4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Effect of catastrophe loss on net combined ratio(1)(2)</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5"/>
        </w:trPr>
        <w:tc>
          <w:tcPr>
            <w:tcW w:w="4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combined ratio</w:t>
            </w: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4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6"/>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Reconciliation of net underwriting expense ratio:</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costs and other underwriting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18,356,996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14,133,005</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35,075,298</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27,865,422</w:t>
            </w:r>
          </w:p>
        </w:tc>
      </w:tr>
      <w:tr>
        <w:trPr>
          <w:trHeight w:val="263"/>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Ceding commission revenue</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(3,081,556)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(4,561,961)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(6,040,247)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(9,129,072)</w:t>
            </w:r>
          </w:p>
        </w:tc>
      </w:tr>
      <w:tr>
        <w:trPr>
          <w:trHeight w:val="250"/>
        </w:trPr>
        <w:tc>
          <w:tcPr>
            <w:tcW w:w="4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Other income</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(151,173)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(104,811)</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(291,127)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(252,978)</w:t>
            </w:r>
          </w:p>
        </w:tc>
      </w:tr>
      <w:tr>
        <w:trPr>
          <w:trHeight w:val="275"/>
        </w:trPr>
        <w:tc>
          <w:tcPr>
            <w:tcW w:w="46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15,124,267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9,466,233</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28,743,924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18,483,372</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24"/>
        </w:trPr>
        <w:tc>
          <w:tcPr>
            <w:tcW w:w="4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75"/>
        </w:trPr>
        <w:tc>
          <w:tcPr>
            <w:tcW w:w="4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earned premium</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46,215,260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30,303,612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89,738,323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59,123,514</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24"/>
        </w:trPr>
        <w:tc>
          <w:tcPr>
            <w:tcW w:w="4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75"/>
        </w:trPr>
        <w:tc>
          <w:tcPr>
            <w:tcW w:w="4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Underwriting Expense Ratio</w:t>
            </w: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885"/>
        </w:trPr>
        <w:tc>
          <w:tcPr>
            <w:tcW w:w="4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1080" w:hanging="1072"/>
        <w:spacing w:after="0" w:line="266" w:lineRule="auto"/>
        <w:tabs>
          <w:tab w:leader="none" w:pos="107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June 30, 2025 and 2024, includes the sum of net catastrophe losses and loss adjustment expenses of $288,688 and $386,387, respectively. For the six months ended June 30, 2025 and 2024, includes the sum of net catastrophe losses and loss adjustment expenses of $1,038,885 and $1,872,035, respectively.</w:t>
      </w:r>
    </w:p>
    <w:p>
      <w:pPr>
        <w:spacing w:after="0" w:line="175" w:lineRule="exact"/>
        <w:rPr>
          <w:rFonts w:ascii="Times New Roman" w:cs="Times New Roman" w:eastAsia="Times New Roman" w:hAnsi="Times New Roman"/>
          <w:sz w:val="18"/>
          <w:szCs w:val="18"/>
          <w:color w:val="auto"/>
        </w:rPr>
      </w:pPr>
    </w:p>
    <w:p>
      <w:pPr>
        <w:jc w:val="both"/>
        <w:ind w:left="1080" w:hanging="1072"/>
        <w:spacing w:after="0" w:line="254" w:lineRule="auto"/>
        <w:tabs>
          <w:tab w:leader="none" w:pos="107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ratio excluding the effect of catastrophes is a non-GAAP ratio, which is computed as the difference between the GAAP net loss ratio and the effect of catastrophes on the net loss ratio. See "Non-GAAP Financial Measures" for the reconciliation of net loss ratio excluding the effect of catastrophes to the GAAP measure of net loss ratio. Net underwriting expense ratio excluding the effect of catastrophes is also a non-GAAP ratio, which is computed as the difference between the GAAP net underwriting expense ratio and the effect of catastrophes on the net underwriting expense ratio. See "Non-GAAP Financial Measures" for the reconciliation of net underwriting expense ratio excluding the effect of catastrophes to the GAAP measure of net underwriting expense ratio. Net combined ratio excluding the effect of catastrophes is also a non-GAAP ratio, which is computed as the difference between the GAAP net combined ratio and the effect of catastrophes on the net combined ratio. See "Non-GAAP Financial Measures" for the reconciliation of net combined ratio excluding the effect of catastrophes to the GAAP measure of net combined ratio.</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Fixed-Maturity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a breakdown of the amortized cost, estimated fair value, and gross unrealized gains and losses of our investments in fixed-maturity securities classified as available-for-sale for which an allowance for credit loss has not been recorded, as of June 30, 2025 and December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20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01"/>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00" w:type="dxa"/>
            <w:vAlign w:val="bottom"/>
          </w:tcPr>
          <w:p>
            <w:pPr>
              <w:spacing w:after="0"/>
              <w:rPr>
                <w:sz w:val="17"/>
                <w:szCs w:val="17"/>
                <w:color w:val="auto"/>
              </w:rPr>
            </w:pPr>
          </w:p>
        </w:tc>
        <w:tc>
          <w:tcPr>
            <w:tcW w:w="132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7"/>
                <w:szCs w:val="17"/>
                <w:color w:val="auto"/>
              </w:rPr>
            </w:pPr>
          </w:p>
        </w:tc>
        <w:tc>
          <w:tcPr>
            <w:tcW w:w="1360" w:type="dxa"/>
            <w:vAlign w:val="bottom"/>
            <w:gridSpan w:val="2"/>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Less than 12</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More than 12</w:t>
            </w:r>
          </w:p>
        </w:tc>
        <w:tc>
          <w:tcPr>
            <w:tcW w:w="220" w:type="dxa"/>
            <w:vAlign w:val="bottom"/>
          </w:tcPr>
          <w:p>
            <w:pPr>
              <w:spacing w:after="0"/>
              <w:rPr>
                <w:sz w:val="17"/>
                <w:szCs w:val="17"/>
                <w:color w:val="auto"/>
              </w:rPr>
            </w:pPr>
          </w:p>
        </w:tc>
        <w:tc>
          <w:tcPr>
            <w:tcW w:w="132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5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59"/>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00" w:type="dxa"/>
            <w:vAlign w:val="bottom"/>
          </w:tcPr>
          <w:p>
            <w:pPr>
              <w:spacing w:after="0"/>
              <w:rPr>
                <w:sz w:val="22"/>
                <w:szCs w:val="22"/>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00" w:type="dxa"/>
            <w:vAlign w:val="bottom"/>
          </w:tcPr>
          <w:p>
            <w:pPr>
              <w:spacing w:after="0"/>
              <w:rPr>
                <w:sz w:val="22"/>
                <w:szCs w:val="22"/>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2"/>
                <w:szCs w:val="22"/>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60" w:type="dxa"/>
            <w:vAlign w:val="bottom"/>
          </w:tcPr>
          <w:p>
            <w:pPr>
              <w:spacing w:after="0"/>
              <w:rPr>
                <w:sz w:val="22"/>
                <w:szCs w:val="22"/>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220" w:type="dxa"/>
            <w:vAlign w:val="bottom"/>
          </w:tcPr>
          <w:p>
            <w:pPr>
              <w:spacing w:after="0"/>
              <w:rPr>
                <w:sz w:val="22"/>
                <w:szCs w:val="22"/>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57"/>
        </w:trPr>
        <w:tc>
          <w:tcPr>
            <w:tcW w:w="1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and obligations of U.S.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corporations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agencies (1)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5,969,707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5,969,050</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70"/>
        </w:trPr>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States, Territories and</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Possessions</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24,262,830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(2,955,097)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21,417,548</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70"/>
        </w:trPr>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bonds Industrial and</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108,053,269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(3,441,755)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104,532,730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0" w:type="dxa"/>
            <w:vAlign w:val="bottom"/>
          </w:tcPr>
          <w:p>
            <w:pPr>
              <w:spacing w:after="0"/>
              <w:rPr>
                <w:sz w:val="1"/>
                <w:szCs w:val="1"/>
                <w:color w:val="auto"/>
              </w:rPr>
            </w:pPr>
          </w:p>
        </w:tc>
      </w:tr>
      <w:tr>
        <w:trPr>
          <w:trHeight w:val="270"/>
        </w:trPr>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and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other asset backed</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(1) (2)</w:t>
            </w: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90,700,775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480,276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(5,406,006)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85,760,022</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0" w:type="dxa"/>
            <w:vAlign w:val="bottom"/>
          </w:tcPr>
          <w:p>
            <w:pPr>
              <w:spacing w:after="0"/>
              <w:rPr>
                <w:sz w:val="1"/>
                <w:szCs w:val="1"/>
                <w:color w:val="auto"/>
              </w:rPr>
            </w:pPr>
          </w:p>
        </w:tc>
      </w:tr>
      <w:tr>
        <w:trPr>
          <w:trHeight w:val="191"/>
        </w:trPr>
        <w:tc>
          <w:tcPr>
            <w:tcW w:w="2000" w:type="dxa"/>
            <w:vAlign w:val="bottom"/>
            <w:gridSpan w:val="2"/>
          </w:tcPr>
          <w:p>
            <w:pPr>
              <w:ind w:left="180"/>
              <w:spacing w:after="0" w:line="191" w:lineRule="exact"/>
              <w:rPr>
                <w:sz w:val="20"/>
                <w:szCs w:val="20"/>
                <w:color w:val="auto"/>
              </w:rPr>
            </w:pPr>
            <w:r>
              <w:rPr>
                <w:rFonts w:ascii="Times New Roman" w:cs="Times New Roman" w:eastAsia="Times New Roman" w:hAnsi="Times New Roman"/>
                <w:sz w:val="18"/>
                <w:szCs w:val="18"/>
                <w:color w:val="auto"/>
              </w:rPr>
              <w:t>Total fixed-maturity</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228,986,581</w:t>
            </w:r>
          </w:p>
        </w:tc>
        <w:tc>
          <w:tcPr>
            <w:tcW w:w="100" w:type="dxa"/>
            <w:vAlign w:val="bottom"/>
          </w:tcPr>
          <w:p>
            <w:pPr>
              <w:spacing w:after="0"/>
              <w:rPr>
                <w:sz w:val="16"/>
                <w:szCs w:val="16"/>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696,583</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(200,956)</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(11,802,858)</w:t>
            </w:r>
          </w:p>
        </w:tc>
        <w:tc>
          <w:tcPr>
            <w:tcW w:w="100" w:type="dxa"/>
            <w:vAlign w:val="bottom"/>
          </w:tcPr>
          <w:p>
            <w:pPr>
              <w:spacing w:after="0"/>
              <w:rPr>
                <w:sz w:val="16"/>
                <w:szCs w:val="16"/>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217,679,350</w:t>
            </w:r>
          </w:p>
        </w:tc>
        <w:tc>
          <w:tcPr>
            <w:tcW w:w="100" w:type="dxa"/>
            <w:vAlign w:val="bottom"/>
          </w:tcPr>
          <w:p>
            <w:pPr>
              <w:spacing w:after="0"/>
              <w:rPr>
                <w:sz w:val="16"/>
                <w:szCs w:val="16"/>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6"/>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12001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304"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7"/>
          <w:szCs w:val="17"/>
          <w:color w:val="auto"/>
        </w:rPr>
        <w:t>U.S. Treasury securities and obligations of U.S. government corporations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58718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9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00" w:type="dxa"/>
            <w:vAlign w:val="bottom"/>
          </w:tcPr>
          <w:p>
            <w:pPr>
              <w:spacing w:after="0"/>
              <w:rPr>
                <w:sz w:val="21"/>
                <w:szCs w:val="21"/>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01"/>
        </w:trPr>
        <w:tc>
          <w:tcPr>
            <w:tcW w:w="154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52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520" w:type="dxa"/>
            <w:vAlign w:val="bottom"/>
            <w:gridSpan w:val="2"/>
          </w:tcPr>
          <w:p>
            <w:pPr>
              <w:jc w:val="center"/>
              <w:ind w:right="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Less than 12</w:t>
            </w:r>
          </w:p>
        </w:tc>
        <w:tc>
          <w:tcPr>
            <w:tcW w:w="14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More than 12</w:t>
            </w:r>
          </w:p>
        </w:tc>
        <w:tc>
          <w:tcPr>
            <w:tcW w:w="100" w:type="dxa"/>
            <w:vAlign w:val="bottom"/>
          </w:tcPr>
          <w:p>
            <w:pPr>
              <w:spacing w:after="0"/>
              <w:rPr>
                <w:sz w:val="17"/>
                <w:szCs w:val="17"/>
                <w:color w:val="auto"/>
              </w:rPr>
            </w:pPr>
          </w:p>
        </w:tc>
        <w:tc>
          <w:tcPr>
            <w:tcW w:w="1540" w:type="dxa"/>
            <w:vAlign w:val="bottom"/>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5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59"/>
        </w:trPr>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00" w:type="dxa"/>
            <w:vAlign w:val="bottom"/>
          </w:tcPr>
          <w:p>
            <w:pPr>
              <w:spacing w:after="0"/>
              <w:rPr>
                <w:sz w:val="22"/>
                <w:szCs w:val="22"/>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2"/>
                <w:szCs w:val="22"/>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163195</wp:posOffset>
            </wp:positionV>
            <wp:extent cx="7132320" cy="5575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904" w:lineRule="exact"/>
        <w:rPr>
          <w:sz w:val="20"/>
          <w:szCs w:val="20"/>
          <w:color w:val="auto"/>
        </w:rPr>
      </w:pPr>
    </w:p>
    <w:p>
      <w:pPr>
        <w:sectPr>
          <w:pgSz w:w="11900" w:h="16838" w:orient="portrait"/>
          <w:cols w:equalWidth="0" w:num="2">
            <w:col w:w="1820" w:space="180"/>
            <w:col w:w="9240"/>
          </w:cols>
          <w:pgMar w:left="320" w:top="119" w:right="339" w:bottom="1440" w:gutter="0" w:footer="0" w:header="0"/>
        </w:sectPr>
      </w:pPr>
    </w:p>
    <w:tbl>
      <w:tblPr>
        <w:tblLayout w:type="fixed"/>
        <w:tblInd w:w="0" w:type="dxa"/>
        <w:tblCellMar>
          <w:top w:w="0" w:type="dxa"/>
          <w:left w:w="0" w:type="dxa"/>
          <w:bottom w:w="0" w:type="dxa"/>
          <w:right w:w="0" w:type="dxa"/>
        </w:tblCellMar>
      </w:tblPr>
      <w:tr>
        <w:trPr>
          <w:trHeight w:val="23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agencies (1)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2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States, Territories and</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Possessions</w:t>
            </w: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24,271,177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(3,324,491)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20,873,097</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bonds Industrial and</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112,507,436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(1,024,461)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(4,690,597)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106,792,378</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and</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other asset backed</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(1) (2)</w:t>
            </w: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65,529,545</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(209,890)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(6,211,339)</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59,227,963</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191"/>
        </w:trPr>
        <w:tc>
          <w:tcPr>
            <w:tcW w:w="200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Total fixed-maturity</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202,308,158</w:t>
            </w:r>
          </w:p>
        </w:tc>
        <w:tc>
          <w:tcPr>
            <w:tcW w:w="100" w:type="dxa"/>
            <w:vAlign w:val="bottom"/>
          </w:tcPr>
          <w:p>
            <w:pPr>
              <w:spacing w:after="0"/>
              <w:rPr>
                <w:sz w:val="16"/>
                <w:szCs w:val="16"/>
                <w:color w:val="auto"/>
              </w:rPr>
            </w:pPr>
          </w:p>
        </w:tc>
        <w:tc>
          <w:tcPr>
            <w:tcW w:w="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119,647</w:t>
            </w:r>
          </w:p>
        </w:tc>
        <w:tc>
          <w:tcPr>
            <w:tcW w:w="100" w:type="dxa"/>
            <w:vAlign w:val="bottom"/>
          </w:tcPr>
          <w:p>
            <w:pPr>
              <w:spacing w:after="0"/>
              <w:rPr>
                <w:sz w:val="16"/>
                <w:szCs w:val="16"/>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(1,307,940)</w:t>
            </w:r>
          </w:p>
        </w:tc>
        <w:tc>
          <w:tcPr>
            <w:tcW w:w="100" w:type="dxa"/>
            <w:vAlign w:val="bottom"/>
          </w:tcPr>
          <w:p>
            <w:pPr>
              <w:spacing w:after="0"/>
              <w:rPr>
                <w:sz w:val="16"/>
                <w:szCs w:val="16"/>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(14,226,427)</w:t>
            </w:r>
          </w:p>
        </w:tc>
        <w:tc>
          <w:tcPr>
            <w:tcW w:w="100" w:type="dxa"/>
            <w:vAlign w:val="bottom"/>
          </w:tcPr>
          <w:p>
            <w:pPr>
              <w:spacing w:after="0"/>
              <w:rPr>
                <w:sz w:val="16"/>
                <w:szCs w:val="16"/>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186,893,438</w:t>
            </w:r>
          </w:p>
        </w:tc>
        <w:tc>
          <w:tcPr>
            <w:tcW w:w="100" w:type="dxa"/>
            <w:vAlign w:val="bottom"/>
          </w:tcPr>
          <w:p>
            <w:pPr>
              <w:spacing w:after="0"/>
              <w:rPr>
                <w:sz w:val="16"/>
                <w:szCs w:val="16"/>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8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left="1080" w:hanging="1072"/>
        <w:spacing w:after="0" w:line="254" w:lineRule="auto"/>
        <w:tabs>
          <w:tab w:leader="none" w:pos="107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KICO placed certain U.S. Treasury securities to fulfill the required collateral for a sale leaseback transaction in a designated custodian account (see Note 7 – Debt - “Equipment Financing”). As of December 31, 2024. KICO had sold its U.S. Treasury securities and replaced a portion of its other fixed-maturity securities in the designated custodian account. As of June 30, 2025 and December 31, 2024, the amount of required collateral was approximately $4,462,000 and $5,308,000, respectively. As of June 30, 2025 and December 31, 2024, the estimated fair value of the eligible collateral was approximately $4,462,000 and $5,308,000, respectively.</w:t>
      </w:r>
    </w:p>
    <w:p>
      <w:pPr>
        <w:spacing w:after="0" w:line="3" w:lineRule="exact"/>
        <w:rPr>
          <w:rFonts w:ascii="Times New Roman" w:cs="Times New Roman" w:eastAsia="Times New Roman" w:hAnsi="Times New Roman"/>
          <w:sz w:val="18"/>
          <w:szCs w:val="18"/>
          <w:color w:val="auto"/>
        </w:rPr>
      </w:pPr>
    </w:p>
    <w:p>
      <w:pPr>
        <w:jc w:val="both"/>
        <w:ind w:left="1080" w:hanging="1072"/>
        <w:spacing w:after="0" w:line="253" w:lineRule="auto"/>
        <w:tabs>
          <w:tab w:leader="none" w:pos="107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KICO has placed certain residential mortgage backed securities as eligible collateral in a designated custodian account related to its membership in the Federal Home Loan Bank of New York ("FHLBNY") (see Note 7 – Debt – “Federal Home Loan Bank”). The eligible collateral would be pledged to FHLBNY if KICO draws an advance from the FHLBNY credit line. As of June 30, 2025, the estimated fair value of the eligible investments was approximately $9,840,000. KICO will retain all rights regarding all securities if pledged as collateral. As of June 30, 2025 and December 31, 2024 there was no outstanding balance on the FHLBNY credit line.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Equity Securities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breakdown of the cost and estimated fair value of, and gross gains and losses on, investments in equity securities as of June 30, 2025 and December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01"/>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ind w:left="480"/>
              <w:spacing w:after="0" w:line="201" w:lineRule="exact"/>
              <w:rPr>
                <w:sz w:val="20"/>
                <w:szCs w:val="20"/>
                <w:color w:val="auto"/>
              </w:rPr>
            </w:pPr>
            <w:r>
              <w:rPr>
                <w:rFonts w:ascii="Times New Roman" w:cs="Times New Roman" w:eastAsia="Times New Roman" w:hAnsi="Times New Roman"/>
                <w:sz w:val="18"/>
                <w:szCs w:val="18"/>
                <w:b w:val="1"/>
                <w:bCs w:val="1"/>
                <w:color w:val="auto"/>
              </w:rPr>
              <w:t>Gross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r>
      <w:tr>
        <w:trPr>
          <w:trHeight w:val="203"/>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7"/>
                <w:szCs w:val="17"/>
                <w:color w:val="auto"/>
              </w:rPr>
            </w:pPr>
          </w:p>
        </w:tc>
        <w:tc>
          <w:tcPr>
            <w:tcW w:w="134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6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59"/>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2"/>
                <w:szCs w:val="22"/>
                <w:color w:val="auto"/>
              </w:rPr>
            </w:pPr>
          </w:p>
        </w:tc>
        <w:tc>
          <w:tcPr>
            <w:tcW w:w="11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3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506"/>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9,750,322</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(2,754,323)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6,995,999</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69.8 %</w:t>
            </w:r>
          </w:p>
        </w:tc>
      </w:tr>
      <w:tr>
        <w:trPr>
          <w:trHeight w:val="25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exchange traded funds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3,711,232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2,946,000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29.4 %</w:t>
            </w:r>
          </w:p>
        </w:tc>
      </w:tr>
      <w:tr>
        <w:trPr>
          <w:trHeight w:val="26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FHLBNY common stock</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85,100</w:t>
            </w:r>
          </w:p>
        </w:tc>
        <w:tc>
          <w:tcPr>
            <w:tcW w:w="10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85,100</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4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13,546,654</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(3,519,555)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10,027,099</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561"/>
        </w:trPr>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01"/>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ind w:left="480"/>
              <w:spacing w:after="0" w:line="201" w:lineRule="exact"/>
              <w:rPr>
                <w:sz w:val="20"/>
                <w:szCs w:val="20"/>
                <w:color w:val="auto"/>
              </w:rPr>
            </w:pPr>
            <w:r>
              <w:rPr>
                <w:rFonts w:ascii="Times New Roman" w:cs="Times New Roman" w:eastAsia="Times New Roman" w:hAnsi="Times New Roman"/>
                <w:sz w:val="18"/>
                <w:szCs w:val="18"/>
                <w:b w:val="1"/>
                <w:bCs w:val="1"/>
                <w:color w:val="auto"/>
              </w:rPr>
              <w:t>Gross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r>
      <w:tr>
        <w:trPr>
          <w:trHeight w:val="203"/>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7"/>
                <w:szCs w:val="17"/>
                <w:color w:val="auto"/>
              </w:rPr>
            </w:pPr>
          </w:p>
        </w:tc>
        <w:tc>
          <w:tcPr>
            <w:tcW w:w="134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6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59"/>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2"/>
                <w:szCs w:val="22"/>
                <w:color w:val="auto"/>
              </w:rPr>
            </w:pPr>
          </w:p>
        </w:tc>
        <w:tc>
          <w:tcPr>
            <w:tcW w:w="11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3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506"/>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9,750,322</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(2,422,617)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7,327,705</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71.2 %</w:t>
            </w:r>
          </w:p>
        </w:tc>
      </w:tr>
      <w:tr>
        <w:trPr>
          <w:trHeight w:val="25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exchange traded funds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3,711,232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2,902,800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28.2 %</w:t>
            </w:r>
          </w:p>
        </w:tc>
      </w:tr>
      <w:tr>
        <w:trPr>
          <w:trHeight w:val="26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FHLBNY common stock</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0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4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13,527,554</w:t>
            </w:r>
          </w:p>
        </w:tc>
        <w:tc>
          <w:tcPr>
            <w:tcW w:w="100" w:type="dxa"/>
            <w:vAlign w:val="bottom"/>
          </w:tcPr>
          <w:p>
            <w:pPr>
              <w:spacing w:after="0"/>
              <w:rPr>
                <w:sz w:val="21"/>
                <w:szCs w:val="21"/>
                <w:color w:val="auto"/>
              </w:rPr>
            </w:pP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(3,231,049)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10,296,505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top w:val="single" w:sz="8" w:color="auto"/>
              <w:bottom w:val="single" w:sz="8" w:color="auto"/>
            </w:tcBorders>
          </w:tcPr>
          <w:p>
            <w:pPr>
              <w:spacing w:after="0"/>
              <w:rPr>
                <w:sz w:val="2"/>
                <w:szCs w:val="2"/>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Other Investments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breakdown of the cost and estimated fair value of, and gross gains on our other investments as of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vMerge w:val="restart"/>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80" w:type="dxa"/>
            <w:vAlign w:val="bottom"/>
            <w:vMerge w:val="restart"/>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340" w:type="dxa"/>
            <w:vAlign w:val="bottom"/>
          </w:tcPr>
          <w:p>
            <w:pPr>
              <w:spacing w:after="0"/>
              <w:rPr>
                <w:sz w:val="19"/>
                <w:szCs w:val="19"/>
                <w:color w:val="auto"/>
              </w:rPr>
            </w:pPr>
          </w:p>
        </w:tc>
        <w:tc>
          <w:tcPr>
            <w:tcW w:w="11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vMerge w:val="restart"/>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9"/>
                <w:szCs w:val="19"/>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238"/>
        </w:trPr>
        <w:tc>
          <w:tcPr>
            <w:tcW w:w="19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50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 fund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1,987,040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3,096,398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5,083,438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1,987,040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2,393,616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4,380,656</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Held-to-Maturity Securities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breakdown of the amortized cost and estimated fair value of, and gross unrealized gains and losses on, investments in held-to-maturity securities as of June 30, 2025 and December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520"/>
        </w:trPr>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 or</w:t>
            </w:r>
          </w:p>
        </w:tc>
        <w:tc>
          <w:tcPr>
            <w:tcW w:w="12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01"/>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200" w:type="dxa"/>
            <w:vAlign w:val="bottom"/>
          </w:tcPr>
          <w:p>
            <w:pPr>
              <w:jc w:val="center"/>
              <w:ind w:left="90"/>
              <w:spacing w:after="0" w:line="201"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Less than 12</w:t>
            </w:r>
          </w:p>
        </w:tc>
        <w:tc>
          <w:tcPr>
            <w:tcW w:w="160" w:type="dxa"/>
            <w:vAlign w:val="bottom"/>
          </w:tcPr>
          <w:p>
            <w:pPr>
              <w:spacing w:after="0"/>
              <w:rPr>
                <w:sz w:val="17"/>
                <w:szCs w:val="17"/>
                <w:color w:val="auto"/>
              </w:rPr>
            </w:pPr>
          </w:p>
        </w:tc>
        <w:tc>
          <w:tcPr>
            <w:tcW w:w="138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More than 12</w:t>
            </w:r>
          </w:p>
        </w:tc>
        <w:tc>
          <w:tcPr>
            <w:tcW w:w="220" w:type="dxa"/>
            <w:vAlign w:val="bottom"/>
          </w:tcPr>
          <w:p>
            <w:pPr>
              <w:spacing w:after="0"/>
              <w:rPr>
                <w:sz w:val="17"/>
                <w:szCs w:val="17"/>
                <w:color w:val="auto"/>
              </w:rPr>
            </w:pPr>
          </w:p>
        </w:tc>
        <w:tc>
          <w:tcPr>
            <w:tcW w:w="132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16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59"/>
        </w:trPr>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2"/>
                <w:szCs w:val="22"/>
                <w:color w:val="auto"/>
              </w:rPr>
            </w:pPr>
          </w:p>
        </w:tc>
        <w:tc>
          <w:tcPr>
            <w:tcW w:w="12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464"/>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45"/>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63"/>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1,229,328</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1,195,290</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70"/>
        </w:trPr>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11"/>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03"/>
        </w:trPr>
        <w:tc>
          <w:tcPr>
            <w:tcW w:w="19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States, Territories and</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61"/>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Possessions</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0"/>
        </w:trPr>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7"/>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traded debt</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304,111</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234,800</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0"/>
        </w:trPr>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11"/>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03"/>
        </w:trPr>
        <w:tc>
          <w:tcPr>
            <w:tcW w:w="19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bonds Industrial and</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55"/>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5,011,792</w:t>
            </w:r>
          </w:p>
        </w:tc>
        <w:tc>
          <w:tcPr>
            <w:tcW w:w="10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(974,742)</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4,037,050</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56"/>
        </w:trPr>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5"/>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7,045,231</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(1,052,423)</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5,967,140</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520"/>
        </w:trPr>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 or</w:t>
            </w:r>
          </w:p>
        </w:tc>
        <w:tc>
          <w:tcPr>
            <w:tcW w:w="12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01"/>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200" w:type="dxa"/>
            <w:vAlign w:val="bottom"/>
          </w:tcPr>
          <w:p>
            <w:pPr>
              <w:jc w:val="center"/>
              <w:ind w:left="90"/>
              <w:spacing w:after="0" w:line="201"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Less than 12</w:t>
            </w:r>
          </w:p>
        </w:tc>
        <w:tc>
          <w:tcPr>
            <w:tcW w:w="160" w:type="dxa"/>
            <w:vAlign w:val="bottom"/>
          </w:tcPr>
          <w:p>
            <w:pPr>
              <w:spacing w:after="0"/>
              <w:rPr>
                <w:sz w:val="17"/>
                <w:szCs w:val="17"/>
                <w:color w:val="auto"/>
              </w:rPr>
            </w:pPr>
          </w:p>
        </w:tc>
        <w:tc>
          <w:tcPr>
            <w:tcW w:w="138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More than 12</w:t>
            </w:r>
          </w:p>
        </w:tc>
        <w:tc>
          <w:tcPr>
            <w:tcW w:w="220" w:type="dxa"/>
            <w:vAlign w:val="bottom"/>
          </w:tcPr>
          <w:p>
            <w:pPr>
              <w:spacing w:after="0"/>
              <w:rPr>
                <w:sz w:val="17"/>
                <w:szCs w:val="17"/>
                <w:color w:val="auto"/>
              </w:rPr>
            </w:pPr>
          </w:p>
        </w:tc>
        <w:tc>
          <w:tcPr>
            <w:tcW w:w="132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16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59"/>
        </w:trPr>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2"/>
                <w:szCs w:val="22"/>
                <w:color w:val="auto"/>
              </w:rPr>
            </w:pPr>
          </w:p>
        </w:tc>
        <w:tc>
          <w:tcPr>
            <w:tcW w:w="12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464"/>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45"/>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63"/>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1,229,170</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1,173,550</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70"/>
        </w:trPr>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11"/>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02"/>
        </w:trPr>
        <w:tc>
          <w:tcPr>
            <w:tcW w:w="19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States, Territories and</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61"/>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Possessions</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499,719</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499,065</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0"/>
        </w:trPr>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7"/>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traded debt</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304,111</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248,500</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0"/>
        </w:trPr>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11"/>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03"/>
        </w:trPr>
        <w:tc>
          <w:tcPr>
            <w:tcW w:w="19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bonds Industrial and</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55"/>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5,014,342</w:t>
            </w:r>
          </w:p>
        </w:tc>
        <w:tc>
          <w:tcPr>
            <w:tcW w:w="10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(976,192)</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4,038,150</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57"/>
        </w:trPr>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5"/>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7,047,342</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(1,047,793)</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5,959,265</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Held-to-maturity U.S. Treasury securities are held in trust pursuant to various states’ minimum fund requirements.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amortized cost and fair value of our investments in held-to-maturity securities by contractual maturity as of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is shown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7"/>
        </w:trPr>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45"/>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Remaining Time to Maturity</w:t>
            </w:r>
          </w:p>
        </w:tc>
        <w:tc>
          <w:tcPr>
            <w:tcW w:w="22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7"/>
        </w:trPr>
        <w:tc>
          <w:tcPr>
            <w:tcW w:w="49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5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than one year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499,065</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One to five years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2,056,576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1,992,470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600,288</w:t>
            </w: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Five to ten years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1,427,579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1,323,600</w:t>
            </w:r>
          </w:p>
        </w:tc>
      </w:tr>
      <w:tr>
        <w:trPr>
          <w:trHeight w:val="250"/>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More than 10 years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4,488,655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3,474,670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4,497,669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3,536,312</w:t>
            </w:r>
          </w:p>
        </w:tc>
      </w:tr>
      <w:tr>
        <w:trPr>
          <w:trHeight w:val="275"/>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7,045,231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5,967,140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7,047,342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5,959,265</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 of Fixed-Maturity Securities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summarizes the credit quality of our available-for-sale fixed-maturity securities as of June 30, 2025 and December 31, 2024 as rated by Standard &amp; Poor’s (or, if unavailable from Standard &amp; Poor’s, then Moody’s, Fitch, or Kroll):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7"/>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49"/>
        </w:trPr>
        <w:tc>
          <w:tcPr>
            <w:tcW w:w="4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220" w:type="dxa"/>
            <w:vAlign w:val="bottom"/>
          </w:tcPr>
          <w:p>
            <w:pPr>
              <w:spacing w:after="0"/>
              <w:rPr>
                <w:sz w:val="4"/>
                <w:szCs w:val="4"/>
                <w:color w:val="auto"/>
              </w:rPr>
            </w:pPr>
          </w:p>
        </w:tc>
        <w:tc>
          <w:tcPr>
            <w:tcW w:w="13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50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5,969,050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8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municipal bonds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AAA</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3,337,374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3,232,352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6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AA</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23,418,360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22,844,557</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5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60,281,150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61,528,377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6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20,496,045</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20,827,660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5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14,654,724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13,933,733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6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960,253</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1,953,596</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w:t>
            </w:r>
          </w:p>
        </w:tc>
        <w:tc>
          <w:tcPr>
            <w:tcW w:w="2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991,550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50"/>
        </w:trPr>
        <w:tc>
          <w:tcPr>
            <w:tcW w:w="48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corporate and municipal bonds</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123,147,906</w:t>
            </w:r>
          </w:p>
        </w:tc>
        <w:tc>
          <w:tcPr>
            <w:tcW w:w="10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125,311,825</w:t>
            </w:r>
          </w:p>
        </w:tc>
        <w:tc>
          <w:tcPr>
            <w:tcW w:w="10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56"/>
        </w:trPr>
        <w:tc>
          <w:tcPr>
            <w:tcW w:w="4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asset backed, and other</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collateralized obligations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AAA</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28,511,575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15,961,257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6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AA</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43,651,781</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34,893,057</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5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15,634,086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9,927,371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6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CCC</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437,694</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372,787</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CC</w:t>
            </w:r>
          </w:p>
        </w:tc>
        <w:tc>
          <w:tcPr>
            <w:tcW w:w="2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82,696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rated</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327,258</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344,445</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91"/>
        </w:trPr>
        <w:tc>
          <w:tcPr>
            <w:tcW w:w="482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Total residential mortgage backed, asset backed, and other</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collateralized obligations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88,562,394</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61,581,613</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217,679,350</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186,893,438</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average yield by type of fixed-maturity security as of June 30, 2025 and December 31, 2024:</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7"/>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 and obligations of U.S. government corporations and agencies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70"/>
        </w:trPr>
        <w:tc>
          <w:tcPr>
            <w:tcW w:w="7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56"/>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subdivisions of States, Territories and Possessions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70"/>
        </w:trPr>
        <w:tc>
          <w:tcPr>
            <w:tcW w:w="7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57"/>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bonds Industrial and miscellaneous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70"/>
        </w:trPr>
        <w:tc>
          <w:tcPr>
            <w:tcW w:w="7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57"/>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securities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70"/>
        </w:trPr>
        <w:tc>
          <w:tcPr>
            <w:tcW w:w="7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57"/>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lists the weighted average maturity and effective duration in years on our fixed-maturity securities as of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0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2"/>
        </w:trPr>
        <w:tc>
          <w:tcPr>
            <w:tcW w:w="9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effective maturity</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0"/>
        </w:trPr>
        <w:tc>
          <w:tcPr>
            <w:tcW w:w="8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7"/>
        </w:trPr>
        <w:tc>
          <w:tcPr>
            <w:tcW w:w="9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final maturity</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0"/>
        </w:trPr>
        <w:tc>
          <w:tcPr>
            <w:tcW w:w="8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6"/>
        </w:trPr>
        <w:tc>
          <w:tcPr>
            <w:tcW w:w="9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duration</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Consideration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June 30, 2025 and December 31, 2024, 59% and 53%, respectively, of the investment portfolio recorded at fair value was priced based upon quoted market prices.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summarizes the gross unrealized losses of our fixed-maturity securities available-for-sale and equity securities by length of time the security has continuously been in an unrealized loss position as of June 30, 2025 and December 31,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6"/>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5"/>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8"/>
          </w:tcPr>
          <w:p>
            <w:pPr>
              <w:ind w:left="7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3"/>
                <w:szCs w:val="13"/>
                <w:color w:val="auto"/>
              </w:rPr>
            </w:pP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60" w:type="dxa"/>
            <w:vAlign w:val="bottom"/>
            <w:gridSpan w:val="4"/>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160" w:type="dxa"/>
            <w:vAlign w:val="bottom"/>
          </w:tcPr>
          <w:p>
            <w:pPr>
              <w:spacing w:after="0"/>
              <w:rPr>
                <w:sz w:val="13"/>
                <w:szCs w:val="13"/>
                <w:color w:val="auto"/>
              </w:rPr>
            </w:pPr>
          </w:p>
        </w:tc>
        <w:tc>
          <w:tcPr>
            <w:tcW w:w="920" w:type="dxa"/>
            <w:vAlign w:val="bottom"/>
          </w:tcPr>
          <w:p>
            <w:pPr>
              <w:jc w:val="center"/>
              <w:ind w:right="68"/>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60" w:type="dxa"/>
            <w:vAlign w:val="bottom"/>
            <w:gridSpan w:val="2"/>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200" w:type="dxa"/>
            <w:vAlign w:val="bottom"/>
          </w:tcPr>
          <w:p>
            <w:pPr>
              <w:spacing w:after="0"/>
              <w:rPr>
                <w:sz w:val="13"/>
                <w:szCs w:val="13"/>
                <w:color w:val="auto"/>
              </w:rPr>
            </w:pPr>
          </w:p>
        </w:tc>
        <w:tc>
          <w:tcPr>
            <w:tcW w:w="11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00" w:type="dxa"/>
            <w:vAlign w:val="bottom"/>
            <w:gridSpan w:val="2"/>
            <w:vMerge w:val="restart"/>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5"/>
                <w:szCs w:val="15"/>
                <w:color w:val="auto"/>
              </w:rPr>
            </w:pPr>
          </w:p>
        </w:tc>
        <w:tc>
          <w:tcPr>
            <w:tcW w:w="980" w:type="dxa"/>
            <w:vAlign w:val="bottom"/>
            <w:gridSpan w:val="4"/>
            <w:vMerge w:val="continue"/>
          </w:tcPr>
          <w:p>
            <w:pPr>
              <w:spacing w:after="0"/>
              <w:rPr>
                <w:sz w:val="15"/>
                <w:szCs w:val="15"/>
                <w:color w:val="auto"/>
              </w:rPr>
            </w:pPr>
          </w:p>
        </w:tc>
        <w:tc>
          <w:tcPr>
            <w:tcW w:w="9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60" w:type="dxa"/>
            <w:vAlign w:val="bottom"/>
          </w:tcPr>
          <w:p>
            <w:pPr>
              <w:spacing w:after="0"/>
              <w:rPr>
                <w:sz w:val="15"/>
                <w:szCs w:val="15"/>
                <w:color w:val="auto"/>
              </w:rPr>
            </w:pPr>
          </w:p>
        </w:tc>
        <w:tc>
          <w:tcPr>
            <w:tcW w:w="9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Fair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5"/>
                <w:szCs w:val="15"/>
                <w:color w:val="auto"/>
              </w:rPr>
            </w:pPr>
          </w:p>
        </w:tc>
        <w:tc>
          <w:tcPr>
            <w:tcW w:w="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8"/>
        </w:trPr>
        <w:tc>
          <w:tcPr>
            <w:tcW w:w="2100" w:type="dxa"/>
            <w:vAlign w:val="bottom"/>
            <w:tcBorders>
              <w:bottom w:val="single" w:sz="8" w:color="auto"/>
            </w:tcBorders>
            <w:gridSpan w:val="2"/>
            <w:vMerge w:val="continue"/>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gridSpan w:val="2"/>
          </w:tcPr>
          <w:p>
            <w:pPr>
              <w:spacing w:after="0"/>
              <w:rPr>
                <w:sz w:val="17"/>
                <w:szCs w:val="17"/>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Held</w:t>
            </w:r>
          </w:p>
        </w:tc>
        <w:tc>
          <w:tcPr>
            <w:tcW w:w="100" w:type="dxa"/>
            <w:vAlign w:val="bottom"/>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Held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448"/>
        </w:trPr>
        <w:tc>
          <w:tcPr>
            <w:tcW w:w="22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 and</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obligations of U.S. government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corporations and agencies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3,972,290</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3,972,290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Political subdivisions of States,</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Territories and Possessions</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13,521,944</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(2,955,097)</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13,521,944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(2,955,097)</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 bonds</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industrial and miscellaneous</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38,830,938</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(185,250)</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47,251,942</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(3,441,755)</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86,082,880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(3,627,005)</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 and other</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2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backed securities</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6,549,447</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34,268,752</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(5,406,006)</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40,818,199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(5,421,029)</w:t>
            </w: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fixed-maturity securities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49,352,675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(200,956)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95,042,638</w:t>
            </w: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(11,802,858)</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144,395,313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(12,003,814)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6"/>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8"/>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6"/>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8"/>
          </w:tcPr>
          <w:p>
            <w:pPr>
              <w:ind w:left="7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6"/>
          </w:tcPr>
          <w:p>
            <w:pPr>
              <w:ind w:left="92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3"/>
                <w:szCs w:val="13"/>
                <w:color w:val="auto"/>
              </w:rPr>
            </w:pPr>
          </w:p>
        </w:tc>
        <w:tc>
          <w:tcPr>
            <w:tcW w:w="98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60" w:type="dxa"/>
            <w:vAlign w:val="bottom"/>
            <w:gridSpan w:val="4"/>
          </w:tcPr>
          <w:p>
            <w:pPr>
              <w:jc w:val="center"/>
              <w:ind w:right="16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160" w:type="dxa"/>
            <w:vAlign w:val="bottom"/>
          </w:tcPr>
          <w:p>
            <w:pPr>
              <w:spacing w:after="0"/>
              <w:rPr>
                <w:sz w:val="13"/>
                <w:szCs w:val="13"/>
                <w:color w:val="auto"/>
              </w:rPr>
            </w:pPr>
          </w:p>
        </w:tc>
        <w:tc>
          <w:tcPr>
            <w:tcW w:w="920" w:type="dxa"/>
            <w:vAlign w:val="bottom"/>
          </w:tcPr>
          <w:p>
            <w:pPr>
              <w:jc w:val="center"/>
              <w:ind w:right="68"/>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60" w:type="dxa"/>
            <w:vAlign w:val="bottom"/>
            <w:gridSpan w:val="2"/>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No. of</w:t>
            </w:r>
          </w:p>
        </w:tc>
        <w:tc>
          <w:tcPr>
            <w:tcW w:w="200" w:type="dxa"/>
            <w:vAlign w:val="bottom"/>
          </w:tcPr>
          <w:p>
            <w:pPr>
              <w:spacing w:after="0"/>
              <w:rPr>
                <w:sz w:val="13"/>
                <w:szCs w:val="13"/>
                <w:color w:val="auto"/>
              </w:rPr>
            </w:pPr>
          </w:p>
        </w:tc>
        <w:tc>
          <w:tcPr>
            <w:tcW w:w="11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0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5"/>
                <w:szCs w:val="15"/>
                <w:color w:val="auto"/>
              </w:rPr>
            </w:pPr>
          </w:p>
        </w:tc>
        <w:tc>
          <w:tcPr>
            <w:tcW w:w="980" w:type="dxa"/>
            <w:vAlign w:val="bottom"/>
            <w:gridSpan w:val="4"/>
            <w:vMerge w:val="continue"/>
          </w:tcPr>
          <w:p>
            <w:pPr>
              <w:spacing w:after="0"/>
              <w:rPr>
                <w:sz w:val="15"/>
                <w:szCs w:val="15"/>
                <w:color w:val="auto"/>
              </w:rPr>
            </w:pPr>
          </w:p>
        </w:tc>
        <w:tc>
          <w:tcPr>
            <w:tcW w:w="9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60" w:type="dxa"/>
            <w:vAlign w:val="bottom"/>
          </w:tcPr>
          <w:p>
            <w:pPr>
              <w:spacing w:after="0"/>
              <w:rPr>
                <w:sz w:val="15"/>
                <w:szCs w:val="15"/>
                <w:color w:val="auto"/>
              </w:rPr>
            </w:pPr>
          </w:p>
        </w:tc>
        <w:tc>
          <w:tcPr>
            <w:tcW w:w="9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5"/>
                <w:szCs w:val="15"/>
                <w:color w:val="auto"/>
              </w:rPr>
            </w:pPr>
          </w:p>
        </w:tc>
        <w:tc>
          <w:tcPr>
            <w:tcW w:w="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auto"/>
            </w:tcBorders>
            <w:vMerge w:val="continue"/>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Held</w:t>
            </w:r>
          </w:p>
        </w:tc>
        <w:tc>
          <w:tcPr>
            <w:tcW w:w="10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Held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449"/>
        </w:trPr>
        <w:tc>
          <w:tcPr>
            <w:tcW w:w="22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 and</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obligations of U.S. government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corporations and agencies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Political subdivisions of States,</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Territories and Possessions</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7,705,370</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(73,589)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13,167,726</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(3,324,491)</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20,873,096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(3,398,080)</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 bonds</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industrial and miscellaneous</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51,411,296</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(1,024,461)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55,381,083</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(4,690,597)</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106,792,379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(5,715,058)</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 and other</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2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backed securities</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19,315,521</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(209,890)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35,206,442</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(6,211,339)</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54,521,963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(6,421,229)</w:t>
            </w: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fixed-maturity securities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78,432,187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(1,307,940)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103,755,251</w:t>
            </w: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(14,226,427)</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182,187,438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(15,534,367)</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There were 159 securities at June 30, 2025 that accounted for the gross unrealized loss of our fixed-maturity securities available-for-sale, none of which were deemed to be credit losses by us. There were 204 securities at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December 31, 2024 that accounted for the gross unrealized loss of our fixed-maturity securities available-for-sale, none of which were deemed to be credit losses by us. Significant factors influencing our determination that unrealized losses were temporary included credit quality considerations, the magnitude of the unrealized losses in relation to each security’s cost, the nature of the investment and interest rate environment factors, management’s intent not to sell these securities and it being not more likely than not that we will be required to sell these investments before anticipated recovery of fair value to our cost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primary source of cash flow for our holding company are dividends and distributions received from KICO, which are subject to statutory restrictions. For the six months ended June 30, 2025, KICO did not pay any dividends to us. As of June 30, 2025, KICO had eligible unassigned surplus of $23,613,131 and was able to pay dividends; however, KICO has an agreement with the New York State Department of Financial Services pursuant to which KICO may only pay dividends to us for purposes of paying operating expenses and debt obligations.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KICO is a member of the FHLBNY, which provides additional access to liquidity. Members have access to a variety of flexible, low-cost funding through FHLBNY’s credit products, enabling members to customize advances. Advances are to be fully collateralized; eligible collateral to pledge to FHLBNY includes residential and commercial mortgage-backed securities, along with U.S. Treasury and agency securities. See Note 3 – Investments to our condensed consolidated financial statements for eligible collateral held in a designated custodian account available for future advances. Advances are limited to 5% of KICO’s net admitted assets as of the end of the previous quarter, which is March 31, 2025. On July 6, 2023, A.M. Best withdrew KICO’s ratings as KICO requested to no longer participate in A.M. Best’s interactive rating process. As a result of the withdrawal of A.M. Best ratings, prior to April 15, 2025, KICO was only able to borrow on an overnight basis. Effective April 15, 2025, based on KICO's credit rating from FHLBNY, KICO can now borrow for a term of up to five years. The maximum allowable advance as of June 30, 2025, based on the net admitted assets as of March 31, 2025, was approximately $15,704,000. Available collateral as of June 30, 2025 was approximately $9,840,000. Effective April 15, 2025, advances are limited to 91% of the amount of available collateral. Prior to April 15, 2025, advances were limited to 85% of the amount of available collateral. There were no borrowings under this facility during Six Months 2025.</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5, 2024, we filed a shelf registration (the “Shelf Registration”) statement on Form S-3 with the SEC under the Securities Act of 1933, as amended, with regard to the registration of $50,000,000 of our equity and debt securities (the “Shelf Registration Statement”). The Shelf Registration Statement was declared effective by the SEC on April 22, 2024. Any offering made pursuant to the Shelf Registration Statement may only be made by means of a prospectus, including a prospectus supplement, forming a part of the effective Shelf Registration Statement, relating to the offering.</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2024, we entered into a Sales Agreement with Janney Montgomery Scott LLC (the “Sales Agent”) under which we initially had the ability to issue and sell shares of our Common Stock, from time to time, through the Sales Agent, pursuant to the Shelf Registration Statement, up to an aggregate offering price of approximately $16,400,000 in what is commonly referred to as an “at-the-market” (“ATM”) program. On January 7, 2025, we filed a prospectus supplement providing for a going forward aggregate offering price for the ATM program of $25,000,000. During the six months ended June 30, 2025, we sold 612,999 shares of our Common Stock at a weighted average price of $16.00 per share and raised $9,484,382 in net proceeds under the ATM program. As of June 30, 2025, we had remaining capacity to sell up to an additional $15,945,937 of our Common Stock under the ATM program.</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12, 2024, we issued the 2024 Notes in the aggregate principal amount of $14,950,000 pursuant to the 2024 Exchange Agreement. Beginning in the third quarter of 2024 through the first quarter of 2025, we paid optional principal amounts, reducing the balance of the 2024 Notes, and completely satisfying the obligation on February 24, 2025.</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the aforementioned sources of cash flow currently available are insufficient to cover our holding company cash requirements, we will seek to obtain additional financing.</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flow and liquidity are categorized into three sources: (1) operating activities; (2) investing activities; and (3) financing activities, which are shown in the following table: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Six Months ended June 30,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50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3"/>
        </w:trPr>
        <w:tc>
          <w:tcPr>
            <w:tcW w:w="8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27,131,737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13,214,888</w:t>
            </w:r>
          </w:p>
        </w:tc>
      </w:tr>
      <w:tr>
        <w:trPr>
          <w:trHeight w:val="250"/>
        </w:trPr>
        <w:tc>
          <w:tcPr>
            <w:tcW w:w="8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(24,512,699)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(9,612,199)</w:t>
            </w:r>
          </w:p>
        </w:tc>
      </w:tr>
      <w:tr>
        <w:trPr>
          <w:trHeight w:val="263"/>
        </w:trPr>
        <w:tc>
          <w:tcPr>
            <w:tcW w:w="8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2,425,953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(408,694)</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5,044,991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3,193,995</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28,669,441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8,976,998</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33,714,432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12,170,993</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$27,132,000 in Six Months 2025 as compared to $13,215,000 provided by operating activities in Six Months 2024. The $13,917,000 increase in cash flows provided by operating activities in Six Months 2025 as compared to Six Months 2024 was primarily the result of an increase in net income (adjusted for non-cash items) of $5,633,000 and cash provided from net fluctuations in operating assets and liabilities. The net fluctuations in assets and liabilities are related to operating activities of KICO as affected by growth or declines in its operations, payments on claims and other changes, which are described above.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$24,513,000 in Six Months 2025 compared to $9,612,000 used in investing activities in Six Months 2024 resulting in a $14,901,000 increase in net cash used in investing activities. In Six Months 2025, we had net cash used by our investment portfolio of $26,672,000, compared to $8,574,000 used in Six Months 2024. In Six Months 2025 one of our subsidiaries received gross proceeds of $3,600,000 from the sale of real estate that was used as our headquarters building.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$2,426,000 in Six Months 2025 compared to $(409,000) used in Six Months 2024. In Six Months 2025, we received net proceeds of $9,484,000 from our ATM offering. This amount was offset primarily by principal payments of $5,950,000 on our 2024 Notes, $603,000 on our equipment financing debt in connection with KICO’s sale-leaseback transaction and $549,000 for withholding taxes paid on vested restricted stock awards and the exercise of stock options. The principal payments on the 2024 Notes were made by using a portion of the net proceeds from our ATM offering. Net cash used in financing activities in Six Months 2024 was primarily principal payments on our equipment financing debt.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On January 1, 2024, we entered into a 27% quota share reinsurance treaty for our personal lines business, which primarily consisted of homeowners’ and dwelling fire policies, covering the period from January 1, 2024 through January 1, 2025 (“2024/2025 Treaty”). Upon the expiration of the 2024/2025 Treaty on January 1, 2025, we entered into a new 16% quota share reinsurance treaty for our personal lines business, covering the period from January 1, 2025 through January 1, 2026 (“2025/2026 Treaty”).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excess of loss and catastrophe reinsurance treaties expired on June 30, 2025 and we entered into new excess of loss and catastrophe reinsurance treaties effective July 1, 2025 (as discussed below). Effective January 1, 2024, we renewed an underlying excess of loss treaty ("Underlying XOL Treaty") covering the period from January 1, 2024 through January 1, 2025. The treaty provided 50% reinsurance coverage for losses of $400,000 in excess of $600,000. Losses from named storms are excluded from the treaty. Effective January 1, 2025, the Underlying XOL Treaty was renewed covering the period from January 1, 2025 through June 30, 2025. Effective July 1, 2025, the Underlying XOL Treaty was renewed along with our excess of loss reinsurance treaty covering the period from July 1, 2025 through June 30, 2026. Combined, the renewed treaties provide 50% reinsurance coverage for losses of $250,000 in excess of $750,000, and 100% reinsurance coverage for losses in excess of $1,000,000 up to $9,000,000 together with facultative coverage. For the period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October 1, 2024 through April 30, 2025, we purchased catastrophe reinsurance which provides coverage for winter storm losses to the extent of 71% of $4,500,000 in excess of $5,500,000. Effective July 1, 2025, we purchased $435,000,000 of catastrophe reinsurance in excess of $5,000,000, compared to $275,000,000 of catastrophe reinsurance in excess of $5,000,000 in the expiring treaty. The new catastrophe reinsurance treaties includes the issuance of a $125,000,000 catastrophe bond ("Series 2025-1 Notes"). The Series 2025-1 Notes were priced at 4.5% and issued through a Bermuda-registered special purpose insurer, 1886 Re Ltd., providing us with $125,000,000 of collateralized reinsurance protection. The notes offer multi-year protection against named storm events across New York, New Jersey, Connecticut, Massachusetts and Rhode Island on an indemnity trigger and per-occurrence basis. The notes, which were structured and placed by Aon Securities LLC, will cover four annual risk periods from July 1, 2025, through June 30, 2029. Material terms for our reinsurance treaties in effect for the treaty years shown below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Treaty Period</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2025/2026 Treaty</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2024/2025 Treaty</w:t>
            </w:r>
          </w:p>
        </w:tc>
        <w:tc>
          <w:tcPr>
            <w:tcW w:w="10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January 2,</w:t>
            </w:r>
          </w:p>
        </w:tc>
        <w:tc>
          <w:tcPr>
            <w:tcW w:w="200" w:type="dxa"/>
            <w:vAlign w:val="bottom"/>
          </w:tcPr>
          <w:p>
            <w:pPr>
              <w:spacing w:after="0"/>
              <w:rPr>
                <w:sz w:val="17"/>
                <w:szCs w:val="17"/>
                <w:color w:val="auto"/>
              </w:rPr>
            </w:pPr>
          </w:p>
        </w:tc>
        <w:tc>
          <w:tcPr>
            <w:tcW w:w="126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July 1,</w:t>
            </w:r>
          </w:p>
        </w:tc>
        <w:tc>
          <w:tcPr>
            <w:tcW w:w="160" w:type="dxa"/>
            <w:vAlign w:val="bottom"/>
          </w:tcPr>
          <w:p>
            <w:pPr>
              <w:spacing w:after="0"/>
              <w:rPr>
                <w:sz w:val="17"/>
                <w:szCs w:val="17"/>
                <w:color w:val="auto"/>
              </w:rPr>
            </w:pPr>
          </w:p>
        </w:tc>
        <w:tc>
          <w:tcPr>
            <w:tcW w:w="1280" w:type="dxa"/>
            <w:vAlign w:val="bottom"/>
            <w:gridSpan w:val="2"/>
          </w:tcPr>
          <w:p>
            <w:pPr>
              <w:jc w:val="center"/>
              <w:ind w:right="3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January 2,</w:t>
            </w:r>
          </w:p>
        </w:tc>
        <w:tc>
          <w:tcPr>
            <w:tcW w:w="180" w:type="dxa"/>
            <w:vAlign w:val="bottom"/>
          </w:tcPr>
          <w:p>
            <w:pPr>
              <w:spacing w:after="0"/>
              <w:rPr>
                <w:sz w:val="17"/>
                <w:szCs w:val="17"/>
                <w:color w:val="auto"/>
              </w:rPr>
            </w:pPr>
          </w:p>
        </w:tc>
        <w:tc>
          <w:tcPr>
            <w:tcW w:w="126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7"/>
              </w:rPr>
              <w:t>July 1,</w:t>
            </w:r>
          </w:p>
        </w:tc>
        <w:tc>
          <w:tcPr>
            <w:tcW w:w="120" w:type="dxa"/>
            <w:vAlign w:val="bottom"/>
          </w:tcPr>
          <w:p>
            <w:pPr>
              <w:spacing w:after="0"/>
              <w:rPr>
                <w:sz w:val="17"/>
                <w:szCs w:val="17"/>
                <w:color w:val="auto"/>
              </w:rPr>
            </w:pPr>
          </w:p>
        </w:tc>
        <w:tc>
          <w:tcPr>
            <w:tcW w:w="1360" w:type="dxa"/>
            <w:vAlign w:val="bottom"/>
            <w:gridSpan w:val="2"/>
          </w:tcPr>
          <w:p>
            <w:pPr>
              <w:jc w:val="center"/>
              <w:ind w:right="2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January 1,</w:t>
            </w: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31"/>
              <w:spacing w:after="0" w:line="202" w:lineRule="exact"/>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51"/>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91"/>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111"/>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11"/>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to</w:t>
            </w:r>
          </w:p>
        </w:tc>
        <w:tc>
          <w:tcPr>
            <w:tcW w:w="2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to</w:t>
            </w:r>
          </w:p>
        </w:tc>
        <w:tc>
          <w:tcPr>
            <w:tcW w:w="16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1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1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to</w:t>
            </w: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00" w:type="dxa"/>
            <w:vAlign w:val="bottom"/>
          </w:tcPr>
          <w:p>
            <w:pPr>
              <w:spacing w:after="0"/>
              <w:rPr>
                <w:sz w:val="17"/>
                <w:szCs w:val="17"/>
                <w:color w:val="auto"/>
              </w:rPr>
            </w:pPr>
          </w:p>
        </w:tc>
        <w:tc>
          <w:tcPr>
            <w:tcW w:w="126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160" w:type="dxa"/>
            <w:vAlign w:val="bottom"/>
          </w:tcPr>
          <w:p>
            <w:pPr>
              <w:spacing w:after="0"/>
              <w:rPr>
                <w:sz w:val="17"/>
                <w:szCs w:val="17"/>
                <w:color w:val="auto"/>
              </w:rPr>
            </w:pPr>
          </w:p>
        </w:tc>
        <w:tc>
          <w:tcPr>
            <w:tcW w:w="128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120" w:type="dxa"/>
            <w:vAlign w:val="bottom"/>
          </w:tcPr>
          <w:p>
            <w:pPr>
              <w:spacing w:after="0"/>
              <w:rPr>
                <w:sz w:val="17"/>
                <w:szCs w:val="17"/>
                <w:color w:val="auto"/>
              </w:rPr>
            </w:pPr>
          </w:p>
        </w:tc>
        <w:tc>
          <w:tcPr>
            <w:tcW w:w="136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Line of Business</w:t>
            </w:r>
          </w:p>
        </w:tc>
        <w:tc>
          <w:tcPr>
            <w:tcW w:w="3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Homeowners, dwelling fire</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w:t>
            </w: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canine legal liability</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20" w:type="dxa"/>
            <w:vAlign w:val="bottom"/>
          </w:tcPr>
          <w:p>
            <w:pPr>
              <w:spacing w:after="0"/>
              <w:rPr>
                <w:sz w:val="22"/>
                <w:szCs w:val="22"/>
                <w:color w:val="auto"/>
              </w:rPr>
            </w:pPr>
          </w:p>
        </w:tc>
        <w:tc>
          <w:tcPr>
            <w:tcW w:w="22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Quota share treaty:</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Percent ceded (6)</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Risk retained on initial</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20" w:type="dxa"/>
            <w:vAlign w:val="bottom"/>
            <w:shd w:val="clear" w:color="auto" w:fill="CCEEFF"/>
          </w:tcPr>
          <w:p>
            <w:pPr>
              <w:spacing w:after="0"/>
              <w:rPr>
                <w:sz w:val="18"/>
                <w:szCs w:val="18"/>
                <w:color w:val="auto"/>
              </w:rPr>
            </w:pPr>
          </w:p>
        </w:tc>
        <w:tc>
          <w:tcPr>
            <w:tcW w:w="2740" w:type="dxa"/>
            <w:vAlign w:val="bottom"/>
            <w:gridSpan w:val="6"/>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$1,000,000 of losses (4) (5)</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7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840,000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840,000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730,000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730,000</w:t>
            </w:r>
          </w:p>
        </w:tc>
        <w:tc>
          <w:tcPr>
            <w:tcW w:w="100" w:type="dxa"/>
            <w:vAlign w:val="bottom"/>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2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Losses per occurrence</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subject to quota share</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reinsurance coverage</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Expiration date</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January 1, 2026</w:t>
            </w:r>
          </w:p>
        </w:tc>
        <w:tc>
          <w:tcPr>
            <w:tcW w:w="144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January 1, 2026</w:t>
            </w:r>
          </w:p>
        </w:tc>
        <w:tc>
          <w:tcPr>
            <w:tcW w:w="14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January 1, 2025</w:t>
            </w:r>
          </w:p>
        </w:tc>
        <w:tc>
          <w:tcPr>
            <w:tcW w:w="1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2025</w:t>
            </w:r>
          </w:p>
        </w:tc>
      </w:tr>
      <w:tr>
        <w:trPr>
          <w:trHeight w:val="250"/>
        </w:trPr>
        <w:tc>
          <w:tcPr>
            <w:tcW w:w="20" w:type="dxa"/>
            <w:vAlign w:val="bottom"/>
          </w:tcPr>
          <w:p>
            <w:pPr>
              <w:spacing w:after="0"/>
              <w:rPr>
                <w:sz w:val="21"/>
                <w:szCs w:val="21"/>
                <w:color w:val="auto"/>
              </w:rPr>
            </w:pPr>
          </w:p>
        </w:tc>
        <w:tc>
          <w:tcPr>
            <w:tcW w:w="22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Excess of loss coverage and</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facultative facility</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coverage (1) (4) (5)</w:t>
            </w:r>
          </w:p>
        </w:tc>
        <w:tc>
          <w:tcPr>
            <w:tcW w:w="5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8,250,000</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8,250,000</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8,400,000</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8,400,000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8,400,000</w:t>
            </w:r>
          </w:p>
        </w:tc>
        <w:tc>
          <w:tcPr>
            <w:tcW w:w="10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excess of</w:t>
            </w:r>
          </w:p>
        </w:tc>
        <w:tc>
          <w:tcPr>
            <w:tcW w:w="1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excess of</w:t>
            </w:r>
          </w:p>
        </w:tc>
        <w:tc>
          <w:tcPr>
            <w:tcW w:w="1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excess of</w:t>
            </w:r>
          </w:p>
        </w:tc>
        <w:tc>
          <w:tcPr>
            <w:tcW w:w="1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excess of</w:t>
            </w:r>
          </w:p>
        </w:tc>
        <w:tc>
          <w:tcPr>
            <w:tcW w:w="1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excess of</w:t>
            </w:r>
          </w:p>
        </w:tc>
      </w:tr>
      <w:tr>
        <w:trPr>
          <w:trHeight w:val="250"/>
        </w:trPr>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reinsurance coverage</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per occurrence (4) (5)</w:t>
            </w:r>
          </w:p>
        </w:tc>
        <w:tc>
          <w:tcPr>
            <w:tcW w:w="5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8,125,000</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8,285,000</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8,360,000</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8,470,000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8,470,000</w:t>
            </w:r>
          </w:p>
        </w:tc>
        <w:tc>
          <w:tcPr>
            <w:tcW w:w="10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Losses per occurrence</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subject to reinsurance</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coverage (5)</w:t>
            </w:r>
          </w:p>
        </w:tc>
        <w:tc>
          <w:tcPr>
            <w:tcW w:w="52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9,000,000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9,000,000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9,000,000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9,000,000</w:t>
            </w:r>
          </w:p>
        </w:tc>
        <w:tc>
          <w:tcPr>
            <w:tcW w:w="10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Expiration date</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2026</w:t>
            </w:r>
          </w:p>
        </w:tc>
        <w:tc>
          <w:tcPr>
            <w:tcW w:w="200" w:type="dxa"/>
            <w:vAlign w:val="bottom"/>
          </w:tcPr>
          <w:p>
            <w:pPr>
              <w:spacing w:after="0"/>
              <w:rPr>
                <w:sz w:val="21"/>
                <w:szCs w:val="21"/>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30, 2026</w:t>
            </w:r>
          </w:p>
        </w:tc>
        <w:tc>
          <w:tcPr>
            <w:tcW w:w="16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June 30, 2025</w:t>
            </w:r>
          </w:p>
        </w:tc>
        <w:tc>
          <w:tcPr>
            <w:tcW w:w="180" w:type="dxa"/>
            <w:vAlign w:val="bottom"/>
          </w:tcPr>
          <w:p>
            <w:pPr>
              <w:spacing w:after="0"/>
              <w:rPr>
                <w:sz w:val="21"/>
                <w:szCs w:val="21"/>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Pr>
          <w:p>
            <w:pPr>
              <w:spacing w:after="0"/>
              <w:rPr>
                <w:sz w:val="21"/>
                <w:szCs w:val="21"/>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June 30, 2024</w:t>
            </w:r>
          </w:p>
        </w:tc>
      </w:tr>
      <w:tr>
        <w:trPr>
          <w:trHeight w:val="277"/>
        </w:trPr>
        <w:tc>
          <w:tcPr>
            <w:tcW w:w="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2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Catastrophe Reinsurance: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6"/>
        </w:trPr>
        <w:tc>
          <w:tcPr>
            <w:tcW w:w="20" w:type="dxa"/>
            <w:vAlign w:val="bottom"/>
            <w:shd w:val="clear" w:color="auto" w:fill="CCEEFF"/>
          </w:tcPr>
          <w:p>
            <w:pPr>
              <w:spacing w:after="0"/>
              <w:rPr>
                <w:sz w:val="22"/>
                <w:szCs w:val="22"/>
                <w:color w:val="auto"/>
              </w:rPr>
            </w:pPr>
          </w:p>
        </w:tc>
        <w:tc>
          <w:tcPr>
            <w:tcW w:w="274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Initial loss subject to personal</w:t>
            </w: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8"/>
              </w:rPr>
              <w:t>lines quota share treaty (5)</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74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 retained per catastrophe</w:t>
            </w: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occurrence (5) (6) (7) (8)</w:t>
            </w:r>
          </w:p>
        </w:tc>
        <w:tc>
          <w:tcPr>
            <w:tcW w:w="5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4,250,000</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4,750,000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9,500,000</w:t>
            </w:r>
          </w:p>
        </w:tc>
        <w:tc>
          <w:tcPr>
            <w:tcW w:w="10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Catastrophe loss</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2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coverage (2) (5) (8)</w:t>
            </w:r>
          </w:p>
        </w:tc>
        <w:tc>
          <w:tcPr>
            <w:tcW w:w="5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434,000,000</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6"/>
                <w:szCs w:val="16"/>
                <w:color w:val="auto"/>
              </w:rPr>
              <w:t>435,000,000</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6"/>
                <w:szCs w:val="16"/>
                <w:color w:val="auto"/>
              </w:rPr>
              <w:t>275,000,000</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6"/>
                <w:szCs w:val="16"/>
                <w:color w:val="auto"/>
              </w:rPr>
              <w:t>275,000,000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6"/>
                <w:szCs w:val="16"/>
                <w:color w:val="auto"/>
              </w:rPr>
              <w:t>315,000,000</w:t>
            </w:r>
          </w:p>
        </w:tc>
        <w:tc>
          <w:tcPr>
            <w:tcW w:w="100" w:type="dxa"/>
            <w:vAlign w:val="bottom"/>
          </w:tcPr>
          <w:p>
            <w:pPr>
              <w:spacing w:after="0"/>
              <w:rPr>
                <w:sz w:val="21"/>
                <w:szCs w:val="21"/>
                <w:color w:val="auto"/>
              </w:rPr>
            </w:pPr>
          </w:p>
        </w:tc>
      </w:tr>
      <w:tr>
        <w:trPr>
          <w:trHeight w:val="277"/>
        </w:trPr>
        <w:tc>
          <w:tcPr>
            <w:tcW w:w="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2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Reinstatement premium</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2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protection (3)</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2"/>
              </w:rPr>
              <w:t>Yes</w:t>
            </w: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2"/>
              </w:rPr>
              <w:t>Yes</w:t>
            </w: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2"/>
              </w:rPr>
              <w:t>Yes</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2"/>
              </w:rPr>
              <w:t>Yes</w:t>
            </w:r>
          </w:p>
        </w:tc>
        <w:tc>
          <w:tcPr>
            <w:tcW w:w="1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2"/>
              </w:rPr>
              <w:t>Yes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00" w:hanging="892"/>
        <w:spacing w:after="0" w:line="261" w:lineRule="auto"/>
        <w:tabs>
          <w:tab w:leader="none" w:pos="8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personal lines, includes the addition of an automatic facultative facility allowing KICO to obtain homeowners single risk coverage up to $9,000,000 in total insured value, which covers direct losses from $3,500,000 to $9,000,000 through June 30, 2025.</w:t>
      </w:r>
    </w:p>
    <w:p>
      <w:pPr>
        <w:jc w:val="both"/>
        <w:ind w:left="900" w:hanging="892"/>
        <w:spacing w:after="0" w:line="250" w:lineRule="auto"/>
        <w:tabs>
          <w:tab w:leader="none" w:pos="8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Catastrophe coverage is limited on an annual basis to two times the per occurrence amounts, except for one occurrence on 80% of the first layer of $5,000,000 in excess of $5,000,000, and one occurrence on 52% of the top layer of $240,000,000 in excess of $200,000,000, which is covered under the catastrophe bond. Duration of 168 consecutive hours for a catastrophe occurrence from windstorm, hail, tornado, hurricane and cyclone.</w:t>
      </w:r>
    </w:p>
    <w:p>
      <w:pPr>
        <w:spacing w:after="0" w:line="1" w:lineRule="exact"/>
        <w:rPr>
          <w:rFonts w:ascii="Times New Roman" w:cs="Times New Roman" w:eastAsia="Times New Roman" w:hAnsi="Times New Roman"/>
          <w:sz w:val="18"/>
          <w:szCs w:val="18"/>
          <w:color w:val="auto"/>
        </w:rPr>
      </w:pPr>
    </w:p>
    <w:p>
      <w:pPr>
        <w:jc w:val="both"/>
        <w:ind w:left="900" w:hanging="892"/>
        <w:spacing w:after="0" w:line="250" w:lineRule="auto"/>
        <w:tabs>
          <w:tab w:leader="none" w:pos="8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July 1, 2024 through June 30, 2025, reinstatement premium protection for $50,000,000 of catastrophe coverage in excess of $10,000,000. For the period July 1, 2025 through June 30, 2026 (expiration date of the catastrophe reinsurance treaty), reinstatement premium protection for $50,000,000 of catastrophe coverage in excess of $10,000,000.</w:t>
      </w:r>
    </w:p>
    <w:p>
      <w:pPr>
        <w:spacing w:after="0" w:line="1" w:lineRule="exact"/>
        <w:rPr>
          <w:rFonts w:ascii="Times New Roman" w:cs="Times New Roman" w:eastAsia="Times New Roman" w:hAnsi="Times New Roman"/>
          <w:sz w:val="18"/>
          <w:szCs w:val="18"/>
          <w:color w:val="auto"/>
        </w:rPr>
      </w:pPr>
    </w:p>
    <w:p>
      <w:pPr>
        <w:jc w:val="both"/>
        <w:ind w:left="900" w:hanging="892"/>
        <w:spacing w:after="0" w:line="250" w:lineRule="auto"/>
        <w:tabs>
          <w:tab w:leader="none" w:pos="8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January 1, 2024 through June 30, 2025, Underlying XOL Treaty provides 50% reinsurance coverage for losses of $400,000 in excess of $600,000. Excludes losses from named storms. Reduces retention to $530,000 from $730,000 under the 2024/2025 Treaty. Retention increases to $640,000 from $530,000 under the 2025/2026 Treaty. For the period July 1, 2025 through June 30, 2026, the Underlying XOL Treaty combined with the excess of loss treaty provide 50% reinsurance coverage for losses of $250,000 in excess of $750,000, and 100% reinsurance coverage for losses in excess of $1,000,000 up to $9,000,000 together with facultative coverage. Increased retention to $715,000 from $640,000 under the 2025/2026 Treaty (see note 5 below).</w:t>
      </w:r>
    </w:p>
    <w:p>
      <w:pPr>
        <w:spacing w:after="0" w:line="2" w:lineRule="exact"/>
        <w:rPr>
          <w:rFonts w:ascii="Times New Roman" w:cs="Times New Roman" w:eastAsia="Times New Roman" w:hAnsi="Times New Roman"/>
          <w:sz w:val="18"/>
          <w:szCs w:val="18"/>
          <w:color w:val="auto"/>
        </w:rPr>
      </w:pPr>
    </w:p>
    <w:p>
      <w:pPr>
        <w:jc w:val="both"/>
        <w:ind w:left="900" w:hanging="892"/>
        <w:spacing w:after="0" w:line="250" w:lineRule="auto"/>
        <w:tabs>
          <w:tab w:leader="none" w:pos="8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personal lines quota share treaty (homeowners, dwelling fire and canine liability) will expire on January 1, 2026, with none of these coverages to be in effect during the period from January 2, 2026 through June 30, 2026. If and when this treaty is renewed on January 2, 2026, the personal lines quota share treaty, will be as provided for therein. Reinsurance coverage in effect from January 2, 2026 through June 30, 2026 is only for excess of loss, Underlying XOL, and catastrophe reinsurance treaties.</w:t>
      </w:r>
    </w:p>
    <w:p>
      <w:pPr>
        <w:spacing w:after="0" w:line="1" w:lineRule="exact"/>
        <w:rPr>
          <w:rFonts w:ascii="Times New Roman" w:cs="Times New Roman" w:eastAsia="Times New Roman" w:hAnsi="Times New Roman"/>
          <w:sz w:val="18"/>
          <w:szCs w:val="18"/>
          <w:color w:val="auto"/>
        </w:rPr>
      </w:pPr>
    </w:p>
    <w:p>
      <w:pPr>
        <w:ind w:left="900" w:right="640" w:hanging="892"/>
        <w:spacing w:after="0" w:line="250" w:lineRule="auto"/>
        <w:tabs>
          <w:tab w:leader="none" w:pos="8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2024/2025 Treaty, 22% of the 27% total of losses ceded under this treaty are excluded from a named catastrophe event. For the 2025/2026 Treaty, 6% of the 16% total of losses ceded under this treaty are excluded from a named catastrophe event.</w:t>
      </w:r>
    </w:p>
    <w:p>
      <w:pPr>
        <w:ind w:left="900" w:hanging="892"/>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losses in excess of catastrophe coverage</w:t>
      </w:r>
    </w:p>
    <w:p>
      <w:pPr>
        <w:spacing w:after="0" w:line="9" w:lineRule="exact"/>
        <w:rPr>
          <w:rFonts w:ascii="Times New Roman" w:cs="Times New Roman" w:eastAsia="Times New Roman" w:hAnsi="Times New Roman"/>
          <w:sz w:val="18"/>
          <w:szCs w:val="18"/>
          <w:color w:val="auto"/>
        </w:rPr>
      </w:pPr>
    </w:p>
    <w:p>
      <w:pPr>
        <w:ind w:left="900" w:right="40" w:hanging="892"/>
        <w:spacing w:after="0" w:line="253" w:lineRule="auto"/>
        <w:tabs>
          <w:tab w:leader="none" w:pos="8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July 1, 2025 through June 30, 2026, catastrophe coverage is 80% of the first layer of $5,000,000 in excess of $5,000,000. The remaining coverage is at 100% of $430,000,000 in excess of $10,000,000. For the period October 1, 2024 through April 30, 2025, additional catastrophe reinsurance treaty provided coverage for winter storm losses to the extent of 71% of $4,500,000 in excess of $5,500,000. Retention for winter storms under this treaty is $4,800,000 under the 2024/2025 Treaty and $5,200,000 under the 2025/2026 Treaty.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Treaty Year</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r>
      <w:tr>
        <w:trPr>
          <w:trHeight w:val="207"/>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July 1, 2025</w:t>
            </w:r>
          </w:p>
        </w:tc>
        <w:tc>
          <w:tcPr>
            <w:tcW w:w="20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July 1, 2024</w:t>
            </w:r>
          </w:p>
        </w:tc>
        <w:tc>
          <w:tcPr>
            <w:tcW w:w="20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July 1, 2023</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20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to</w:t>
            </w:r>
          </w:p>
        </w:tc>
        <w:tc>
          <w:tcPr>
            <w:tcW w:w="20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45"/>
        </w:trPr>
        <w:tc>
          <w:tcPr>
            <w:tcW w:w="20" w:type="dxa"/>
            <w:vAlign w:val="bottom"/>
            <w:tcBorders>
              <w:bottom w:val="single" w:sz="8" w:color="auto"/>
            </w:tcBorders>
          </w:tcPr>
          <w:p>
            <w:pPr>
              <w:spacing w:after="0"/>
              <w:rPr>
                <w:sz w:val="21"/>
                <w:szCs w:val="21"/>
                <w:color w:val="auto"/>
              </w:rPr>
            </w:pPr>
          </w:p>
        </w:tc>
        <w:tc>
          <w:tcPr>
            <w:tcW w:w="6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Line of Business</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r>
      <w:tr>
        <w:trPr>
          <w:trHeight w:val="459"/>
        </w:trPr>
        <w:tc>
          <w:tcPr>
            <w:tcW w:w="20" w:type="dxa"/>
            <w:vAlign w:val="bottom"/>
          </w:tcPr>
          <w:p>
            <w:pPr>
              <w:spacing w:after="0"/>
              <w:rPr>
                <w:sz w:val="24"/>
                <w:szCs w:val="24"/>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Personal Umbrella</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6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Quota share treaty:</w:t>
            </w: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63"/>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Percent ceded - first $1,000,000 of coverage</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50"/>
        </w:trPr>
        <w:tc>
          <w:tcPr>
            <w:tcW w:w="20" w:type="dxa"/>
            <w:vAlign w:val="bottom"/>
          </w:tcPr>
          <w:p>
            <w:pPr>
              <w:spacing w:after="0"/>
              <w:rPr>
                <w:sz w:val="21"/>
                <w:szCs w:val="21"/>
                <w:color w:val="auto"/>
              </w:rPr>
            </w:pPr>
          </w:p>
        </w:tc>
        <w:tc>
          <w:tcPr>
            <w:tcW w:w="62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Percent ceded - excess of $1,000,000 dollars of coverage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63"/>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Risk retained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300,000</w:t>
            </w:r>
          </w:p>
        </w:tc>
      </w:tr>
      <w:tr>
        <w:trPr>
          <w:trHeight w:val="250"/>
        </w:trPr>
        <w:tc>
          <w:tcPr>
            <w:tcW w:w="20" w:type="dxa"/>
            <w:vAlign w:val="bottom"/>
          </w:tcPr>
          <w:p>
            <w:pPr>
              <w:spacing w:after="0"/>
              <w:rPr>
                <w:sz w:val="21"/>
                <w:szCs w:val="21"/>
                <w:color w:val="auto"/>
              </w:rPr>
            </w:pPr>
          </w:p>
        </w:tc>
        <w:tc>
          <w:tcPr>
            <w:tcW w:w="62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Total reinsurance coverage per occurrence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4,700,000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4,700,000</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4,700,000</w:t>
            </w:r>
          </w:p>
        </w:tc>
      </w:tr>
      <w:tr>
        <w:trPr>
          <w:trHeight w:val="263"/>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Losses per occurrence subject to quota share reinsurance coverage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5,000,000</w:t>
            </w:r>
          </w:p>
        </w:tc>
      </w:tr>
      <w:tr>
        <w:trPr>
          <w:trHeight w:val="250"/>
        </w:trPr>
        <w:tc>
          <w:tcPr>
            <w:tcW w:w="20" w:type="dxa"/>
            <w:vAlign w:val="bottom"/>
          </w:tcPr>
          <w:p>
            <w:pPr>
              <w:spacing w:after="0"/>
              <w:rPr>
                <w:sz w:val="21"/>
                <w:szCs w:val="21"/>
                <w:color w:val="auto"/>
              </w:rPr>
            </w:pPr>
          </w:p>
        </w:tc>
        <w:tc>
          <w:tcPr>
            <w:tcW w:w="6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Expiration date</w:t>
            </w:r>
          </w:p>
        </w:tc>
        <w:tc>
          <w:tcPr>
            <w:tcW w:w="180" w:type="dxa"/>
            <w:vAlign w:val="bottom"/>
          </w:tcPr>
          <w:p>
            <w:pPr>
              <w:spacing w:after="0"/>
              <w:rPr>
                <w:sz w:val="21"/>
                <w:szCs w:val="21"/>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June 30, 2026</w:t>
            </w:r>
          </w:p>
        </w:tc>
        <w:tc>
          <w:tcPr>
            <w:tcW w:w="200" w:type="dxa"/>
            <w:vAlign w:val="bottom"/>
          </w:tcPr>
          <w:p>
            <w:pPr>
              <w:spacing w:after="0"/>
              <w:rPr>
                <w:sz w:val="21"/>
                <w:szCs w:val="21"/>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June 30, 2025</w:t>
            </w:r>
          </w:p>
        </w:tc>
        <w:tc>
          <w:tcPr>
            <w:tcW w:w="200" w:type="dxa"/>
            <w:vAlign w:val="bottom"/>
          </w:tcPr>
          <w:p>
            <w:pPr>
              <w:spacing w:after="0"/>
              <w:rPr>
                <w:sz w:val="21"/>
                <w:szCs w:val="21"/>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June 30, 2024</w:t>
            </w:r>
          </w:p>
        </w:tc>
      </w:tr>
      <w:tr>
        <w:trPr>
          <w:trHeight w:val="277"/>
        </w:trPr>
        <w:tc>
          <w:tcPr>
            <w:tcW w:w="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bl>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Commercial Lines (1)</w:t>
      </w:r>
    </w:p>
    <w:p>
      <w:pPr>
        <w:spacing w:after="0" w:line="252" w:lineRule="exact"/>
        <w:rPr>
          <w:sz w:val="20"/>
          <w:szCs w:val="20"/>
          <w:color w:val="auto"/>
        </w:rPr>
      </w:pPr>
    </w:p>
    <w:p>
      <w:pPr>
        <w:ind w:left="2040" w:hanging="979"/>
        <w:spacing w:after="0" w:line="282" w:lineRule="auto"/>
        <w:tabs>
          <w:tab w:leader="none" w:pos="20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on all commercial lines policies expired in September 2020; reinsurance coverage is based on treaties in effect on the date of loss.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Fluctuations in rates of inflation also influence interest rates, which in turn impact the market value of our investment portfolio and yields on new investments. Operating expenses, including salaries and benefits, generally are impacted by inflation.</w:t>
      </w:r>
    </w:p>
    <w:p>
      <w:pPr>
        <w:spacing w:after="0" w:line="162"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Six Months 2025 included continuing economic inflation, albeit tempered compared to previous years, which resulted in a sustained increase in interest rates, a widening of credit spreads, lower public equity valuations, and significant financial market volatility. The higher interest rates and widening of credit spreads reduced the value of our fixed income securities, and in Six Months 2025, we experienced a significant recovery of these losses. For Six Months 2025, the continuing economic inflation impacted our loss and loss adjustment expenses as well; should these trends continue in the near-term, it would in all likelihood negatively impact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net premiums earned may be impacted by a number of factors. Net premiums earned are a function of net written premium volume. Net written premiums comprise both renewal business and new business and are recognized as earned premium over the term of the underlying policies. Net written premiums from both renewal and new business are impacted by competitive market conditions as well as general economic conditions. We have made underwriting changes to emphasize profitability over growth and have culled out the type of risks that do not generate an acceptable level of return.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August 2, 2024, two large competitors announced a plan to wind down their personal lines operations in New York State and to non-renew or mid-term cancel their entire book of business by December 31, 2024. Our producers placed a sizable number of these policies with KICO.</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14, 2025, KICO entered into an agreement to offer a replacement policy to selected Homeowners policyholders in Downstate New York as one of our competitors pivots focus away from admitted personal lines business (the "Withdrawal Plan"). The Withdrawal Plan, which includes this transaction, was approved by the New York Department of Financial Services. This transaction encompasses approximately $70 million in written premium. The Withdrawal Plan will enable KICO to work with new distribution partners to further increase our footprint in Downstate New York by offering an alternative policy to selected Homeowners policyholders with effective dates starting in the third quarter of 2025.</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“Forward-Looking Statements” before Part I, Item 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Non-GAAP financial measures should be considered in addition to, and not as a substitute for or superior to, financial measures presented in accordance with GAAP.</w:t>
      </w:r>
    </w:p>
    <w:p>
      <w:pPr>
        <w:spacing w:after="0" w:line="203"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The following table reconciles Core written premiums, Non-Core written premiums, direct written premiums, and net written premiums to net premiums earned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Table of Contents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849"/>
        </w:trPr>
        <w:tc>
          <w:tcPr>
            <w:tcW w:w="1280" w:type="dxa"/>
            <w:vAlign w:val="bottom"/>
            <w:tcBorders>
              <w:top w:val="single" w:sz="8" w:color="0000FF"/>
            </w:tcBorders>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4"/>
                <w:szCs w:val="24"/>
                <w:color w:val="auto"/>
              </w:rPr>
            </w:pPr>
          </w:p>
        </w:tc>
        <w:tc>
          <w:tcPr>
            <w:tcW w:w="276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128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9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 written premiums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7"/>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Core written premiums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59,802,088</w:t>
            </w:r>
          </w:p>
        </w:tc>
        <w:tc>
          <w:tcPr>
            <w:tcW w:w="8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51,305,695</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116,976,970</w:t>
            </w:r>
          </w:p>
        </w:tc>
        <w:tc>
          <w:tcPr>
            <w:tcW w:w="8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97,892,699</w:t>
            </w:r>
          </w:p>
        </w:tc>
      </w:tr>
      <w:tr>
        <w:trPr>
          <w:trHeight w:val="26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Non-Core written premiums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1,260,321</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2,189,628</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2,260,435</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4,927,240</w:t>
            </w:r>
          </w:p>
        </w:tc>
      </w:tr>
      <w:tr>
        <w:trPr>
          <w:trHeight w:val="24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direct written premiums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61,062,409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53,495,323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119,237,405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102,819,939</w:t>
            </w:r>
          </w:p>
        </w:tc>
      </w:tr>
      <w:tr>
        <w:trPr>
          <w:trHeight w:val="26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Ceded written premiums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(8,851,735)</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(8,851,735)</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(6,017,324)</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(23,299,863)</w:t>
            </w:r>
          </w:p>
        </w:tc>
      </w:tr>
      <w:tr>
        <w:trPr>
          <w:trHeight w:val="24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written premiums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52,210,674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44,643,588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113,220,081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79,520,076</w:t>
            </w:r>
          </w:p>
        </w:tc>
      </w:tr>
      <w:tr>
        <w:trPr>
          <w:trHeight w:val="26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(5,995,414)</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(11,121,065)</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(23,481,758)</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(20,396,562)</w:t>
            </w:r>
          </w:p>
        </w:tc>
      </w:tr>
      <w:tr>
        <w:trPr>
          <w:trHeight w:val="25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premiums earned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46,215,260</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33,522,523</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89,738,323</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59,123,514</w:t>
            </w:r>
          </w:p>
        </w:tc>
      </w:tr>
      <w:tr>
        <w:trPr>
          <w:trHeight w:val="27"/>
        </w:trPr>
        <w:tc>
          <w:tcPr>
            <w:tcW w:w="12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38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following table reconciles the underlying loss ratio, the net loss ratio excluding the effect of catastrophes and the catastrophe loss ratio to the net loss ratio for the periods presented:</w:t>
      </w:r>
    </w:p>
    <w:p>
      <w:pPr>
        <w:spacing w:after="0" w:line="200" w:lineRule="exact"/>
        <w:rPr>
          <w:sz w:val="20"/>
          <w:szCs w:val="20"/>
          <w:color w:val="auto"/>
        </w:rPr>
      </w:pP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4400" w:type="dxa"/>
            <w:vAlign w:val="bottom"/>
          </w:tcPr>
          <w:p>
            <w:pPr>
              <w:spacing w:after="0"/>
              <w:rPr>
                <w:sz w:val="21"/>
                <w:szCs w:val="21"/>
                <w:color w:val="auto"/>
              </w:rPr>
            </w:pPr>
          </w:p>
        </w:tc>
        <w:tc>
          <w:tcPr>
            <w:tcW w:w="290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 w:type="dxa"/>
            <w:vAlign w:val="bottom"/>
          </w:tcPr>
          <w:p>
            <w:pPr>
              <w:spacing w:after="0"/>
              <w:rPr>
                <w:sz w:val="21"/>
                <w:szCs w:val="21"/>
                <w:color w:val="auto"/>
              </w:rPr>
            </w:pPr>
          </w:p>
        </w:tc>
        <w:tc>
          <w:tcPr>
            <w:tcW w:w="1840" w:type="dxa"/>
            <w:vAlign w:val="bottom"/>
            <w:tcBorders>
              <w:bottom w:val="single" w:sz="8" w:color="auto"/>
            </w:tcBorders>
            <w:gridSpan w:val="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60" w:type="dxa"/>
            <w:vAlign w:val="bottom"/>
            <w:tcBorders>
              <w:bottom w:val="single" w:sz="8" w:color="auto"/>
            </w:tcBorders>
          </w:tcPr>
          <w:p>
            <w:pPr>
              <w:spacing w:after="0"/>
              <w:rPr>
                <w:sz w:val="21"/>
                <w:szCs w:val="21"/>
                <w:color w:val="auto"/>
              </w:rPr>
            </w:pPr>
          </w:p>
        </w:tc>
      </w:tr>
      <w:tr>
        <w:trPr>
          <w:trHeight w:val="250"/>
        </w:trPr>
        <w:tc>
          <w:tcPr>
            <w:tcW w:w="440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500"/>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Underlying Loss Ratio</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38.7%</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47.1%</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52.8%</w:t>
            </w:r>
          </w:p>
        </w:tc>
      </w:tr>
      <w:tr>
        <w:trPr>
          <w:trHeight w:val="53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prior year reserve development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ratio excluding the effect of catastrophes</w:t>
            </w:r>
          </w:p>
        </w:tc>
        <w:tc>
          <w:tcPr>
            <w:tcW w:w="9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38.2%</w:t>
            </w:r>
          </w:p>
        </w:tc>
        <w:tc>
          <w:tcPr>
            <w:tcW w:w="100" w:type="dxa"/>
            <w:vAlign w:val="bottom"/>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80" w:type="dxa"/>
            <w:vAlign w:val="bottom"/>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49.1%</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51.1%</w:t>
            </w:r>
          </w:p>
        </w:tc>
      </w:tr>
      <w:tr>
        <w:trPr>
          <w:trHeight w:val="26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catastrophes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50"/>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loss ratio</w:t>
            </w:r>
          </w:p>
        </w:tc>
        <w:tc>
          <w:tcPr>
            <w:tcW w:w="90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38.8%</w:t>
            </w:r>
          </w:p>
        </w:tc>
        <w:tc>
          <w:tcPr>
            <w:tcW w:w="10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8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w:t>
            </w:r>
          </w:p>
        </w:tc>
      </w:tr>
      <w:tr>
        <w:trPr>
          <w:trHeight w:val="27"/>
        </w:trPr>
        <w:tc>
          <w:tcPr>
            <w:tcW w:w="4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net loss ratio excluding commercial lines business to the net loss ratio for the periods presented:</w:t>
      </w:r>
    </w:p>
    <w:p>
      <w:pPr>
        <w:spacing w:after="0" w:line="200" w:lineRule="exact"/>
        <w:rPr>
          <w:sz w:val="20"/>
          <w:szCs w:val="20"/>
          <w:color w:val="auto"/>
        </w:rPr>
      </w:pP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59"/>
        </w:trPr>
        <w:tc>
          <w:tcPr>
            <w:tcW w:w="4440" w:type="dxa"/>
            <w:vAlign w:val="bottom"/>
          </w:tcPr>
          <w:p>
            <w:pPr>
              <w:spacing w:after="0"/>
              <w:rPr>
                <w:sz w:val="22"/>
                <w:szCs w:val="22"/>
                <w:color w:val="auto"/>
              </w:rPr>
            </w:pPr>
          </w:p>
        </w:tc>
        <w:tc>
          <w:tcPr>
            <w:tcW w:w="292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6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Pr>
          <w:p>
            <w:pPr>
              <w:spacing w:after="0"/>
              <w:rPr>
                <w:sz w:val="22"/>
                <w:szCs w:val="22"/>
                <w:color w:val="auto"/>
              </w:rPr>
            </w:pPr>
          </w:p>
        </w:tc>
      </w:tr>
      <w:tr>
        <w:trPr>
          <w:trHeight w:val="250"/>
        </w:trPr>
        <w:tc>
          <w:tcPr>
            <w:tcW w:w="444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64"/>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ratio excluding the effect of commercial lines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45.5%</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r>
      <w:tr>
        <w:trPr>
          <w:trHeight w:val="26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Effect of commercial lines business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2"/>
                <w:szCs w:val="22"/>
                <w:color w:val="auto"/>
              </w:rPr>
            </w:pPr>
          </w:p>
        </w:tc>
        <w:tc>
          <w:tcPr>
            <w:tcW w:w="18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loss ratio</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w:t>
            </w:r>
          </w:p>
        </w:tc>
        <w:tc>
          <w:tcPr>
            <w:tcW w:w="10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10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w:t>
            </w:r>
          </w:p>
        </w:tc>
      </w:tr>
      <w:tr>
        <w:trPr>
          <w:trHeight w:val="27"/>
        </w:trPr>
        <w:tc>
          <w:tcPr>
            <w:tcW w:w="4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net income from insurance underwriting business on a standalone basis to GAAP net income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8" w:right="5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Table of Contents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849"/>
        </w:trPr>
        <w:tc>
          <w:tcPr>
            <w:tcW w:w="1280" w:type="dxa"/>
            <w:vAlign w:val="bottom"/>
            <w:tcBorders>
              <w:top w:val="single" w:sz="8" w:color="0000FF"/>
            </w:tcBorders>
          </w:tcPr>
          <w:p>
            <w:pPr>
              <w:spacing w:after="0"/>
              <w:rPr>
                <w:sz w:val="24"/>
                <w:szCs w:val="24"/>
                <w:color w:val="auto"/>
              </w:rPr>
            </w:pPr>
          </w:p>
        </w:tc>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59"/>
        </w:trPr>
        <w:tc>
          <w:tcPr>
            <w:tcW w:w="12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5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40" w:type="dxa"/>
            <w:vAlign w:val="bottom"/>
          </w:tcPr>
          <w:p>
            <w:pPr>
              <w:spacing w:after="0"/>
              <w:rPr>
                <w:sz w:val="22"/>
                <w:szCs w:val="22"/>
                <w:color w:val="auto"/>
              </w:rPr>
            </w:pPr>
          </w:p>
        </w:tc>
        <w:tc>
          <w:tcPr>
            <w:tcW w:w="144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40" w:type="dxa"/>
            <w:vAlign w:val="bottom"/>
          </w:tcPr>
          <w:p>
            <w:pPr>
              <w:spacing w:after="0"/>
              <w:rPr>
                <w:sz w:val="22"/>
                <w:szCs w:val="22"/>
                <w:color w:val="auto"/>
              </w:rPr>
            </w:pPr>
          </w:p>
        </w:tc>
      </w:tr>
      <w:tr>
        <w:trPr>
          <w:trHeight w:val="250"/>
        </w:trPr>
        <w:tc>
          <w:tcPr>
            <w:tcW w:w="12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64"/>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from insurance underwriting business on a</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8"/>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standalone basis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12,118,884</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5,842,500</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16,785,353</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8,528,272</w:t>
            </w:r>
          </w:p>
        </w:tc>
      </w:tr>
      <w:tr>
        <w:trPr>
          <w:trHeight w:val="26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Holding company operations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(866,552)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(1,327,563)</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9"/>
              </w:rPr>
              <w:t>(1,650,361)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(2,586,656)</w:t>
            </w:r>
          </w:p>
        </w:tc>
      </w:tr>
      <w:tr>
        <w:trPr>
          <w:trHeight w:val="250"/>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GAAP 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11,252,332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4,514,937</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15,134,992</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5,941,616</w:t>
            </w:r>
          </w:p>
        </w:tc>
      </w:tr>
      <w:tr>
        <w:trPr>
          <w:trHeight w:val="27"/>
        </w:trPr>
        <w:tc>
          <w:tcPr>
            <w:tcW w:w="12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following table reconciles the net loss ratio excluding the effect of catastrophes, net underwriting expense ratio excluding the effect of catastrophes, and net combined ratio excluding the effect of catastrophes to GAAP net loss ratio, GAAP net underwriting expense ratio, and GAAP net combined ratio for the periods presented:</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5"/>
        </w:trPr>
        <w:tc>
          <w:tcPr>
            <w:tcW w:w="4440" w:type="dxa"/>
            <w:vAlign w:val="bottom"/>
          </w:tcPr>
          <w:p>
            <w:pPr>
              <w:spacing w:after="0"/>
              <w:rPr>
                <w:sz w:val="21"/>
                <w:szCs w:val="21"/>
                <w:color w:val="auto"/>
              </w:rPr>
            </w:pPr>
          </w:p>
        </w:tc>
        <w:tc>
          <w:tcPr>
            <w:tcW w:w="286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2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4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499"/>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ratio excluding the effect of catastrophes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51.1%</w:t>
            </w:r>
          </w:p>
        </w:tc>
        <w:tc>
          <w:tcPr>
            <w:tcW w:w="0" w:type="dxa"/>
            <w:vAlign w:val="bottom"/>
          </w:tcPr>
          <w:p>
            <w:pPr>
              <w:spacing w:after="0"/>
              <w:rPr>
                <w:sz w:val="1"/>
                <w:szCs w:val="1"/>
                <w:color w:val="auto"/>
              </w:rPr>
            </w:pPr>
          </w:p>
        </w:tc>
      </w:tr>
      <w:tr>
        <w:trPr>
          <w:trHeight w:val="26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Effect of catastrophes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0"/>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loss ratio</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8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w:t>
            </w:r>
          </w:p>
        </w:tc>
        <w:tc>
          <w:tcPr>
            <w:tcW w:w="0" w:type="dxa"/>
            <w:vAlign w:val="bottom"/>
          </w:tcPr>
          <w:p>
            <w:pPr>
              <w:spacing w:after="0"/>
              <w:rPr>
                <w:sz w:val="1"/>
                <w:szCs w:val="1"/>
                <w:color w:val="auto"/>
              </w:rPr>
            </w:pPr>
          </w:p>
        </w:tc>
      </w:tr>
      <w:tr>
        <w:trPr>
          <w:trHeight w:val="27"/>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underwriting expense ratio excluding the effect of</w:t>
            </w: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7"/>
        </w:trPr>
        <w:tc>
          <w:tcPr>
            <w:tcW w:w="4440" w:type="dxa"/>
            <w:vAlign w:val="bottom"/>
            <w:vMerge w:val="continue"/>
          </w:tcPr>
          <w:p>
            <w:pPr>
              <w:spacing w:after="0"/>
              <w:rPr>
                <w:sz w:val="24"/>
                <w:szCs w:val="2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100" w:type="dxa"/>
            <w:vAlign w:val="bottom"/>
          </w:tcPr>
          <w:p>
            <w:pPr>
              <w:spacing w:after="0"/>
              <w:rPr>
                <w:sz w:val="24"/>
                <w:szCs w:val="2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31.2%</w:t>
            </w:r>
          </w:p>
        </w:tc>
        <w:tc>
          <w:tcPr>
            <w:tcW w:w="80" w:type="dxa"/>
            <w:vAlign w:val="bottom"/>
          </w:tcPr>
          <w:p>
            <w:pPr>
              <w:spacing w:after="0"/>
              <w:rPr>
                <w:sz w:val="24"/>
                <w:szCs w:val="2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31.3%</w:t>
            </w:r>
          </w:p>
        </w:tc>
        <w:tc>
          <w:tcPr>
            <w:tcW w:w="0" w:type="dxa"/>
            <w:vAlign w:val="bottom"/>
          </w:tcPr>
          <w:p>
            <w:pPr>
              <w:spacing w:after="0"/>
              <w:rPr>
                <w:sz w:val="1"/>
                <w:szCs w:val="1"/>
                <w:color w:val="auto"/>
              </w:rPr>
            </w:pPr>
          </w:p>
        </w:tc>
      </w:t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catastrophes</w:t>
            </w: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Effect of catastrophes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50"/>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underwriting expense ratio</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w:t>
            </w:r>
          </w:p>
        </w:tc>
        <w:tc>
          <w:tcPr>
            <w:tcW w:w="8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w:t>
            </w:r>
          </w:p>
        </w:tc>
        <w:tc>
          <w:tcPr>
            <w:tcW w:w="0" w:type="dxa"/>
            <w:vAlign w:val="bottom"/>
          </w:tcPr>
          <w:p>
            <w:pPr>
              <w:spacing w:after="0"/>
              <w:rPr>
                <w:sz w:val="1"/>
                <w:szCs w:val="1"/>
                <w:color w:val="auto"/>
              </w:rPr>
            </w:pPr>
          </w:p>
        </w:tc>
      </w:tr>
      <w:tr>
        <w:trPr>
          <w:trHeight w:val="27"/>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combined ratio excluding the effect of catastrophes</w:t>
            </w: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4440" w:type="dxa"/>
            <w:vAlign w:val="bottom"/>
            <w:vMerge w:val="continue"/>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6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Effect of catastrophes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0"/>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combined ratio</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71.5%</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78.2%</w:t>
            </w:r>
          </w:p>
        </w:tc>
        <w:tc>
          <w:tcPr>
            <w:tcW w:w="8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82.3%</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item is not applicable to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disclosure controls and procedures. Under the supervision and with the participation of management, including our principal executive officer and principal financial officer, we conducted an evaluation of the effectiveness of our disclosure controls and procedures as of June 30, 2025.</w:t>
      </w:r>
    </w:p>
    <w:p>
      <w:pPr>
        <w:spacing w:after="0" w:line="20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as defined in Rule 13a-15(e) under the Exchange Act that are designed to assure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Principal Financial Officer, as appropriate, to allow timely decisions regarding required disclosures. Based on this evaluation, our Chief Executive Officer and Principal Financial Officer have concluded that, as of June 30, 2025, our disclosure controls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and procedures were: (i) effective in recording, processing, summarizing, and reporting information on a timely basis that we are required to disclose in the reports that we file or submit under the Exchange Act, and (ii) effective in ensuring that information that we are required to disclose in the reports that we file or submit under the Exchange Act is accumulated and communicated to our management, including our Chief Executive Officer and Principal Financial Officer, as appropriate, to allow timely decisions regarding required disclosure.</w:t>
      </w:r>
    </w:p>
    <w:p>
      <w:pPr>
        <w:spacing w:after="0" w:line="20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As required by Exchange Act Rule 13a-15(b), as of the end of the period covered by this Quarterly Report, under the supervision and with the participation of our Chief Executive Officer and Principal Financial Officer, we evaluated the effectiveness of our disclosure controls and procedures. Based on this evaluation, our Chief Executive Officer and Principal Financial Officer concluded that our disclosure controls and procedures were effective as of June 30,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16"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We previously disclosed that on November 12, 2024, we issued a press release announcing our financial results for the period ended September 30, 2024 (the “Press Release”). In the Press Release, we indicated that our book value per share – diluted and book value per share – diluted excluding accumulated other comprehensive income (“AOCI”) as of September 30, 2024 were $4.58 and $5.28, respectively. On November 15, 2024, we determined that such figures were calculated based upon an incorrect number of shares of common stock outstanding on a fully diluted basis as of September 30, 2024. Based upon the correct number of shares of common stock outstanding on a fully diluted basis, the book value per share – diluted and book value per share</w:t>
      </w:r>
    </w:p>
    <w:p>
      <w:pPr>
        <w:spacing w:after="0"/>
        <w:rPr>
          <w:sz w:val="20"/>
          <w:szCs w:val="20"/>
          <w:color w:val="auto"/>
        </w:rPr>
      </w:pPr>
      <w:r>
        <w:rPr>
          <w:rFonts w:ascii="Times New Roman" w:cs="Times New Roman" w:eastAsia="Times New Roman" w:hAnsi="Times New Roman"/>
          <w:sz w:val="18"/>
          <w:szCs w:val="18"/>
          <w:color w:val="auto"/>
        </w:rPr>
        <w:t>– diluted excluding AOCI as of September 30, 2024 were $4.32 and $4.97, respectively.</w:t>
      </w:r>
    </w:p>
    <w:p>
      <w:pPr>
        <w:spacing w:after="0" w:line="20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We continually review our disclosure controls and procedures and make changes, as necessary, to ensure the quality of our financial reporting. In particular, we have implemented a new financial reporting system which we believe has remediated the disclosure control deficiency. We believe that the effectiveness of the remediation has been demonstrated over time. Except as noted above, there have not been any changes in our internal control over financial reporting (as such term is defined in Rules 13a-15(f) and 15d-15(f) under the Exchange Act) during our most recently completed fiscal quarter that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 on Effectiveness of Controls</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by, or under the supervision of, our principal executive officer and principal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w:t>
      </w:r>
    </w:p>
    <w:p>
      <w:pPr>
        <w:spacing w:after="0" w:line="1" w:lineRule="exact"/>
        <w:rPr>
          <w:sz w:val="20"/>
          <w:szCs w:val="20"/>
          <w:color w:val="auto"/>
        </w:rPr>
      </w:pPr>
    </w:p>
    <w:p>
      <w:pPr>
        <w:jc w:val="both"/>
        <w:ind w:firstLine="8"/>
        <w:spacing w:after="0" w:line="253" w:lineRule="auto"/>
        <w:tabs>
          <w:tab w:leader="none" w:pos="22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b w:val="1"/>
          <w:bCs w:val="1"/>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a discussion of the Company’s potential risks and uncertainties, see Part I, Item 1A— “Risk Factors” and Part II, Item 7— “Management’s Discussion and Analysis of Financial Condition and Results of Operations” in the Company’s Annual Report on Form 10-K for the year ended December 31, 2024 (the "2024 Annual Report") filed with the SEC, and Part I, Item 2—“Management’s Discussion and Analysis of Financial Condition and Results of Operations” herein, in each case as updated by the Company's periodic filings with the SEC. There have been no material changes to the risk factors disclosed in Part I, Item 1A of the Company’s 2024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left="2040" w:hanging="979"/>
        <w:spacing w:after="0" w:line="236" w:lineRule="auto"/>
        <w:tabs>
          <w:tab w:leader="none" w:pos="203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June 30, 2025, we issued the following securities in transactions not involving any public offering. For each of the following transactions, we relied upon Section 4(a)(2) of the Securities Act of 1933, as amended (the “Securities Act”), as transactions by an issuer not involving any public offering, or Section 3(a)(9) of the Securities Act as a security exchanged by an issuer with its existing security holders exclusively where no commission or other renumeration was paid or given directly or indirectly for soliciting such exchange. For each such transaction, we did not use general solicitation or advertising to market the securities, the securities were offered to a limited number of persons, the investors had access to information regarding us (including information contained in our Annual Report on Form 10-K for the year ended December 31, 2024, Quarterly Report on Form 10-Q for the period ended March 31, 2025, and Current Reports on Form 8-K filed with the Securities and Exchange Commission and press releases made by us), and we were available to answer questions from prospective investors. We reasonably believe that each of the investors is an accredited investor. No proceeds were received from any of the issuances.</w:t>
      </w:r>
    </w:p>
    <w:p>
      <w:pPr>
        <w:spacing w:after="0" w:line="242" w:lineRule="exact"/>
        <w:rPr>
          <w:sz w:val="20"/>
          <w:szCs w:val="20"/>
          <w:color w:val="auto"/>
        </w:rPr>
      </w:pPr>
    </w:p>
    <w:tbl>
      <w:tblPr>
        <w:tblLayout w:type="fixed"/>
        <w:tblInd w:w="2040" w:type="dxa"/>
        <w:tblCellMar>
          <w:top w:w="0" w:type="dxa"/>
          <w:left w:w="0" w:type="dxa"/>
          <w:bottom w:w="0" w:type="dxa"/>
          <w:right w:w="0" w:type="dxa"/>
        </w:tblCellMar>
      </w:tblPr>
      <w:tr>
        <w:trPr>
          <w:trHeight w:val="264"/>
        </w:trPr>
        <w:tc>
          <w:tcPr>
            <w:tcW w:w="12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Date Issued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23"/>
                <w:szCs w:val="23"/>
                <w:color w:val="auto"/>
              </w:rPr>
            </w:pP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23"/>
                <w:szCs w:val="23"/>
                <w:b w:val="1"/>
                <w:bCs w:val="1"/>
                <w:color w:val="auto"/>
                <w:vertAlign w:val="superscript"/>
              </w:rPr>
              <w:t>(1)</w:t>
            </w:r>
          </w:p>
        </w:tc>
        <w:tc>
          <w:tcPr>
            <w:tcW w:w="300" w:type="dxa"/>
            <w:vAlign w:val="bottom"/>
          </w:tcPr>
          <w:p>
            <w:pPr>
              <w:spacing w:after="0"/>
              <w:rPr>
                <w:sz w:val="23"/>
                <w:szCs w:val="23"/>
                <w:color w:val="auto"/>
              </w:rPr>
            </w:pPr>
          </w:p>
        </w:tc>
      </w:tr>
      <w:tr>
        <w:trPr>
          <w:trHeight w:val="218"/>
        </w:trPr>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May 9,</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245,393</w:t>
            </w:r>
          </w:p>
        </w:tc>
        <w:tc>
          <w:tcPr>
            <w:tcW w:w="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(2)</w:t>
            </w:r>
          </w:p>
        </w:tc>
        <w:tc>
          <w:tcPr>
            <w:tcW w:w="80" w:type="dxa"/>
            <w:vAlign w:val="bottom"/>
          </w:tcPr>
          <w:p>
            <w:pPr>
              <w:spacing w:after="0"/>
              <w:rPr>
                <w:sz w:val="18"/>
                <w:szCs w:val="18"/>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259,525</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34"/>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13,</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126,241</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93"/>
              </w:rPr>
              <w:t>(2)</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3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23"/>
        </w:trPr>
        <w:tc>
          <w:tcPr>
            <w:tcW w:w="80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4"/>
              </w:rPr>
              <w:t>Total</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371,634</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394,525</w:t>
            </w:r>
          </w:p>
        </w:tc>
        <w:tc>
          <w:tcPr>
            <w:tcW w:w="300" w:type="dxa"/>
            <w:vAlign w:val="bottom"/>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306" w:lineRule="exact"/>
        <w:rPr>
          <w:sz w:val="20"/>
          <w:szCs w:val="20"/>
          <w:color w:val="auto"/>
        </w:rPr>
      </w:pPr>
    </w:p>
    <w:p>
      <w:pPr>
        <w:ind w:left="2200" w:hanging="248"/>
        <w:spacing w:after="0"/>
        <w:tabs>
          <w:tab w:leader="none" w:pos="22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non-cash consideration was estimated to be the fair value of our restricted common stock.</w:t>
      </w:r>
    </w:p>
    <w:p>
      <w:pPr>
        <w:spacing w:after="0" w:line="15" w:lineRule="exact"/>
        <w:rPr>
          <w:rFonts w:ascii="Times New Roman" w:cs="Times New Roman" w:eastAsia="Times New Roman" w:hAnsi="Times New Roman"/>
          <w:sz w:val="18"/>
          <w:szCs w:val="18"/>
          <w:color w:val="auto"/>
        </w:rPr>
      </w:pPr>
    </w:p>
    <w:p>
      <w:pPr>
        <w:ind w:left="2200" w:hanging="248"/>
        <w:spacing w:after="0" w:line="234" w:lineRule="auto"/>
        <w:tabs>
          <w:tab w:leader="none" w:pos="22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w:t>
      </w:r>
    </w:p>
    <w:p>
      <w:pPr>
        <w:ind w:left="2200" w:hanging="248"/>
        <w:spacing w:after="0"/>
        <w:tabs>
          <w:tab w:leader="none" w:pos="22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on a cashless basis pursuant to the exercise of warrants.</w:t>
      </w:r>
    </w:p>
    <w:p>
      <w:pPr>
        <w:spacing w:after="0" w:line="205" w:lineRule="exact"/>
        <w:rPr>
          <w:rFonts w:ascii="Times New Roman" w:cs="Times New Roman" w:eastAsia="Times New Roman" w:hAnsi="Times New Roman"/>
          <w:sz w:val="18"/>
          <w:szCs w:val="18"/>
          <w:color w:val="auto"/>
        </w:rPr>
      </w:pPr>
    </w:p>
    <w:p>
      <w:pPr>
        <w:ind w:left="2020" w:hanging="959"/>
        <w:spacing w:after="0"/>
        <w:tabs>
          <w:tab w:leader="none" w:pos="2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040" w:hanging="979"/>
        <w:spacing w:after="0"/>
        <w:tabs>
          <w:tab w:leader="none" w:pos="2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Defaults Upon Senior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color w:val="auto"/>
        </w:rPr>
        <w:t>.</w:t>
      </w:r>
    </w:p>
    <w:p>
      <w:pPr>
        <w:spacing w:after="0" w:line="258" w:lineRule="exact"/>
        <w:rPr>
          <w:sz w:val="20"/>
          <w:szCs w:val="20"/>
          <w:color w:val="auto"/>
        </w:rPr>
      </w:pPr>
    </w:p>
    <w:p>
      <w:pPr>
        <w:ind w:left="700"/>
        <w:spacing w:after="0"/>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3(a)  Restated Certificate of Incorporation, as amended (incorporated by reference to Exhibit 3(a) to the Company’s Quarterly Report on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65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120"/>
        <w:spacing w:after="0"/>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10-Q for the period ended March 31, 2014 filed on May 15, 2014).</w:t>
        </w:r>
      </w:hyperlink>
    </w:p>
    <w:p>
      <w:pPr>
        <w:spacing w:after="0" w:line="246" w:lineRule="exact"/>
        <w:rPr>
          <w:sz w:val="20"/>
          <w:szCs w:val="20"/>
          <w:color w:val="auto"/>
        </w:rPr>
      </w:pPr>
    </w:p>
    <w:p>
      <w:pPr>
        <w:ind w:left="1120" w:right="340" w:hanging="439"/>
        <w:spacing w:after="0" w:line="237" w:lineRule="auto"/>
        <w:tabs>
          <w:tab w:leader="none" w:pos="11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3(b)</w:t>
        <w:tab/>
      </w:r>
      <w:hyperlink r:id="rId148">
        <w:r>
          <w:rPr>
            <w:rFonts w:ascii="Times New Roman" w:cs="Times New Roman" w:eastAsia="Times New Roman" w:hAnsi="Times New Roman"/>
            <w:sz w:val="18"/>
            <w:szCs w:val="18"/>
            <w:u w:val="single" w:color="auto"/>
            <w:color w:val="0000FF"/>
          </w:rPr>
          <w:t>By-laws, as amended (incorporated by reference to Exhibit 3(b) to the Company's Quarterly Report on Form 10-Q for the period ended</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March 31, 2025 filed on May 15,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120" w:right="360" w:hanging="519"/>
        <w:spacing w:after="0" w:line="237" w:lineRule="auto"/>
        <w:tabs>
          <w:tab w:leader="none" w:pos="1100" w:val="left"/>
        </w:tabs>
        <w:rPr>
          <w:sz w:val="20"/>
          <w:szCs w:val="20"/>
          <w:color w:val="auto"/>
        </w:rPr>
      </w:pPr>
      <w:r>
        <w:rPr>
          <w:rFonts w:ascii="Times New Roman" w:cs="Times New Roman" w:eastAsia="Times New Roman" w:hAnsi="Times New Roman"/>
          <w:sz w:val="18"/>
          <w:szCs w:val="18"/>
          <w:u w:val="single" w:color="auto"/>
          <w:color w:val="3051F2"/>
        </w:rPr>
        <w:t>31(a)</w:t>
      </w:r>
      <w:r>
        <w:rPr>
          <w:rFonts w:ascii="Times New Roman" w:cs="Times New Roman" w:eastAsia="Times New Roman" w:hAnsi="Times New Roman"/>
          <w:sz w:val="18"/>
          <w:szCs w:val="18"/>
          <w:u w:val="single" w:color="auto"/>
          <w:color w:val="0000FF"/>
        </w:rPr>
        <w:tab/>
        <w:t>Rule 13a-14(a)/15d-14(a) Certification of Principal Executive Officer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3051F2"/>
        </w:rPr>
        <w:t xml:space="preserve">31(b)  </w:t>
      </w:r>
      <w:r>
        <w:rPr>
          <w:rFonts w:ascii="Times New Roman" w:cs="Times New Roman" w:eastAsia="Times New Roman" w:hAnsi="Times New Roman"/>
          <w:sz w:val="18"/>
          <w:szCs w:val="18"/>
          <w:u w:val="single" w:color="auto"/>
          <w:color w:val="0000FF"/>
        </w:rPr>
        <w:t>Rule 13a-14(a)/15d-14(a) Certification of Principal Financial Officer as adopted pursuant to Section 302 of the Sarbanes-Oxley Act of 2002</w:t>
      </w:r>
    </w:p>
    <w:p>
      <w:pPr>
        <w:spacing w:after="0" w:line="212" w:lineRule="exact"/>
        <w:rPr>
          <w:sz w:val="20"/>
          <w:szCs w:val="20"/>
          <w:color w:val="auto"/>
        </w:rPr>
      </w:pPr>
    </w:p>
    <w:p>
      <w:pPr>
        <w:ind w:left="1120" w:right="320" w:hanging="419"/>
        <w:spacing w:after="0" w:line="237" w:lineRule="auto"/>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32+</w:t>
      </w:r>
      <w:r>
        <w:rPr>
          <w:rFonts w:ascii="Times New Roman" w:cs="Times New Roman" w:eastAsia="Times New Roman" w:hAnsi="Times New Roman"/>
          <w:sz w:val="18"/>
          <w:szCs w:val="18"/>
          <w:u w:val="single" w:color="auto"/>
          <w:color w:val="3051F2"/>
        </w:rPr>
        <w:tab/>
        <w:t>Certification of Principal Executive Officer and Principal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60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101.INS  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101.SCH  101.SCH XBRL Taxonomy Extension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101.CAL  101.CAL XBRL Taxonomy Extension Calculation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101.DEF  101.DEF 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101.LAB  101.LAB 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101.PRE  101.PRE XBRL Taxonomy Extension Presentation Linkbase.</w:t>
      </w:r>
    </w:p>
    <w:p>
      <w:pPr>
        <w:spacing w:after="0" w:line="306" w:lineRule="exact"/>
        <w:rPr>
          <w:sz w:val="20"/>
          <w:szCs w:val="20"/>
          <w:color w:val="auto"/>
        </w:rPr>
      </w:pPr>
    </w:p>
    <w:p>
      <w:pPr>
        <w:ind w:left="1120" w:right="340" w:hanging="232"/>
        <w:spacing w:after="0" w:line="231" w:lineRule="auto"/>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will not be deemed “filed” for purposes of Section 18 of the Securities Exchange Act of 1934, as amended, or otherwise subject to the liability of that section. Such exhibit shall not be deemed incorporated into any filing under the Securities Act of 1933, as amended, or the Securities Act of 1934, as amended.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KINGSTONE COMPANIES, INC.</w:t>
      </w:r>
    </w:p>
    <w:p>
      <w:pPr>
        <w:spacing w:after="0" w:line="324" w:lineRule="exact"/>
        <w:rPr>
          <w:sz w:val="20"/>
          <w:szCs w:val="20"/>
          <w:color w:val="auto"/>
        </w:rPr>
      </w:pPr>
    </w:p>
    <w:p>
      <w:pPr>
        <w:ind w:left="20"/>
        <w:spacing w:after="0"/>
        <w:tabs>
          <w:tab w:leader="none" w:pos="5440" w:val="left"/>
          <w:tab w:leader="none" w:pos="5900" w:val="left"/>
        </w:tabs>
        <w:rPr>
          <w:sz w:val="20"/>
          <w:szCs w:val="20"/>
          <w:color w:val="auto"/>
        </w:rPr>
      </w:pPr>
      <w:r>
        <w:rPr>
          <w:rFonts w:ascii="Times New Roman" w:cs="Times New Roman" w:eastAsia="Times New Roman" w:hAnsi="Times New Roman"/>
          <w:sz w:val="18"/>
          <w:szCs w:val="18"/>
          <w:color w:val="auto"/>
        </w:rPr>
        <w:t>Dated: August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Meryl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4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Meryl Golden</w:t>
      </w:r>
    </w:p>
    <w:p>
      <w:pPr>
        <w:spacing w:after="0" w:line="5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0" w:lineRule="exact"/>
        <w:rPr>
          <w:sz w:val="20"/>
          <w:szCs w:val="20"/>
          <w:color w:val="auto"/>
        </w:rPr>
      </w:pPr>
    </w:p>
    <w:p>
      <w:pPr>
        <w:ind w:left="20"/>
        <w:spacing w:after="0"/>
        <w:tabs>
          <w:tab w:leader="none" w:pos="5440" w:val="left"/>
          <w:tab w:leader="none" w:pos="5900" w:val="left"/>
        </w:tabs>
        <w:rPr>
          <w:sz w:val="20"/>
          <w:szCs w:val="20"/>
          <w:color w:val="auto"/>
        </w:rPr>
      </w:pPr>
      <w:r>
        <w:rPr>
          <w:rFonts w:ascii="Times New Roman" w:cs="Times New Roman" w:eastAsia="Times New Roman" w:hAnsi="Times New Roman"/>
          <w:sz w:val="18"/>
          <w:szCs w:val="18"/>
          <w:color w:val="auto"/>
        </w:rPr>
        <w:t>Dated: August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4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Victor Brodsky</w:t>
      </w:r>
    </w:p>
    <w:p>
      <w:pPr>
        <w:spacing w:after="0" w:line="5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19"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Meryl Golden, certify that:</w:t>
      </w:r>
    </w:p>
    <w:p>
      <w:pPr>
        <w:spacing w:after="0" w:line="225" w:lineRule="exact"/>
        <w:rPr>
          <w:sz w:val="20"/>
          <w:szCs w:val="20"/>
          <w:color w:val="auto"/>
        </w:rPr>
      </w:pPr>
    </w:p>
    <w:p>
      <w:pPr>
        <w:ind w:left="1060" w:hanging="1052"/>
        <w:spacing w:after="0"/>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Kingstone Companies, Inc.;</w:t>
      </w:r>
    </w:p>
    <w:p>
      <w:pPr>
        <w:spacing w:after="0" w:line="225" w:lineRule="exact"/>
        <w:rPr>
          <w:rFonts w:ascii="Times New Roman" w:cs="Times New Roman" w:eastAsia="Times New Roman" w:hAnsi="Times New Roman"/>
          <w:sz w:val="18"/>
          <w:szCs w:val="18"/>
          <w:color w:val="auto"/>
        </w:rPr>
      </w:pPr>
    </w:p>
    <w:p>
      <w:pPr>
        <w:ind w:left="1060" w:right="180" w:hanging="1052"/>
        <w:spacing w:after="0" w:line="266" w:lineRule="auto"/>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60" w:right="460" w:hanging="1052"/>
        <w:spacing w:after="0" w:line="312" w:lineRule="auto"/>
        <w:tabs>
          <w:tab w:leader="none" w:pos="10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060" w:right="80" w:hanging="1052"/>
        <w:spacing w:after="0" w:line="266" w:lineRule="auto"/>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140" w:hanging="1060"/>
        <w:spacing w:after="0" w:line="266" w:lineRule="auto"/>
        <w:tabs>
          <w:tab w:leader="none" w:pos="2137"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140" w:right="40" w:hanging="1060"/>
        <w:spacing w:after="0" w:line="266" w:lineRule="auto"/>
        <w:tabs>
          <w:tab w:leader="none" w:pos="2134"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2140" w:right="120" w:hanging="1060"/>
        <w:spacing w:after="0" w:line="266" w:lineRule="auto"/>
        <w:tabs>
          <w:tab w:leader="none" w:pos="2137"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140" w:right="140" w:hanging="1060"/>
        <w:spacing w:after="0" w:line="266" w:lineRule="auto"/>
        <w:tabs>
          <w:tab w:leader="none" w:pos="2134"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60" w:right="40" w:hanging="1052"/>
        <w:spacing w:after="0" w:line="312" w:lineRule="auto"/>
        <w:tabs>
          <w:tab w:leader="none" w:pos="10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2120" w:right="400" w:hanging="1059"/>
        <w:spacing w:after="0" w:line="266" w:lineRule="auto"/>
        <w:tabs>
          <w:tab w:leader="none" w:pos="211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120" w:right="780" w:hanging="1059"/>
        <w:spacing w:after="0" w:line="282" w:lineRule="auto"/>
        <w:tabs>
          <w:tab w:leader="none" w:pos="211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14, 2025</w:t>
      </w:r>
    </w:p>
    <w:p>
      <w:pPr>
        <w:spacing w:after="0" w:line="5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Meryl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26035</wp:posOffset>
            </wp:positionV>
            <wp:extent cx="25203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4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Meryl Golden</w:t>
      </w:r>
    </w:p>
    <w:p>
      <w:pPr>
        <w:spacing w:after="0" w:line="5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Meryl Golden, certify that:</w:t>
      </w:r>
    </w:p>
    <w:p>
      <w:pPr>
        <w:spacing w:after="0" w:line="225" w:lineRule="exact"/>
        <w:rPr>
          <w:sz w:val="20"/>
          <w:szCs w:val="20"/>
          <w:color w:val="auto"/>
        </w:rPr>
      </w:pPr>
    </w:p>
    <w:p>
      <w:pPr>
        <w:ind w:left="1060" w:hanging="1052"/>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Kingstone Companies, Inc.;</w:t>
      </w:r>
    </w:p>
    <w:p>
      <w:pPr>
        <w:spacing w:after="0" w:line="225" w:lineRule="exact"/>
        <w:rPr>
          <w:rFonts w:ascii="Times New Roman" w:cs="Times New Roman" w:eastAsia="Times New Roman" w:hAnsi="Times New Roman"/>
          <w:sz w:val="18"/>
          <w:szCs w:val="18"/>
          <w:color w:val="auto"/>
        </w:rPr>
      </w:pPr>
    </w:p>
    <w:p>
      <w:pPr>
        <w:ind w:left="1060" w:right="180" w:hanging="1052"/>
        <w:spacing w:after="0" w:line="266" w:lineRule="auto"/>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60" w:right="460" w:hanging="1052"/>
        <w:spacing w:after="0" w:line="312" w:lineRule="auto"/>
        <w:tabs>
          <w:tab w:leader="none" w:pos="10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060" w:right="80" w:hanging="1052"/>
        <w:spacing w:after="0" w:line="266" w:lineRule="auto"/>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120" w:right="20" w:hanging="1059"/>
        <w:spacing w:after="0" w:line="266" w:lineRule="auto"/>
        <w:tabs>
          <w:tab w:leader="none" w:pos="211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120" w:right="60" w:hanging="1059"/>
        <w:spacing w:after="0" w:line="266" w:lineRule="auto"/>
        <w:tabs>
          <w:tab w:leader="none" w:pos="211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2120" w:right="140" w:hanging="1059"/>
        <w:spacing w:after="0" w:line="266" w:lineRule="auto"/>
        <w:tabs>
          <w:tab w:leader="none" w:pos="211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120" w:right="160" w:hanging="1059"/>
        <w:spacing w:after="0" w:line="266" w:lineRule="auto"/>
        <w:tabs>
          <w:tab w:leader="none" w:pos="211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60" w:right="40" w:hanging="1052"/>
        <w:spacing w:after="0" w:line="312" w:lineRule="auto"/>
        <w:tabs>
          <w:tab w:leader="none" w:pos="10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2120" w:right="400" w:hanging="1059"/>
        <w:spacing w:after="0" w:line="266" w:lineRule="auto"/>
        <w:tabs>
          <w:tab w:leader="none" w:pos="211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120" w:right="780" w:hanging="1059"/>
        <w:spacing w:after="0" w:line="282" w:lineRule="auto"/>
        <w:tabs>
          <w:tab w:leader="none" w:pos="211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14, 2025</w:t>
      </w:r>
    </w:p>
    <w:p>
      <w:pPr>
        <w:spacing w:after="0" w:line="5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Meryl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26035</wp:posOffset>
            </wp:positionV>
            <wp:extent cx="25203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Meryl Golden</w:t>
      </w:r>
    </w:p>
    <w:p>
      <w:pPr>
        <w:ind w:left="59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43"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The undersigned hereby certify, pursuant to, and as required by, 18 U.S.C. Section 1350, as adopted pursuant to Section 906 of the Sarbanes-Oxley Act of 2002, that the Quarterly Report of Kingstone Companies, Inc. (the “Company”) on Form 10-Q for the period ended June 30, 2025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234"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Dated: August 14, 2025</w:t>
      </w:r>
      <w:r>
        <w:rPr>
          <w:sz w:val="20"/>
          <w:szCs w:val="20"/>
          <w:color w:val="auto"/>
        </w:rPr>
        <w:tab/>
      </w:r>
      <w:r>
        <w:rPr>
          <w:rFonts w:ascii="Times New Roman" w:cs="Times New Roman" w:eastAsia="Times New Roman" w:hAnsi="Times New Roman"/>
          <w:sz w:val="18"/>
          <w:szCs w:val="18"/>
          <w:color w:val="auto"/>
        </w:rPr>
        <w:t>/s/ Meryl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26035</wp:posOffset>
            </wp:positionV>
            <wp:extent cx="27260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Meryl Golden</w:t>
      </w:r>
    </w:p>
    <w:p>
      <w:pPr>
        <w:spacing w:after="0" w:line="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Meryl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26035</wp:posOffset>
            </wp:positionV>
            <wp:extent cx="27260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Meryl Golden</w:t>
      </w:r>
    </w:p>
    <w:p>
      <w:pPr>
        <w:spacing w:after="0" w:line="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x"/>
      <w:numFmt w:val="bullet"/>
      <w:start w:val="1"/>
    </w:lvl>
  </w:abstractNum>
  <w:abstractNum w:abstractNumId="1">
    <w:nsid w:val="7C83E458"/>
    <w:multiLevelType w:val="hybridMultilevel"/>
    <w:lvl w:ilvl="0">
      <w:lvlJc w:val="left"/>
      <w:lvlText w:val="o"/>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lowerRoman"/>
      <w:start w:val="10"/>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upperLetter"/>
      <w:start w:val="1"/>
    </w:lvl>
  </w:abstractNum>
  <w:abstractNum w:abstractNumId="10">
    <w:nsid w:val="6763845E"/>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11">
    <w:nsid w:val="75A2A8D4"/>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12">
    <w:nsid w:val="8EDBDAB"/>
    <w:multiLevelType w:val="hybridMultilevel"/>
    <w:lvl w:ilvl="0">
      <w:lvlJc w:val="left"/>
      <w:lvlText w:val="%1."/>
      <w:numFmt w:val="decimal"/>
      <w:start w:val="4"/>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lowerRoman"/>
      <w:start w:val="1"/>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lowerLetter"/>
      <w:start w:val="1"/>
    </w:lvl>
    <w:lvl w:ilvl="1">
      <w:lvlJc w:val="left"/>
      <w:lvlText w:val="(%2)"/>
      <w:numFmt w:val="decimal"/>
      <w:start w:val="1"/>
    </w:lvl>
  </w:abstractNum>
  <w:abstractNum w:abstractNumId="32">
    <w:nsid w:val="419AC241"/>
    <w:multiLevelType w:val="hybridMultilevel"/>
    <w:lvl w:ilvl="0">
      <w:lvlJc w:val="left"/>
      <w:lvlText w:val="(%1)"/>
      <w:numFmt w:val="lowerLetter"/>
      <w:start w:val="2"/>
    </w:lvl>
    <w:lvl w:ilvl="1">
      <w:lvlJc w:val="left"/>
      <w:lvlText w:val="%2"/>
      <w:numFmt w:val="decimal"/>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7"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46" Type="http://schemas.openxmlformats.org/officeDocument/2006/relationships/hyperlink" Target="http://www.sec.gov/Archives/edgar/data/33992/000135448814002619/kins_ex3a.htm" TargetMode="External"/><Relationship Id="rId148" Type="http://schemas.openxmlformats.org/officeDocument/2006/relationships/hyperlink" Target="http://www.sec.gov/Archives/edgar/data/33992/000003399225000017/exhibit3bby-lawsasamend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2025-08-14T14:48:41Z</dcterms:created>
  <dcterms:modified xsi:type="dcterms:W3CDTF">2025-08-14T14:48:41Z</dcterms:modified>
</cp:coreProperties>
</file>