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8" w:lineRule="auto"/>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rFonts w:ascii="MS PGothic" w:cs="MS PGothic" w:eastAsia="MS PGothic" w:hAnsi="MS PGothic"/>
          <w:sz w:val="16"/>
          <w:szCs w:val="16"/>
          <w:color w:val="auto"/>
        </w:rPr>
      </w:pPr>
    </w:p>
    <w:p>
      <w:pPr>
        <w:ind w:left="36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transition period from _________to _________</w:t>
      </w:r>
    </w:p>
    <w:p>
      <w:pPr>
        <w:spacing w:after="0" w:line="22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0-1665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693" w:right="239" w:bottom="1440" w:gutter="0" w:footer="0" w:header="0"/>
        </w:sectPr>
      </w:pP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36-2476480</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EmployerIdentification Number)</w:t>
      </w:r>
    </w:p>
    <w:p>
      <w:pPr>
        <w:spacing w:after="0" w:line="200" w:lineRule="exact"/>
        <w:rPr>
          <w:sz w:val="24"/>
          <w:szCs w:val="24"/>
          <w:color w:val="auto"/>
        </w:rPr>
      </w:pPr>
    </w:p>
    <w:p>
      <w:pPr>
        <w:sectPr>
          <w:pgSz w:w="11900" w:h="16838" w:orient="portrait"/>
          <w:cols w:equalWidth="0" w:num="2">
            <w:col w:w="6460" w:space="720"/>
            <w:col w:w="4240"/>
          </w:cols>
          <w:pgMar w:left="240" w:top="693" w:right="2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 Joys Lane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Kingston, NY 12401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(845) 802-7900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5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18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336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9, 2018, there were 10,667,577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line="176" w:lineRule="exact"/>
              <w:rPr>
                <w:sz w:val="20"/>
                <w:szCs w:val="20"/>
                <w:color w:val="auto"/>
              </w:rPr>
            </w:pPr>
            <w:r>
              <w:rPr>
                <w:rFonts w:ascii="Arial" w:cs="Arial" w:eastAsia="Arial" w:hAnsi="Arial"/>
                <w:sz w:val="18"/>
                <w:szCs w:val="18"/>
                <w:color w:val="auto"/>
              </w:rPr>
              <w:t>Item 1 —</w:t>
            </w:r>
          </w:p>
        </w:tc>
        <w:tc>
          <w:tcPr>
            <w:tcW w:w="912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00" w:type="dxa"/>
            <w:vAlign w:val="bottom"/>
          </w:tcPr>
          <w:p>
            <w:pPr>
              <w:jc w:val="right"/>
              <w:ind w:right="12"/>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at March 31, 2018 (Unaudited) and December 31, 2017</w:t>
              </w:r>
            </w:hyperlink>
          </w:p>
        </w:tc>
        <w:tc>
          <w:tcPr>
            <w:tcW w:w="230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and Comprehensive Income (Loss) for the three months March 31, 2018</w:t>
              </w:r>
            </w:hyperlink>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and 2017 (Unaudited)</w:t>
              </w:r>
            </w:hyperlink>
          </w:p>
        </w:tc>
        <w:tc>
          <w:tcPr>
            <w:tcW w:w="420" w:type="dxa"/>
            <w:vAlign w:val="bottom"/>
          </w:tcPr>
          <w:p>
            <w:pPr>
              <w:spacing w:after="0"/>
              <w:rPr>
                <w:sz w:val="17"/>
                <w:szCs w:val="17"/>
                <w:color w:val="auto"/>
              </w:rPr>
            </w:pPr>
          </w:p>
        </w:tc>
        <w:tc>
          <w:tcPr>
            <w:tcW w:w="10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 of Stockholders’ Equity for the three months ended March 31, 2018 (Unaudited)</w:t>
              </w:r>
            </w:hyperlink>
          </w:p>
        </w:tc>
        <w:tc>
          <w:tcPr>
            <w:tcW w:w="100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300" w:type="dxa"/>
            <w:vAlign w:val="bottom"/>
            <w:tcBorders>
              <w:bottom w:val="single" w:sz="8" w:color="0000EE"/>
            </w:tcBorders>
            <w:gridSpan w:val="16"/>
          </w:tcPr>
          <w:p>
            <w:pPr>
              <w:spacing w:after="0" w:line="17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months ended March 31, 2018 (Unaudited) and 2017</w:t>
              </w:r>
            </w:hyperlink>
          </w:p>
        </w:tc>
        <w:tc>
          <w:tcPr>
            <w:tcW w:w="82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0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43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line="176" w:lineRule="exact"/>
              <w:rPr>
                <w:sz w:val="20"/>
                <w:szCs w:val="20"/>
                <w:color w:val="auto"/>
              </w:rPr>
            </w:pPr>
            <w:r>
              <w:rPr>
                <w:rFonts w:ascii="Arial" w:cs="Arial" w:eastAsia="Arial" w:hAnsi="Arial"/>
                <w:sz w:val="18"/>
                <w:szCs w:val="18"/>
                <w:color w:val="auto"/>
              </w:rPr>
              <w:t>Item 2 —</w:t>
            </w:r>
          </w:p>
        </w:tc>
        <w:tc>
          <w:tcPr>
            <w:tcW w:w="9120" w:type="dxa"/>
            <w:vAlign w:val="bottom"/>
            <w:gridSpan w:val="18"/>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ind w:right="12"/>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 —</w:t>
            </w:r>
          </w:p>
        </w:tc>
        <w:tc>
          <w:tcPr>
            <w:tcW w:w="42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Quantitative and Qualitative Disclosures About Market Risk</w:t>
              </w:r>
            </w:hyperlink>
          </w:p>
        </w:tc>
        <w:tc>
          <w:tcPr>
            <w:tcW w:w="486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line="176" w:lineRule="exact"/>
              <w:rPr>
                <w:sz w:val="20"/>
                <w:szCs w:val="20"/>
                <w:color w:val="auto"/>
              </w:rPr>
            </w:pPr>
            <w:r>
              <w:rPr>
                <w:rFonts w:ascii="Arial" w:cs="Arial" w:eastAsia="Arial" w:hAnsi="Arial"/>
                <w:sz w:val="18"/>
                <w:szCs w:val="18"/>
                <w:color w:val="auto"/>
              </w:rPr>
              <w:t>Item 4 —</w:t>
            </w:r>
          </w:p>
        </w:tc>
        <w:tc>
          <w:tcPr>
            <w:tcW w:w="9120" w:type="dxa"/>
            <w:vAlign w:val="bottom"/>
            <w:gridSpan w:val="1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100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 —</w:t>
            </w: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100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Item 1A —</w:t>
            </w:r>
          </w:p>
        </w:tc>
        <w:tc>
          <w:tcPr>
            <w:tcW w:w="13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782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 —</w:t>
            </w: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Item 3 —</w:t>
            </w:r>
          </w:p>
        </w:tc>
        <w:tc>
          <w:tcPr>
            <w:tcW w:w="42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488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 —</w:t>
            </w:r>
          </w:p>
        </w:tc>
        <w:tc>
          <w:tcPr>
            <w:tcW w:w="17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Mine Safety Disclosures</w:t>
              </w:r>
            </w:hyperlink>
          </w:p>
        </w:tc>
        <w:tc>
          <w:tcPr>
            <w:tcW w:w="73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line="176" w:lineRule="exact"/>
              <w:rPr>
                <w:sz w:val="20"/>
                <w:szCs w:val="20"/>
                <w:color w:val="auto"/>
              </w:rPr>
            </w:pPr>
            <w:r>
              <w:rPr>
                <w:rFonts w:ascii="Arial" w:cs="Arial" w:eastAsia="Arial" w:hAnsi="Arial"/>
                <w:sz w:val="18"/>
                <w:szCs w:val="18"/>
                <w:color w:val="auto"/>
              </w:rPr>
              <w:t>Item 5 —</w:t>
            </w:r>
          </w:p>
        </w:tc>
        <w:tc>
          <w:tcPr>
            <w:tcW w:w="9120" w:type="dxa"/>
            <w:vAlign w:val="bottom"/>
            <w:gridSpan w:val="18"/>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100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 —</w:t>
            </w: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100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Signatures</w:t>
            </w:r>
          </w:p>
        </w:tc>
        <w:tc>
          <w:tcPr>
            <w:tcW w:w="5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 3(a)</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EXHIBIT 3(b)</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EXHIBIT 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EXHIBIT 101.INS XBRL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EXHIBIT 101.CAL XBRL Taxonomy Extension Calculation Linkbase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EXHIBIT 101.LAB XBRL Taxonomy Extension Label Linkbase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2017 under “Factors That May Affect Future Results and Financial Condition.”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100" w:type="dxa"/>
            <w:vAlign w:val="bottom"/>
            <w:gridSpan w:val="5"/>
          </w:tcPr>
          <w:p>
            <w:pPr>
              <w:jc w:val="right"/>
              <w:ind w:right="1780"/>
              <w:spacing w:after="0"/>
              <w:rPr>
                <w:sz w:val="20"/>
                <w:szCs w:val="20"/>
                <w:color w:val="auto"/>
              </w:rPr>
            </w:pPr>
            <w:r>
              <w:rPr>
                <w:rFonts w:ascii="Arial" w:cs="Arial" w:eastAsia="Arial" w:hAnsi="Arial"/>
                <w:sz w:val="18"/>
                <w:szCs w:val="18"/>
                <w:b w:val="1"/>
                <w:bCs w:val="1"/>
                <w:color w:val="auto"/>
              </w:rPr>
              <w:t>PART I. FINANCIAL INFORMATION</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45"/>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tc>
        <w:tc>
          <w:tcPr>
            <w:tcW w:w="1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3"/>
        </w:trPr>
        <w:tc>
          <w:tcPr>
            <w:tcW w:w="13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60" w:type="dxa"/>
            <w:vAlign w:val="bottom"/>
            <w:gridSpan w:val="6"/>
          </w:tcPr>
          <w:p>
            <w:pPr>
              <w:jc w:val="right"/>
              <w:spacing w:after="0"/>
              <w:rPr>
                <w:sz w:val="20"/>
                <w:szCs w:val="20"/>
                <w:color w:val="auto"/>
              </w:rPr>
            </w:pPr>
            <w:r>
              <w:rPr>
                <w:rFonts w:ascii="Arial" w:cs="Arial" w:eastAsia="Arial" w:hAnsi="Arial"/>
                <w:sz w:val="18"/>
                <w:szCs w:val="18"/>
                <w:b w:val="1"/>
                <w:bCs w:val="1"/>
                <w:color w:val="auto"/>
              </w:rPr>
              <w:t>KINGSTONE COMPANIES, INC. AND SUBSIDIARIES</w:t>
            </w:r>
          </w:p>
        </w:tc>
      </w:tr>
      <w:tr>
        <w:trPr>
          <w:trHeight w:val="252"/>
        </w:trPr>
        <w:tc>
          <w:tcPr>
            <w:tcW w:w="6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33"/>
        </w:trPr>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right="193"/>
              <w:spacing w:after="0"/>
              <w:rPr>
                <w:sz w:val="20"/>
                <w:szCs w:val="20"/>
                <w:color w:val="auto"/>
              </w:rPr>
            </w:pPr>
            <w:r>
              <w:rPr>
                <w:rFonts w:ascii="Arial" w:cs="Arial" w:eastAsia="Arial" w:hAnsi="Arial"/>
                <w:sz w:val="15"/>
                <w:szCs w:val="15"/>
                <w:b w:val="1"/>
                <w:bCs w:val="1"/>
                <w:color w:val="auto"/>
                <w:w w:val="95"/>
              </w:rPr>
              <w:t>March 31,</w:t>
            </w:r>
          </w:p>
        </w:tc>
        <w:tc>
          <w:tcPr>
            <w:tcW w:w="220" w:type="dxa"/>
            <w:vAlign w:val="bottom"/>
          </w:tcPr>
          <w:p>
            <w:pPr>
              <w:spacing w:after="0"/>
              <w:rPr>
                <w:sz w:val="20"/>
                <w:szCs w:val="20"/>
                <w:color w:val="auto"/>
              </w:rPr>
            </w:pPr>
          </w:p>
        </w:tc>
        <w:tc>
          <w:tcPr>
            <w:tcW w:w="1120" w:type="dxa"/>
            <w:vAlign w:val="bottom"/>
          </w:tcPr>
          <w:p>
            <w:pPr>
              <w:jc w:val="right"/>
              <w:ind w:right="153"/>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1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33"/>
              <w:spacing w:after="0"/>
              <w:rPr>
                <w:sz w:val="20"/>
                <w:szCs w:val="20"/>
                <w:color w:val="auto"/>
              </w:rPr>
            </w:pPr>
            <w:r>
              <w:rPr>
                <w:rFonts w:ascii="Arial" w:cs="Arial" w:eastAsia="Arial" w:hAnsi="Arial"/>
                <w:sz w:val="15"/>
                <w:szCs w:val="15"/>
                <w:b w:val="1"/>
                <w:bCs w:val="1"/>
                <w:color w:val="auto"/>
                <w:w w:val="89"/>
              </w:rPr>
              <w:t>2018</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r>
      <w:tr>
        <w:trPr>
          <w:trHeight w:val="216"/>
        </w:trPr>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73"/>
              <w:spacing w:after="0"/>
              <w:rPr>
                <w:sz w:val="20"/>
                <w:szCs w:val="20"/>
                <w:color w:val="auto"/>
              </w:rPr>
            </w:pPr>
            <w:r>
              <w:rPr>
                <w:rFonts w:ascii="Arial" w:cs="Arial" w:eastAsia="Arial" w:hAnsi="Arial"/>
                <w:sz w:val="15"/>
                <w:szCs w:val="15"/>
                <w:color w:val="auto"/>
                <w:w w:val="89"/>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2"/>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Fixed-maturity securities, held-to-maturity, at amortized cost (fair value of</w:t>
            </w: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7"/>
        </w:trPr>
        <w:tc>
          <w:tcPr>
            <w:tcW w:w="6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$5,062,065 at March 31, 2018 and $5,150,076 at December 31, 2017)</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4,870,271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4,869,808</w:t>
            </w:r>
          </w:p>
        </w:tc>
      </w:tr>
      <w:tr>
        <w:trPr>
          <w:trHeight w:val="216"/>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Fixed-maturity securities, available-for-sale, at fair value (amortized cost of</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$130,912,757 at March 31, 2018 and $119,122,106 at December 31, 2017)</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1"/>
              </w:rPr>
              <w:t>129,149,201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119,988,256</w:t>
            </w:r>
          </w:p>
        </w:tc>
      </w:tr>
      <w:tr>
        <w:trPr>
          <w:trHeight w:val="216"/>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Equity securities, at fair value (cost of $16,383,342 at March 31, 2018 and</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$13,761,841 at December 31, 2017)</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16,600,485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14,286,198</w:t>
            </w:r>
          </w:p>
        </w:tc>
      </w:tr>
      <w:tr>
        <w:trPr>
          <w:trHeight w:val="223"/>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Other investments</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2,027,860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Total investments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1"/>
              </w:rPr>
              <w:t>152,647,817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139,144,262</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31,594,167</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48,381,633</w:t>
            </w: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Investment subscription receivable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2,000,000</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Premiums receivable, net</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13,065,874</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13,217,698</w:t>
            </w: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Reinsurance receivables, net</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31,895,480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28,519,130</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Deferred policy acquisition costs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15,130,213</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14,847,236</w:t>
            </w: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925,000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1,010,000</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5,132,755</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4,772,577</w:t>
            </w:r>
          </w:p>
        </w:tc>
      </w:tr>
      <w:tr>
        <w:trPr>
          <w:trHeight w:val="223"/>
        </w:trPr>
        <w:tc>
          <w:tcPr>
            <w:tcW w:w="1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4,020,364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2,655,527</w:t>
            </w:r>
          </w:p>
        </w:tc>
      </w:tr>
      <w:tr>
        <w:trPr>
          <w:trHeight w:val="216"/>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w w:val="91"/>
              </w:rPr>
              <w:t>254,411,670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5"/>
              </w:rPr>
              <w:t>254,548,063</w:t>
            </w:r>
          </w:p>
        </w:tc>
      </w:tr>
      <w:tr>
        <w:trPr>
          <w:trHeight w:val="21"/>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300" w:type="dxa"/>
            <w:vAlign w:val="bottom"/>
          </w:tcPr>
          <w:p>
            <w:pPr>
              <w:ind w:left="60"/>
              <w:spacing w:after="0"/>
              <w:rPr>
                <w:sz w:val="20"/>
                <w:szCs w:val="20"/>
                <w:color w:val="auto"/>
              </w:rPr>
            </w:pPr>
            <w:r>
              <w:rPr>
                <w:rFonts w:ascii="Arial" w:cs="Arial" w:eastAsia="Arial" w:hAnsi="Arial"/>
                <w:sz w:val="18"/>
                <w:szCs w:val="18"/>
                <w:b w:val="1"/>
                <w:bCs w:val="1"/>
                <w:color w:val="auto"/>
              </w:rPr>
              <w:t>Liabilitie</w:t>
            </w:r>
            <w:r>
              <w:rPr>
                <w:rFonts w:ascii="Arial" w:cs="Arial" w:eastAsia="Arial" w:hAnsi="Arial"/>
                <w:sz w:val="18"/>
                <w:szCs w:val="18"/>
                <w:color w:val="auto"/>
              </w:rPr>
              <w:t>s</w:t>
            </w:r>
          </w:p>
        </w:tc>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56,272,113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48,799,622</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Unearned premiums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66,654,632</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65,647,663</w:t>
            </w:r>
          </w:p>
        </w:tc>
      </w:tr>
      <w:tr>
        <w:trPr>
          <w:trHeight w:val="216"/>
        </w:trPr>
        <w:tc>
          <w:tcPr>
            <w:tcW w:w="6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Advance premiums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2,216,603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1,477,693</w:t>
            </w: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Reinsurance balances payable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3,017,734</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2,563,966</w:t>
            </w: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4,347,812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4,266,412</w:t>
            </w:r>
          </w:p>
        </w:tc>
      </w:tr>
      <w:tr>
        <w:trPr>
          <w:trHeight w:val="216"/>
        </w:trPr>
        <w:tc>
          <w:tcPr>
            <w:tcW w:w="6760" w:type="dxa"/>
            <w:vAlign w:val="bottom"/>
            <w:gridSpan w:val="4"/>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4,501,593</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7,487,654</w:t>
            </w:r>
          </w:p>
        </w:tc>
      </w:tr>
      <w:tr>
        <w:trPr>
          <w:trHeight w:val="216"/>
        </w:trPr>
        <w:tc>
          <w:tcPr>
            <w:tcW w:w="6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77,031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600,342</w:t>
            </w:r>
          </w:p>
        </w:tc>
      </w:tr>
      <w:tr>
        <w:trPr>
          <w:trHeight w:val="223"/>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Long-term debt, net</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29,163,116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29,126,965</w:t>
            </w:r>
          </w:p>
        </w:tc>
      </w:tr>
      <w:tr>
        <w:trPr>
          <w:trHeight w:val="223"/>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Total liabilitie</w:t>
            </w:r>
            <w:r>
              <w:rPr>
                <w:rFonts w:ascii="Arial" w:cs="Arial" w:eastAsia="Arial" w:hAnsi="Arial"/>
                <w:sz w:val="18"/>
                <w:szCs w:val="18"/>
                <w:color w:val="auto"/>
                <w:w w:val="99"/>
              </w:rPr>
              <w:t>s</w:t>
            </w:r>
          </w:p>
        </w:tc>
        <w:tc>
          <w:tcPr>
            <w:tcW w:w="15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1"/>
              </w:rPr>
              <w:t>166,250,634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5"/>
              </w:rPr>
              <w:t>159,970,317</w:t>
            </w:r>
          </w:p>
        </w:tc>
      </w:tr>
      <w:tr>
        <w:trPr>
          <w:trHeight w:val="216"/>
        </w:trPr>
        <w:tc>
          <w:tcPr>
            <w:tcW w:w="28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760" w:type="dxa"/>
            <w:vAlign w:val="bottom"/>
            <w:gridSpan w:val="4"/>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1"/>
              </w:rPr>
              <w:t>Common stock, $.01 par value; authorized 20,000,000 shares; issued 11,679,334 shares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760" w:type="dxa"/>
            <w:vAlign w:val="bottom"/>
            <w:gridSpan w:val="4"/>
          </w:tcPr>
          <w:p>
            <w:pPr>
              <w:ind w:left="420"/>
              <w:spacing w:after="0"/>
              <w:rPr>
                <w:sz w:val="20"/>
                <w:szCs w:val="20"/>
                <w:color w:val="auto"/>
              </w:rPr>
            </w:pPr>
            <w:r>
              <w:rPr>
                <w:rFonts w:ascii="Arial" w:cs="Arial" w:eastAsia="Arial" w:hAnsi="Arial"/>
                <w:sz w:val="18"/>
                <w:szCs w:val="18"/>
                <w:color w:val="auto"/>
              </w:rPr>
              <w:t>at March 31, 2018 and 11,618,646 at December 31, 2017; outstanding</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4"/>
              </w:rPr>
              <w:t>10,666,665 shares at March 31, 2018 and 10,631,837 shares at December 31, 2017</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116,793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116,186</w:t>
            </w:r>
          </w:p>
        </w:tc>
      </w:tr>
      <w:tr>
        <w:trPr>
          <w:trHeight w:val="216"/>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Capital in excess of par</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68,163,744</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68,380,390</w:t>
            </w:r>
          </w:p>
        </w:tc>
      </w:tr>
      <w:tr>
        <w:trPr>
          <w:trHeight w:val="216"/>
        </w:trPr>
        <w:tc>
          <w:tcPr>
            <w:tcW w:w="67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(1,391,063)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1,100,647</w:t>
            </w:r>
          </w:p>
        </w:tc>
      </w:tr>
      <w:tr>
        <w:trPr>
          <w:trHeight w:val="223"/>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23,780,755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27,152,822</w:t>
            </w:r>
          </w:p>
        </w:tc>
      </w:tr>
      <w:tr>
        <w:trPr>
          <w:trHeight w:val="216"/>
        </w:trPr>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90,670,229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96,750,045</w:t>
            </w:r>
          </w:p>
        </w:tc>
      </w:tr>
      <w:tr>
        <w:trPr>
          <w:trHeight w:val="216"/>
        </w:trPr>
        <w:tc>
          <w:tcPr>
            <w:tcW w:w="6760" w:type="dxa"/>
            <w:vAlign w:val="bottom"/>
            <w:gridSpan w:val="4"/>
          </w:tcPr>
          <w:p>
            <w:pPr>
              <w:ind w:left="260"/>
              <w:spacing w:after="0"/>
              <w:rPr>
                <w:sz w:val="20"/>
                <w:szCs w:val="20"/>
                <w:color w:val="auto"/>
              </w:rPr>
            </w:pPr>
            <w:r>
              <w:rPr>
                <w:rFonts w:ascii="Arial" w:cs="Arial" w:eastAsia="Arial" w:hAnsi="Arial"/>
                <w:sz w:val="18"/>
                <w:szCs w:val="18"/>
                <w:color w:val="auto"/>
              </w:rPr>
              <w:t>Treasury stock, at cost, 1,012,669 shares at March 31, 2018</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67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and 986,809 shares at December 31, 2017</w:t>
            </w:r>
          </w:p>
        </w:tc>
        <w:tc>
          <w:tcPr>
            <w:tcW w:w="4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(2,509,193)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(2,172,299)</w:t>
            </w:r>
          </w:p>
        </w:tc>
      </w:tr>
      <w:tr>
        <w:trPr>
          <w:trHeight w:val="223"/>
        </w:trPr>
        <w:tc>
          <w:tcPr>
            <w:tcW w:w="676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88,161,036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94,577,746</w:t>
            </w:r>
          </w:p>
        </w:tc>
      </w:tr>
      <w:tr>
        <w:trPr>
          <w:trHeight w:val="216"/>
        </w:trPr>
        <w:tc>
          <w:tcPr>
            <w:tcW w:w="2880" w:type="dxa"/>
            <w:vAlign w:val="bottom"/>
            <w:gridSpan w:val="2"/>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76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w w:val="91"/>
              </w:rPr>
              <w:t>254,411,670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5"/>
              </w:rPr>
              <w:t>254,548,063</w:t>
            </w:r>
          </w:p>
        </w:tc>
      </w:tr>
      <w:tr>
        <w:trPr>
          <w:trHeight w:val="21"/>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 w:name="page5"/>
    <w:bookmarkEnd w:id="4"/>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5"/>
                <w:szCs w:val="15"/>
                <w:i w:val="1"/>
                <w:iCs w:val="1"/>
                <w:color w:val="auto"/>
              </w:rPr>
              <w:t>Three months ended March 31,</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73"/>
              <w:spacing w:after="0" w:line="172" w:lineRule="exact"/>
              <w:rPr>
                <w:sz w:val="20"/>
                <w:szCs w:val="20"/>
                <w:color w:val="auto"/>
              </w:rPr>
            </w:pPr>
            <w:r>
              <w:rPr>
                <w:rFonts w:ascii="Arial" w:cs="Arial" w:eastAsia="Arial" w:hAnsi="Arial"/>
                <w:sz w:val="15"/>
                <w:szCs w:val="15"/>
                <w:b w:val="1"/>
                <w:bCs w:val="1"/>
                <w:color w:val="auto"/>
              </w:rPr>
              <w:t>2018</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53"/>
              <w:spacing w:after="0" w:line="172" w:lineRule="exact"/>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8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22,837,617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16,369,748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Ceding commission revenue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1,695,158</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3,184,452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1,383,989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losses on investments</w:t>
            </w:r>
          </w:p>
        </w:tc>
        <w:tc>
          <w:tcPr>
            <w:tcW w:w="3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(523,127)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308,233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289,700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25,701,870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20,647,194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17,266,330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5,799,948</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4,888,978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5,031,503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4,212,417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246,858</w:t>
            </w:r>
          </w:p>
        </w:tc>
        <w:tc>
          <w:tcPr>
            <w:tcW w:w="3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755,804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409,431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318,698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456,545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29,210,615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18,468,893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income from operations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(3,508,745)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2,178,301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(790,811)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707,721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(2,717,934)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Gross change in unrealized (losses) gains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 available-for-sale-securities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(2,873,479)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 for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included in 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243,773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unrealized (losses) 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(2,629,706)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Income tax benefit (expense) related to items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552,238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(2,077,468)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(4,795,402)</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1,852,936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(Loss) earnings per common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10,669,992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9,663,751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10,669,992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9,848,494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0.1000</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0.0625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 w:name="page6"/>
    <w:bookmarkEnd w:id="5"/>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4"/>
                <w:szCs w:val="14"/>
                <w:color w:val="auto"/>
              </w:rPr>
            </w:pPr>
          </w:p>
        </w:tc>
        <w:tc>
          <w:tcPr>
            <w:tcW w:w="760" w:type="dxa"/>
            <w:vAlign w:val="bottom"/>
          </w:tcPr>
          <w:p>
            <w:pPr>
              <w:jc w:val="center"/>
              <w:ind w:right="179"/>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2"/>
                <w:szCs w:val="12"/>
                <w:b w:val="1"/>
                <w:bCs w:val="1"/>
                <w:color w:val="auto"/>
              </w:rPr>
              <w:t>Preferred Stock</w:t>
            </w: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3"/>
                <w:szCs w:val="13"/>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82"/>
              </w:rPr>
              <w:t>in Excess</w:t>
            </w: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Comprehensive</w:t>
            </w:r>
          </w:p>
        </w:tc>
        <w:tc>
          <w:tcPr>
            <w:tcW w:w="140" w:type="dxa"/>
            <w:vAlign w:val="bottom"/>
          </w:tcPr>
          <w:p>
            <w:pPr>
              <w:spacing w:after="0"/>
              <w:rPr>
                <w:sz w:val="13"/>
                <w:szCs w:val="13"/>
                <w:color w:val="auto"/>
              </w:rPr>
            </w:pPr>
          </w:p>
        </w:tc>
        <w:tc>
          <w:tcPr>
            <w:tcW w:w="700" w:type="dxa"/>
            <w:vAlign w:val="bottom"/>
          </w:tcPr>
          <w:p>
            <w:pPr>
              <w:jc w:val="right"/>
              <w:ind w:right="139"/>
              <w:spacing w:after="0"/>
              <w:rPr>
                <w:sz w:val="20"/>
                <w:szCs w:val="20"/>
                <w:color w:val="auto"/>
              </w:rPr>
            </w:pPr>
            <w:r>
              <w:rPr>
                <w:rFonts w:ascii="Arial" w:cs="Arial" w:eastAsia="Arial" w:hAnsi="Arial"/>
                <w:sz w:val="12"/>
                <w:szCs w:val="12"/>
                <w:b w:val="1"/>
                <w:bCs w:val="1"/>
                <w:color w:val="auto"/>
                <w:w w:val="94"/>
              </w:rPr>
              <w:t>Retained</w:t>
            </w:r>
          </w:p>
        </w:tc>
        <w:tc>
          <w:tcPr>
            <w:tcW w:w="18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59"/>
              <w:spacing w:after="0" w:line="121" w:lineRule="exact"/>
              <w:rPr>
                <w:sz w:val="20"/>
                <w:szCs w:val="20"/>
                <w:color w:val="auto"/>
              </w:rPr>
            </w:pPr>
            <w:r>
              <w:rPr>
                <w:rFonts w:ascii="Arial" w:cs="Arial" w:eastAsia="Arial" w:hAnsi="Arial"/>
                <w:sz w:val="12"/>
                <w:szCs w:val="12"/>
                <w:b w:val="1"/>
                <w:bCs w:val="1"/>
                <w:color w:val="auto"/>
                <w:w w:val="90"/>
              </w:rPr>
              <w:t>Income</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w w:val="93"/>
              </w:rPr>
              <w:t>of Par</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88"/>
              </w:rPr>
              <w:t>(Loss)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93"/>
              </w:rPr>
              <w:t>Earnings</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Total</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Balance, January 1, 2018, as reported</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519"/>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11,618,646</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116,186</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w w:val="99"/>
              </w:rPr>
              <w:t>68,380,390</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99"/>
              <w:spacing w:after="0" w:line="135" w:lineRule="exact"/>
              <w:rPr>
                <w:sz w:val="20"/>
                <w:szCs w:val="20"/>
                <w:color w:val="auto"/>
              </w:rPr>
            </w:pPr>
            <w:r>
              <w:rPr>
                <w:rFonts w:ascii="Arial" w:cs="Arial" w:eastAsia="Arial" w:hAnsi="Arial"/>
                <w:sz w:val="12"/>
                <w:szCs w:val="12"/>
                <w:color w:val="auto"/>
              </w:rPr>
              <w:t>1,100,647</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w w:val="99"/>
              </w:rPr>
              <w:t>27,152,822</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986,809</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(2,172,299)</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w w:val="96"/>
              </w:rPr>
              <w:t>94,577,746</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Cumulative effect of adoption of updated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accounting guidance for equity</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2"/>
                <w:szCs w:val="12"/>
                <w:color w:val="auto"/>
                <w:w w:val="98"/>
              </w:rPr>
              <w:t>financial instruments at January 1, 2018</w:t>
            </w: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2"/>
                <w:szCs w:val="12"/>
                <w:color w:val="auto"/>
              </w:rPr>
              <w:t>(414,242)</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
              <w:spacing w:after="0" w:line="135" w:lineRule="exact"/>
              <w:rPr>
                <w:sz w:val="20"/>
                <w:szCs w:val="20"/>
                <w:color w:val="auto"/>
              </w:rPr>
            </w:pPr>
            <w:r>
              <w:rPr>
                <w:rFonts w:ascii="Arial" w:cs="Arial" w:eastAsia="Arial" w:hAnsi="Arial"/>
                <w:sz w:val="12"/>
                <w:szCs w:val="12"/>
                <w:color w:val="auto"/>
              </w:rPr>
              <w:t>414,242</w:t>
            </w:r>
          </w:p>
        </w:tc>
        <w:tc>
          <w:tcPr>
            <w:tcW w:w="92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Balance, January 1, 2018, as adjusted</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11,618,646</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116,186</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w w:val="99"/>
              </w:rPr>
              <w:t>68,380,390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99"/>
              <w:spacing w:after="0" w:line="135" w:lineRule="exact"/>
              <w:rPr>
                <w:sz w:val="20"/>
                <w:szCs w:val="20"/>
                <w:color w:val="auto"/>
              </w:rPr>
            </w:pPr>
            <w:r>
              <w:rPr>
                <w:rFonts w:ascii="Arial" w:cs="Arial" w:eastAsia="Arial" w:hAnsi="Arial"/>
                <w:sz w:val="12"/>
                <w:szCs w:val="12"/>
                <w:color w:val="auto"/>
              </w:rPr>
              <w:t>686,405</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w w:val="99"/>
              </w:rPr>
              <w:t>27,567,064</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986,809</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(2,172,299)</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w w:val="96"/>
              </w:rPr>
              <w:t>94,577,746</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2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80" w:type="dxa"/>
            <w:vAlign w:val="bottom"/>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108,368</w:t>
            </w:r>
          </w:p>
        </w:tc>
        <w:tc>
          <w:tcPr>
            <w:tcW w:w="180" w:type="dxa"/>
            <w:vAlign w:val="bottom"/>
          </w:tcPr>
          <w:p>
            <w:pPr>
              <w:spacing w:after="0"/>
              <w:rPr>
                <w:sz w:val="11"/>
                <w:szCs w:val="11"/>
                <w:color w:val="auto"/>
              </w:rPr>
            </w:pPr>
          </w:p>
        </w:tc>
        <w:tc>
          <w:tcPr>
            <w:tcW w:w="760" w:type="dxa"/>
            <w:vAlign w:val="bottom"/>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108,368</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Shares deducted from exercise of stock</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options for payment of withholding taxes</w:t>
            </w:r>
          </w:p>
        </w:tc>
        <w:tc>
          <w:tcPr>
            <w:tcW w:w="2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80" w:type="dxa"/>
            <w:vAlign w:val="bottom"/>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9"/>
              <w:spacing w:after="0" w:line="135" w:lineRule="exact"/>
              <w:rPr>
                <w:sz w:val="20"/>
                <w:szCs w:val="20"/>
                <w:color w:val="auto"/>
              </w:rPr>
            </w:pPr>
            <w:r>
              <w:rPr>
                <w:rFonts w:ascii="Arial" w:cs="Arial" w:eastAsia="Arial" w:hAnsi="Arial"/>
                <w:sz w:val="12"/>
                <w:szCs w:val="12"/>
                <w:color w:val="auto"/>
              </w:rPr>
              <w:t>(15,750)</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(158)</w:t>
            </w:r>
          </w:p>
        </w:tc>
        <w:tc>
          <w:tcPr>
            <w:tcW w:w="200" w:type="dxa"/>
            <w:vAlign w:val="bottom"/>
          </w:tcPr>
          <w:p>
            <w:pPr>
              <w:spacing w:after="0"/>
              <w:rPr>
                <w:sz w:val="11"/>
                <w:szCs w:val="11"/>
                <w:color w:val="auto"/>
              </w:rPr>
            </w:pPr>
          </w:p>
        </w:tc>
        <w:tc>
          <w:tcPr>
            <w:tcW w:w="740" w:type="dxa"/>
            <w:vAlign w:val="bottom"/>
          </w:tcPr>
          <w:p>
            <w:pPr>
              <w:jc w:val="right"/>
              <w:ind w:right="19"/>
              <w:spacing w:after="0" w:line="135" w:lineRule="exact"/>
              <w:rPr>
                <w:sz w:val="20"/>
                <w:szCs w:val="20"/>
                <w:color w:val="auto"/>
              </w:rPr>
            </w:pPr>
            <w:r>
              <w:rPr>
                <w:rFonts w:ascii="Arial" w:cs="Arial" w:eastAsia="Arial" w:hAnsi="Arial"/>
                <w:sz w:val="12"/>
                <w:szCs w:val="12"/>
                <w:color w:val="auto"/>
              </w:rPr>
              <w:t>(341,612)</w:t>
            </w:r>
          </w:p>
        </w:tc>
        <w:tc>
          <w:tcPr>
            <w:tcW w:w="180" w:type="dxa"/>
            <w:vAlign w:val="bottom"/>
          </w:tcPr>
          <w:p>
            <w:pPr>
              <w:spacing w:after="0"/>
              <w:rPr>
                <w:sz w:val="11"/>
                <w:szCs w:val="11"/>
                <w:color w:val="auto"/>
              </w:rPr>
            </w:pPr>
          </w:p>
        </w:tc>
        <w:tc>
          <w:tcPr>
            <w:tcW w:w="760" w:type="dxa"/>
            <w:vAlign w:val="bottom"/>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(341,770)</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Vesting of restricted stock awards</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7,180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72</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(72)</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Shares deducted from restricted stock</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rPr>
              <w:t>awards for payment of withholding taxes</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(618)</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(12,205)</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(12,214)</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Exercise of stock options</w:t>
            </w:r>
          </w:p>
        </w:tc>
        <w:tc>
          <w:tcPr>
            <w:tcW w:w="2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80" w:type="dxa"/>
            <w:vAlign w:val="bottom"/>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69,876</w:t>
            </w:r>
          </w:p>
        </w:tc>
        <w:tc>
          <w:tcPr>
            <w:tcW w:w="180" w:type="dxa"/>
            <w:vAlign w:val="bottom"/>
          </w:tcPr>
          <w:p>
            <w:pPr>
              <w:spacing w:after="0"/>
              <w:rPr>
                <w:sz w:val="11"/>
                <w:szCs w:val="11"/>
                <w:color w:val="auto"/>
              </w:rPr>
            </w:pPr>
          </w:p>
        </w:tc>
        <w:tc>
          <w:tcPr>
            <w:tcW w:w="7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702</w:t>
            </w:r>
          </w:p>
        </w:tc>
        <w:tc>
          <w:tcPr>
            <w:tcW w:w="200" w:type="dxa"/>
            <w:vAlign w:val="bottom"/>
          </w:tcPr>
          <w:p>
            <w:pPr>
              <w:spacing w:after="0"/>
              <w:rPr>
                <w:sz w:val="11"/>
                <w:szCs w:val="11"/>
                <w:color w:val="auto"/>
              </w:rPr>
            </w:pPr>
          </w:p>
        </w:tc>
        <w:tc>
          <w:tcPr>
            <w:tcW w:w="7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28,875</w:t>
            </w:r>
          </w:p>
        </w:tc>
        <w:tc>
          <w:tcPr>
            <w:tcW w:w="180" w:type="dxa"/>
            <w:vAlign w:val="bottom"/>
          </w:tcPr>
          <w:p>
            <w:pPr>
              <w:spacing w:after="0"/>
              <w:rPr>
                <w:sz w:val="11"/>
                <w:szCs w:val="11"/>
                <w:color w:val="auto"/>
              </w:rPr>
            </w:pPr>
          </w:p>
        </w:tc>
        <w:tc>
          <w:tcPr>
            <w:tcW w:w="760" w:type="dxa"/>
            <w:vAlign w:val="bottom"/>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29,577</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Acquisition of treasury stock</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25,860</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(336,894)</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(336,894)</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Dividends</w:t>
            </w:r>
          </w:p>
        </w:tc>
        <w:tc>
          <w:tcPr>
            <w:tcW w:w="2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80" w:type="dxa"/>
            <w:vAlign w:val="bottom"/>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40" w:type="dxa"/>
            <w:vAlign w:val="bottom"/>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60" w:type="dxa"/>
            <w:vAlign w:val="bottom"/>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(1,068,375)</w:t>
            </w:r>
          </w:p>
        </w:tc>
        <w:tc>
          <w:tcPr>
            <w:tcW w:w="92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(1,068,375)</w:t>
            </w: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2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9"/>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(2,717,934)</w:t>
            </w:r>
          </w:p>
        </w:tc>
        <w:tc>
          <w:tcPr>
            <w:tcW w:w="92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(2,717,934)</w:t>
            </w: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Change in unrealized losses on available-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shd w:val="clear" w:color="auto" w:fill="CCEEFF"/>
          </w:tcPr>
          <w:p>
            <w:pPr>
              <w:ind w:left="160"/>
              <w:spacing w:after="0" w:line="135" w:lineRule="exact"/>
              <w:rPr>
                <w:sz w:val="20"/>
                <w:szCs w:val="20"/>
                <w:color w:val="auto"/>
              </w:rPr>
            </w:pPr>
            <w:r>
              <w:rPr>
                <w:rFonts w:ascii="Arial" w:cs="Arial" w:eastAsia="Arial" w:hAnsi="Arial"/>
                <w:sz w:val="12"/>
                <w:szCs w:val="12"/>
                <w:color w:val="auto"/>
              </w:rPr>
              <w:t>for-sale securities, net of tax</w:t>
            </w:r>
          </w:p>
        </w:tc>
        <w:tc>
          <w:tcPr>
            <w:tcW w:w="7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39"/>
              <w:spacing w:after="0" w:line="135"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(2,077,468)</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(2,077,468)</w:t>
            </w:r>
          </w:p>
        </w:tc>
      </w:tr>
      <w:tr>
        <w:trPr>
          <w:trHeight w:val="189"/>
        </w:trPr>
        <w:tc>
          <w:tcPr>
            <w:tcW w:w="3020" w:type="dxa"/>
            <w:vAlign w:val="bottom"/>
            <w:gridSpan w:val="3"/>
          </w:tcPr>
          <w:p>
            <w:pPr>
              <w:spacing w:after="0"/>
              <w:rPr>
                <w:sz w:val="20"/>
                <w:szCs w:val="20"/>
                <w:color w:val="auto"/>
              </w:rPr>
            </w:pPr>
            <w:r>
              <w:rPr>
                <w:rFonts w:ascii="Arial" w:cs="Arial" w:eastAsia="Arial" w:hAnsi="Arial"/>
                <w:sz w:val="12"/>
                <w:szCs w:val="12"/>
                <w:color w:val="auto"/>
              </w:rPr>
              <w:t>Balance, March 31, 2018</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19"/>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11,679,334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116,793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68,163,744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(1,391,063)</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w w:val="99"/>
              </w:rPr>
              <w:t>23,780,755</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1,012,669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(2,509,193)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w w:val="96"/>
              </w:rPr>
              <w:t>88,161,036</w:t>
            </w: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 w:name="page7"/>
    <w:bookmarkEnd w:id="6"/>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Three months ended March 31,</w:t>
            </w: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(2,717,934)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1,470,580</w:t>
            </w:r>
          </w:p>
        </w:tc>
      </w:tr>
      <w:tr>
        <w:trPr>
          <w:trHeight w:val="242"/>
        </w:trPr>
        <w:tc>
          <w:tcPr>
            <w:tcW w:w="8700" w:type="dxa"/>
            <w:vAlign w:val="bottom"/>
          </w:tcPr>
          <w:p>
            <w:pPr>
              <w:ind w:left="60"/>
              <w:spacing w:after="0"/>
              <w:rPr>
                <w:sz w:val="20"/>
                <w:szCs w:val="20"/>
                <w:color w:val="auto"/>
              </w:rPr>
            </w:pPr>
            <w:r>
              <w:rPr>
                <w:rFonts w:ascii="Arial" w:cs="Arial" w:eastAsia="Arial" w:hAnsi="Arial"/>
                <w:sz w:val="18"/>
                <w:szCs w:val="18"/>
                <w:color w:val="auto"/>
              </w:rPr>
              <w:t>Adjustments to reconcile net (loss) income to net cash flows provided by operating activities: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on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523,127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54,506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409,431</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318,698</w:t>
            </w: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bond premium,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118,841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124,054</w:t>
            </w: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Amortization of discount on issuance costs on long-term debt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36,151</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108,368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59,055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28,927</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32,504</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decrease in operating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Premiums receivable, net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151,824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(79,045)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receivables,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(3,376,350)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(1,304,877)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(282,977)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(228,195)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(1,386,512)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11,563</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Increase (decrease) in operating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7,472,491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2,874,867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1,006,969</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327,923</w:t>
            </w: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 premiums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738,910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543,896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453,768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(37,570)</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81,400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(78,984)</w:t>
            </w:r>
          </w:p>
        </w:tc>
      </w:tr>
      <w:tr>
        <w:trPr>
          <w:trHeight w:val="223"/>
        </w:trPr>
        <w:tc>
          <w:tcPr>
            <w:tcW w:w="87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(2,986,061)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(2,032,832)</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380,373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2,056,143</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Purchase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w w:val="94"/>
              </w:rPr>
              <w:t>(20,018,600)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(22,811,402)</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 equity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(6,004,614)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 and redemption - fixed-maturity securities held-to-maturity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200,000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Sale or maturity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7,891,145</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2,706,202</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 - equity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3,378,515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132,091</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fixed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(684,609)</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(597,761)</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cash flows used in investing activitie</w:t>
            </w:r>
            <w:r>
              <w:rPr>
                <w:rFonts w:ascii="Arial" w:cs="Arial" w:eastAsia="Arial" w:hAnsi="Arial"/>
                <w:sz w:val="18"/>
                <w:szCs w:val="18"/>
                <w:color w:val="auto"/>
              </w:rPr>
              <w: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(15,438,163)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(20,370,870)</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30,136,699</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29,577</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33,000</w:t>
            </w: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Withholding taxes paid on net exercise of stock options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(341,770)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Withholding taxes paid on vested retricted stock awards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(12,214)</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of treasury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(336,894)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(1,068,375)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(663,837)</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cash flows (used in) provided by financing activitie</w:t>
            </w:r>
            <w:r>
              <w:rPr>
                <w:rFonts w:ascii="Arial" w:cs="Arial" w:eastAsia="Arial" w:hAnsi="Arial"/>
                <w:sz w:val="18"/>
                <w:szCs w:val="18"/>
                <w:color w:val="auto"/>
              </w:rPr>
              <w: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(1,729,676)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29,505,862</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(Decrease) increase in 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(16,787,466)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11,191,135</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48,381,633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12,044,520</w:t>
            </w: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31,594,167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23,235,655</w:t>
            </w:r>
          </w:p>
        </w:tc>
      </w:tr>
      <w:tr>
        <w:trPr>
          <w:trHeight w:val="210"/>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8700" w:type="dxa"/>
            <w:vAlign w:val="bottom"/>
          </w:tcPr>
          <w:p>
            <w:pPr>
              <w:ind w:left="60"/>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line="262" w:lineRule="auto"/>
        <w:rPr>
          <w:sz w:val="20"/>
          <w:szCs w:val="20"/>
          <w:color w:val="auto"/>
        </w:rPr>
      </w:pPr>
      <w:r>
        <w:rPr>
          <w:rFonts w:ascii="Arial" w:cs="Arial" w:eastAsia="Arial" w:hAnsi="Arial"/>
          <w:sz w:val="18"/>
          <w:szCs w:val="18"/>
          <w:b w:val="1"/>
          <w:bCs w:val="1"/>
          <w:color w:val="auto"/>
        </w:rPr>
        <w:t>KINGSTONE COMPANIES, INC. AND SUBSIDIARIES NOTES TO CONDENSED CONSOLIDATED FINANCIAL STATEMENTS (Unaudited)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Massachusetts and Texas. KICO is currently offering its property and casualty insurance products in New York, New Jersey, Rhode Island and Pennsylvania. Although New Jersey and Rhode Island are now growing expansion markets for the Company, 97.2% of KICO’s direct written premiums for the three months ended March 31, 2018 were written in the State of New York. In February 2018, a homeowners rate, rule, and form filing was made with the State of Massachusetts. KICO anticipates writing business in Massachusetts in 2018.</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the instructions to Securities and Exchange Commission (“SEC”) Form 10-Q and Article 10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2017 and notes thereto included in the Company’s Annual Report on Form 10-K filed with the SEC on March 15, 2018.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ended March 31, 2018 may not be indicative of the results that may be expected for the year ending December 31,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The Company adopted ASU 2014-09 effective January 1, 2018 and it did not have a material impact on the Company’s condensed consolidated financial statements. The standard excludes from its scope the accounting for insurance contracts, financial instruments, and certain other agreements that are governed under other GAAP guidance.</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January 2016, the FASB issued ASU 2016-01 – Financial Instruments – Overall (Subtopic 825-10): Recognition and Measurement of Financial Assets and Financial Liabilities (“ASU 2016-01”). Effective January 1, 2018, the Company has adopted the provisions of ASU 2016-01. The updated guidance requires equity investments, except those accounted for under the equity method of accounting, that have readily determinable fair value to be measured at fair value with any changes in fair value recognized in net income. Equity securities that do not have readily determinable fair values may be measured at estimated fair value or cost less impairment, if any, adjusted for subsequent observable price changes, with changes in the carrying value recognized in net income. A qualitative assessment for impairment is required forequity investments without readily determinable fair values. The updated guidance also eliminates the requirement to disclose the method and significant assumptions used to estimate the fair value of financial instruments measured at amortized cost on the balance sheet. The updated guidance was effective for the quarter ended March 31, 2018. The adoption of this guidance resulted in the recognition of approximately $414,000 of net after-tax unrealized gains on equity investments as a cumulative effect adjustment that increased retained earnings as of January 1, 2018 and decreased accumulated other comprehensive income (“AOCI”) by the same amount. The Company elected to report changes in the fair value of equity investments in net losses on investments in the condensed consolidated statements of operations and comprehensive income (loss). At December 31, 2017, equity investments were classified as available-for-sale on the Company's balance sheet. However, upon adoption, the updated guidance eliminated the available-for-sale balance sheet classification for equity investments. Furthermore, the first quarter 2018 net loss on investments of approximately $523,000 in the condensed consolidated statements of operations and comprehensive income (loss) included approximately $307,000 from the fair value change of equity securities.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amendment should be applied on a prospective basis. The effective date of ASU 2017-09 is for interim and annual reporting periods, beginning after December 15, 2017. The Company adopted this ASU effective January 1, 2018 and it did not have a material impact on the Company’s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jc w:val="both"/>
        <w:spacing w:after="0" w:line="289" w:lineRule="auto"/>
        <w:rPr>
          <w:sz w:val="20"/>
          <w:szCs w:val="20"/>
          <w:color w:val="auto"/>
        </w:rPr>
      </w:pPr>
      <w:r>
        <w:rPr>
          <w:rFonts w:ascii="Arial" w:cs="Arial" w:eastAsia="Arial" w:hAnsi="Arial"/>
          <w:sz w:val="16"/>
          <w:szCs w:val="16"/>
          <w:color w:val="auto"/>
        </w:rPr>
        <w:t>In February 2018, the FASB issued ASU 2018-02 - Income Statement – Reporting Comprehensive Income (Topic 220) – Reclassification of Certain Tax Effects from Accumulated Other Comprehensive Income (“ASU 2018-02”). The deferred income tax liability for unrealized gains on available-for-sale securities that were re-measured due to the reduction in corporate income tax rates under the Tax Cuts and Jobs Act of 2017 (the “Act”) resulted in a stranded tax effect within AOCI. This is due to the effect of the tax rate change being recorded through continuing operations as required under Accounting Standards Codification 740 (“ASC 740”). The revised ASU allows for the reclassification of the stranded tax effects as a result of the Act from AOCI to retained earnings and requires certain other disclosures. Effective December 31, 2017,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FASB issued ASU 2016-02 – Leases (Topic 842) (“ASU 2016-02”).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will apply the guidance using a modified retrospective approach. Early application is permitted. The Company does not expect the adoption of ASU 2016-02 to have a significant impact on its consolidated results of operations, financial position or cash flows.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In August 2016, FASB issued ASU 2016-15 - Statement of Cash Flows (Topic 230): Classification of Certain Cash Receipts and Cash Payments (“ASU 2016-15”). The revised ASU provides accounting guidance for eight specific cash flow issues. FASB issued the standard to clarify areas where GAAP has been either unclear or lacking in specific guidance. ASU 2016-15 will be effective for the Company for interim and annual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Maturity Securities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investments in fixed-maturity securities classified as available-for-sale as of March 31, 2018 and December 31, 2017 are summarized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2"/>
                <w:szCs w:val="12"/>
                <w:b w:val="1"/>
                <w:bCs w:val="1"/>
                <w:color w:val="auto"/>
              </w:rPr>
              <w:t>March 31, 2018</w:t>
            </w: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24"/>
              <w:spacing w:after="0" w:line="121" w:lineRule="exact"/>
              <w:rPr>
                <w:sz w:val="20"/>
                <w:szCs w:val="20"/>
                <w:color w:val="auto"/>
              </w:rPr>
            </w:pPr>
            <w:r>
              <w:rPr>
                <w:rFonts w:ascii="Arial" w:cs="Arial" w:eastAsia="Arial" w:hAnsi="Arial"/>
                <w:sz w:val="12"/>
                <w:szCs w:val="12"/>
                <w:b w:val="1"/>
                <w:bCs w:val="1"/>
                <w:color w:val="auto"/>
                <w:w w:val="92"/>
              </w:rPr>
              <w:t>Net</w:t>
            </w: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13"/>
                <w:szCs w:val="13"/>
                <w:color w:val="auto"/>
              </w:rPr>
            </w:pPr>
          </w:p>
        </w:tc>
        <w:tc>
          <w:tcPr>
            <w:tcW w:w="900" w:type="dxa"/>
            <w:vAlign w:val="bottom"/>
          </w:tcPr>
          <w:p>
            <w:pPr>
              <w:jc w:val="center"/>
              <w:ind w:right="122"/>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rPr>
              <w:t>Gross Unrealized Losses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95"/>
              </w:rPr>
              <w:t>Unrealized</w:t>
            </w: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0"/>
                <w:szCs w:val="10"/>
                <w:color w:val="auto"/>
              </w:rPr>
            </w:pPr>
          </w:p>
        </w:tc>
        <w:tc>
          <w:tcPr>
            <w:tcW w:w="900" w:type="dxa"/>
            <w:vAlign w:val="bottom"/>
          </w:tcPr>
          <w:p>
            <w:pPr>
              <w:jc w:val="center"/>
              <w:ind w:right="142"/>
              <w:spacing w:after="0" w:line="121" w:lineRule="exact"/>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0"/>
                <w:szCs w:val="10"/>
                <w:color w:val="auto"/>
              </w:rPr>
            </w:pPr>
          </w:p>
        </w:tc>
        <w:tc>
          <w:tcPr>
            <w:tcW w:w="920" w:type="dxa"/>
            <w:vAlign w:val="bottom"/>
          </w:tcPr>
          <w:p>
            <w:pPr>
              <w:jc w:val="right"/>
              <w:ind w:right="184"/>
              <w:spacing w:after="0" w:line="121" w:lineRule="exact"/>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0"/>
                <w:szCs w:val="10"/>
                <w:color w:val="auto"/>
              </w:rPr>
            </w:pPr>
          </w:p>
        </w:tc>
        <w:tc>
          <w:tcPr>
            <w:tcW w:w="920" w:type="dxa"/>
            <w:vAlign w:val="bottom"/>
          </w:tcPr>
          <w:p>
            <w:pPr>
              <w:jc w:val="right"/>
              <w:ind w:right="140"/>
              <w:spacing w:after="0" w:line="121" w:lineRule="exact"/>
              <w:rPr>
                <w:sz w:val="20"/>
                <w:szCs w:val="20"/>
                <w:color w:val="auto"/>
              </w:rPr>
            </w:pPr>
            <w:r>
              <w:rPr>
                <w:rFonts w:ascii="Arial" w:cs="Arial" w:eastAsia="Arial" w:hAnsi="Arial"/>
                <w:sz w:val="12"/>
                <w:szCs w:val="12"/>
                <w:b w:val="1"/>
                <w:bCs w:val="1"/>
                <w:color w:val="auto"/>
                <w:w w:val="91"/>
              </w:rPr>
              <w:t>More than 12</w:t>
            </w:r>
          </w:p>
        </w:tc>
        <w:tc>
          <w:tcPr>
            <w:tcW w:w="11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Fair</w:t>
            </w:r>
          </w:p>
        </w:tc>
        <w:tc>
          <w:tcPr>
            <w:tcW w:w="220" w:type="dxa"/>
            <w:vAlign w:val="bottom"/>
          </w:tcPr>
          <w:p>
            <w:pPr>
              <w:spacing w:after="0"/>
              <w:rPr>
                <w:sz w:val="10"/>
                <w:szCs w:val="10"/>
                <w:color w:val="auto"/>
              </w:rPr>
            </w:pPr>
          </w:p>
        </w:tc>
        <w:tc>
          <w:tcPr>
            <w:tcW w:w="900" w:type="dxa"/>
            <w:vAlign w:val="bottom"/>
          </w:tcPr>
          <w:p>
            <w:pPr>
              <w:jc w:val="center"/>
              <w:ind w:right="124"/>
              <w:spacing w:after="0" w:line="121" w:lineRule="exact"/>
              <w:rPr>
                <w:sz w:val="20"/>
                <w:szCs w:val="20"/>
                <w:color w:val="auto"/>
              </w:rPr>
            </w:pPr>
            <w:r>
              <w:rPr>
                <w:rFonts w:ascii="Arial" w:cs="Arial" w:eastAsia="Arial" w:hAnsi="Arial"/>
                <w:sz w:val="12"/>
                <w:szCs w:val="12"/>
                <w:b w:val="1"/>
                <w:bCs w:val="1"/>
                <w:color w:val="auto"/>
                <w:w w:val="92"/>
              </w:rPr>
              <w:t>Gains/</w:t>
            </w:r>
          </w:p>
        </w:tc>
      </w:tr>
      <w:tr>
        <w:trPr>
          <w:trHeight w:val="156"/>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w w:val="85"/>
              </w:rPr>
              <w:t>(Losses</w:t>
            </w:r>
            <w:r>
              <w:rPr>
                <w:rFonts w:ascii="Arial" w:cs="Arial" w:eastAsia="Arial" w:hAnsi="Arial"/>
                <w:sz w:val="12"/>
                <w:szCs w:val="12"/>
                <w:color w:val="auto"/>
                <w:w w:val="85"/>
              </w:rPr>
              <w:t>)</w:t>
            </w:r>
          </w:p>
        </w:tc>
      </w:tr>
      <w:tr>
        <w:trPr>
          <w:trHeight w:val="48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U.S. Treasury securities and</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obligations of U.S. government</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4,964,012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(20,282)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99"/>
              </w:rPr>
              <w:t>$  4,943,730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Political subdivisions of States,</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6,591,252</w:t>
            </w:r>
          </w:p>
        </w:tc>
        <w:tc>
          <w:tcPr>
            <w:tcW w:w="24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48,955</w:t>
            </w:r>
          </w:p>
        </w:tc>
        <w:tc>
          <w:tcPr>
            <w:tcW w:w="2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8"/>
                <w:szCs w:val="18"/>
                <w:color w:val="auto"/>
              </w:rPr>
              <w:t>(84,282)</w:t>
            </w:r>
          </w:p>
        </w:tc>
        <w:tc>
          <w:tcPr>
            <w:tcW w:w="2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6,555,925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(35,327)</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Corporate and other bonds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96,910,715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189,515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89"/>
              </w:rPr>
              <w:t>(1,436,598)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(369,216)</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95,294,416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(1,616,299)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Residential mortgage and other</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asset backed securities (1)</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22,446,778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325,807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(104,872)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(312,583)</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22,355,130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(91,648)</w:t>
            </w: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130,912,757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564,277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9"/>
              </w:rPr>
              <w:t>(1,646,034)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(681,799)</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129,149,201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(1,763,556)</w:t>
            </w:r>
          </w:p>
        </w:tc>
      </w:tr>
    </w:tbl>
    <w:p>
      <w:pPr>
        <w:spacing w:after="0" w:line="208" w:lineRule="exact"/>
        <w:rPr>
          <w:sz w:val="20"/>
          <w:szCs w:val="20"/>
          <w:color w:val="auto"/>
        </w:rPr>
      </w:pPr>
    </w:p>
    <w:p>
      <w:pPr>
        <w:jc w:val="both"/>
        <w:ind w:left="340" w:hanging="332"/>
        <w:spacing w:after="0" w:line="29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relationship with the Federal Home Loan Bank of New York ("FHLBNY") (See Note 7). The eligible collateral would be pledged to FHLBNY if KICO draws an advance from the FHBLNY credit line. As of March 31, 2018, the fair value of the eligible investments was approximately $6,225,000. KICO will retain all rights regarding all securities if pledged as collateral. As of March 31, 2018, there was no outstanding balance on the credit 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December 31, 2017</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44"/>
              <w:spacing w:after="0" w:line="121" w:lineRule="exact"/>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4"/>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13"/>
                <w:szCs w:val="13"/>
                <w:color w:val="auto"/>
              </w:rPr>
            </w:pPr>
          </w:p>
        </w:tc>
        <w:tc>
          <w:tcPr>
            <w:tcW w:w="900" w:type="dxa"/>
            <w:vAlign w:val="bottom"/>
          </w:tcPr>
          <w:p>
            <w:pPr>
              <w:jc w:val="center"/>
              <w:ind w:right="122"/>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24"/>
              <w:spacing w:after="0" w:line="121" w:lineRule="exact"/>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0"/>
                <w:szCs w:val="10"/>
                <w:color w:val="auto"/>
              </w:rPr>
            </w:pPr>
          </w:p>
        </w:tc>
        <w:tc>
          <w:tcPr>
            <w:tcW w:w="900" w:type="dxa"/>
            <w:vAlign w:val="bottom"/>
          </w:tcPr>
          <w:p>
            <w:pPr>
              <w:jc w:val="center"/>
              <w:ind w:right="142"/>
              <w:spacing w:after="0" w:line="121" w:lineRule="exact"/>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0"/>
                <w:szCs w:val="10"/>
                <w:color w:val="auto"/>
              </w:rPr>
            </w:pPr>
          </w:p>
        </w:tc>
        <w:tc>
          <w:tcPr>
            <w:tcW w:w="920" w:type="dxa"/>
            <w:vAlign w:val="bottom"/>
          </w:tcPr>
          <w:p>
            <w:pPr>
              <w:jc w:val="right"/>
              <w:ind w:right="184"/>
              <w:spacing w:after="0" w:line="121" w:lineRule="exact"/>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0"/>
                <w:szCs w:val="10"/>
                <w:color w:val="auto"/>
              </w:rPr>
            </w:pPr>
          </w:p>
        </w:tc>
        <w:tc>
          <w:tcPr>
            <w:tcW w:w="920" w:type="dxa"/>
            <w:vAlign w:val="bottom"/>
          </w:tcPr>
          <w:p>
            <w:pPr>
              <w:jc w:val="right"/>
              <w:ind w:right="140"/>
              <w:spacing w:after="0" w:line="121" w:lineRule="exact"/>
              <w:rPr>
                <w:sz w:val="20"/>
                <w:szCs w:val="20"/>
                <w:color w:val="auto"/>
              </w:rPr>
            </w:pPr>
            <w:r>
              <w:rPr>
                <w:rFonts w:ascii="Arial" w:cs="Arial" w:eastAsia="Arial" w:hAnsi="Arial"/>
                <w:sz w:val="12"/>
                <w:szCs w:val="12"/>
                <w:b w:val="1"/>
                <w:bCs w:val="1"/>
                <w:color w:val="auto"/>
                <w:w w:val="91"/>
              </w:rPr>
              <w:t>More than 12</w:t>
            </w:r>
          </w:p>
        </w:tc>
        <w:tc>
          <w:tcPr>
            <w:tcW w:w="200" w:type="dxa"/>
            <w:vAlign w:val="bottom"/>
          </w:tcPr>
          <w:p>
            <w:pPr>
              <w:spacing w:after="0"/>
              <w:rPr>
                <w:sz w:val="10"/>
                <w:szCs w:val="10"/>
                <w:color w:val="auto"/>
              </w:rPr>
            </w:pPr>
          </w:p>
        </w:tc>
        <w:tc>
          <w:tcPr>
            <w:tcW w:w="940" w:type="dxa"/>
            <w:vAlign w:val="bottom"/>
          </w:tcPr>
          <w:p>
            <w:pPr>
              <w:jc w:val="right"/>
              <w:ind w:right="381"/>
              <w:spacing w:after="0" w:line="121" w:lineRule="exact"/>
              <w:rPr>
                <w:sz w:val="20"/>
                <w:szCs w:val="20"/>
                <w:color w:val="auto"/>
              </w:rPr>
            </w:pPr>
            <w:r>
              <w:rPr>
                <w:rFonts w:ascii="Arial" w:cs="Arial" w:eastAsia="Arial" w:hAnsi="Arial"/>
                <w:sz w:val="12"/>
                <w:szCs w:val="12"/>
                <w:b w:val="1"/>
                <w:bCs w:val="1"/>
                <w:color w:val="auto"/>
              </w:rPr>
              <w:t>Fair</w:t>
            </w:r>
          </w:p>
        </w:tc>
        <w:tc>
          <w:tcPr>
            <w:tcW w:w="240" w:type="dxa"/>
            <w:vAlign w:val="bottom"/>
          </w:tcPr>
          <w:p>
            <w:pPr>
              <w:spacing w:after="0"/>
              <w:rPr>
                <w:sz w:val="10"/>
                <w:szCs w:val="10"/>
                <w:color w:val="auto"/>
              </w:rPr>
            </w:pPr>
          </w:p>
        </w:tc>
        <w:tc>
          <w:tcPr>
            <w:tcW w:w="880" w:type="dxa"/>
            <w:vAlign w:val="bottom"/>
          </w:tcPr>
          <w:p>
            <w:pPr>
              <w:jc w:val="center"/>
              <w:ind w:right="144"/>
              <w:spacing w:after="0" w:line="121" w:lineRule="exact"/>
              <w:rPr>
                <w:sz w:val="20"/>
                <w:szCs w:val="20"/>
                <w:color w:val="auto"/>
              </w:rPr>
            </w:pPr>
            <w:r>
              <w:rPr>
                <w:rFonts w:ascii="Arial" w:cs="Arial" w:eastAsia="Arial" w:hAnsi="Arial"/>
                <w:sz w:val="12"/>
                <w:szCs w:val="12"/>
                <w:b w:val="1"/>
                <w:bCs w:val="1"/>
                <w:color w:val="auto"/>
                <w:w w:val="92"/>
              </w:rPr>
              <w:t>Gains/</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Category</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Value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w w:val="85"/>
              </w:rPr>
              <w:t>(Losses</w:t>
            </w:r>
            <w:r>
              <w:rPr>
                <w:rFonts w:ascii="Arial" w:cs="Arial" w:eastAsia="Arial" w:hAnsi="Arial"/>
                <w:sz w:val="12"/>
                <w:szCs w:val="12"/>
                <w:color w:val="auto"/>
                <w:w w:val="85"/>
              </w:rPr>
              <w:t>)</w:t>
            </w: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U.S. Treasury securities and</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obligations of U.S. government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8"/>
                <w:szCs w:val="18"/>
                <w:color w:val="auto"/>
                <w:w w:val="88"/>
              </w:rPr>
              <w:t>11,096,122</w:t>
            </w:r>
          </w:p>
        </w:tc>
        <w:tc>
          <w:tcPr>
            <w:tcW w:w="24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250,135</w:t>
            </w:r>
          </w:p>
        </w:tc>
        <w:tc>
          <w:tcPr>
            <w:tcW w:w="2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8"/>
                <w:szCs w:val="18"/>
                <w:color w:val="auto"/>
              </w:rPr>
              <w:t>(30,814)</w:t>
            </w:r>
          </w:p>
        </w:tc>
        <w:tc>
          <w:tcPr>
            <w:tcW w:w="2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8"/>
                <w:szCs w:val="18"/>
                <w:color w:val="auto"/>
                <w:w w:val="88"/>
              </w:rPr>
              <w:t>11,315,443</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219,321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8"/>
              </w:rPr>
              <w:t>87,562,631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4"/>
              </w:rPr>
              <w:t>1,189,207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(269,857)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88"/>
              </w:rPr>
              <w:t>88,141,465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578,834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asset backed securities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w w:val="88"/>
              </w:rPr>
              <w:t>20,463,353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305,499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(48,482)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88"/>
              </w:rPr>
              <w:t>20,531,348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67,995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2"/>
              </w:rPr>
              <w:t>$119,122,106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94"/>
              </w:rPr>
              <w:t>1,744,841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(349,153)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(529,538)</w:t>
            </w:r>
          </w:p>
        </w:tc>
        <w:tc>
          <w:tcPr>
            <w:tcW w:w="11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2"/>
              </w:rPr>
              <w:t>$119,988,256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866,150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FHLBNY (see Note 7). The eligible collateral would be pledged to FHLBNY if KICO draws an advance from the FHBLNY credit line. As of December 31, 2017, the fair value of the eligible investments was approximately $6,703,000. KICO will retain all rights regarding all securities if pledged as collateral. As of December 31, 2017, there was no outstanding balance on the credit line.</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summary of the amortized cost and fair value of the Company’s investments in available-for-sale fixed-maturity securities by contractual maturity as of March 31, 2018 and December 31, 2017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2018</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Remaining Time to Maturity</w:t>
            </w:r>
          </w:p>
        </w:tc>
        <w:tc>
          <w:tcPr>
            <w:tcW w:w="280" w:type="dxa"/>
            <w:vAlign w:val="bottom"/>
          </w:tcPr>
          <w:p>
            <w:pPr>
              <w:spacing w:after="0"/>
              <w:rPr>
                <w:sz w:val="15"/>
                <w:szCs w:val="15"/>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Pr>
          <w:p>
            <w:pPr>
              <w:spacing w:after="0"/>
              <w:rPr>
                <w:sz w:val="15"/>
                <w:szCs w:val="15"/>
                <w:color w:val="auto"/>
              </w:rPr>
            </w:pPr>
          </w:p>
        </w:tc>
        <w:tc>
          <w:tcPr>
            <w:tcW w:w="1080" w:type="dxa"/>
            <w:vAlign w:val="bottom"/>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Pr>
          <w:p>
            <w:pPr>
              <w:spacing w:after="0"/>
              <w:rPr>
                <w:sz w:val="15"/>
                <w:szCs w:val="15"/>
                <w:color w:val="auto"/>
              </w:rPr>
            </w:pPr>
          </w:p>
        </w:tc>
        <w:tc>
          <w:tcPr>
            <w:tcW w:w="1080" w:type="dxa"/>
            <w:vAlign w:val="bottom"/>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5"/>
                <w:szCs w:val="15"/>
                <w:color w:val="auto"/>
              </w:rPr>
            </w:pPr>
          </w:p>
        </w:tc>
        <w:tc>
          <w:tcPr>
            <w:tcW w:w="1080" w:type="dxa"/>
            <w:vAlign w:val="bottom"/>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2,409,941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2,412,121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2,585,479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One to five years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37,226,594</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37,045,335</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31,716,345</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32,065,197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66,817,711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65,430,615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62,702,945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63,129,543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More than 10 years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2,011,733</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1,906,000</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1,653,984</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1,666,230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22,446,778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22,355,130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20,463,353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20,531,348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130,912,757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129,149,201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1"/>
              </w:rPr>
              <w:t>119,122,106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119,988,256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2018, the Company adopted ASU 2016-01, which resulted in changes in the fair value of equity securities held at March 31, 2018 being reported in net (loss) income instead of being reported in comprehensive (loss) income. See Note 1, Accounting Policies, for additional discussion. The cost and fair value of investments in equity securities as of March 31, 2018 and December 31, 2017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2"/>
                <w:szCs w:val="12"/>
                <w:b w:val="1"/>
                <w:bCs w:val="1"/>
                <w:color w:val="auto"/>
              </w:rPr>
              <w:t>March 31, 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48"/>
              <w:spacing w:after="0" w:line="121" w:lineRule="exact"/>
              <w:rPr>
                <w:sz w:val="20"/>
                <w:szCs w:val="20"/>
                <w:color w:val="auto"/>
              </w:rPr>
            </w:pPr>
            <w:r>
              <w:rPr>
                <w:rFonts w:ascii="Arial" w:cs="Arial" w:eastAsia="Arial" w:hAnsi="Arial"/>
                <w:sz w:val="12"/>
                <w:szCs w:val="12"/>
                <w:b w:val="1"/>
                <w:bCs w:val="1"/>
                <w:color w:val="auto"/>
                <w:w w:val="92"/>
              </w:rPr>
              <w:t>Net</w:t>
            </w: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123"/>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13"/>
                <w:szCs w:val="13"/>
                <w:color w:val="auto"/>
              </w:rPr>
            </w:pPr>
          </w:p>
        </w:tc>
        <w:tc>
          <w:tcPr>
            <w:tcW w:w="900" w:type="dxa"/>
            <w:vAlign w:val="bottom"/>
          </w:tcPr>
          <w:p>
            <w:pPr>
              <w:jc w:val="center"/>
              <w:ind w:right="126"/>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Unrealized</w:t>
            </w: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123"/>
              <w:spacing w:after="0" w:line="121" w:lineRule="exact"/>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0"/>
                <w:szCs w:val="10"/>
                <w:color w:val="auto"/>
              </w:rPr>
            </w:pPr>
          </w:p>
        </w:tc>
        <w:tc>
          <w:tcPr>
            <w:tcW w:w="900" w:type="dxa"/>
            <w:vAlign w:val="bottom"/>
          </w:tcPr>
          <w:p>
            <w:pPr>
              <w:jc w:val="center"/>
              <w:ind w:right="146"/>
              <w:spacing w:after="0" w:line="121" w:lineRule="exact"/>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0"/>
                <w:szCs w:val="10"/>
                <w:color w:val="auto"/>
              </w:rPr>
            </w:pPr>
          </w:p>
        </w:tc>
        <w:tc>
          <w:tcPr>
            <w:tcW w:w="920" w:type="dxa"/>
            <w:vAlign w:val="bottom"/>
          </w:tcPr>
          <w:p>
            <w:pPr>
              <w:jc w:val="center"/>
              <w:ind w:right="168"/>
              <w:spacing w:after="0" w:line="121" w:lineRule="exact"/>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0"/>
                <w:szCs w:val="10"/>
                <w:color w:val="auto"/>
              </w:rPr>
            </w:pPr>
          </w:p>
        </w:tc>
        <w:tc>
          <w:tcPr>
            <w:tcW w:w="920" w:type="dxa"/>
            <w:vAlign w:val="bottom"/>
          </w:tcPr>
          <w:p>
            <w:pPr>
              <w:jc w:val="center"/>
              <w:ind w:right="143"/>
              <w:spacing w:after="0" w:line="121" w:lineRule="exact"/>
              <w:rPr>
                <w:sz w:val="20"/>
                <w:szCs w:val="20"/>
                <w:color w:val="auto"/>
              </w:rPr>
            </w:pPr>
            <w:r>
              <w:rPr>
                <w:rFonts w:ascii="Arial" w:cs="Arial" w:eastAsia="Arial" w:hAnsi="Arial"/>
                <w:sz w:val="12"/>
                <w:szCs w:val="12"/>
                <w:b w:val="1"/>
                <w:bCs w:val="1"/>
                <w:color w:val="auto"/>
                <w:w w:val="94"/>
              </w:rPr>
              <w:t>More than 12</w:t>
            </w:r>
          </w:p>
        </w:tc>
        <w:tc>
          <w:tcPr>
            <w:tcW w:w="200" w:type="dxa"/>
            <w:vAlign w:val="bottom"/>
          </w:tcPr>
          <w:p>
            <w:pPr>
              <w:spacing w:after="0"/>
              <w:rPr>
                <w:sz w:val="10"/>
                <w:szCs w:val="10"/>
                <w:color w:val="auto"/>
              </w:rPr>
            </w:pPr>
          </w:p>
        </w:tc>
        <w:tc>
          <w:tcPr>
            <w:tcW w:w="920" w:type="dxa"/>
            <w:vAlign w:val="bottom"/>
          </w:tcPr>
          <w:p>
            <w:pPr>
              <w:jc w:val="center"/>
              <w:ind w:right="103"/>
              <w:spacing w:after="0" w:line="121" w:lineRule="exact"/>
              <w:rPr>
                <w:sz w:val="20"/>
                <w:szCs w:val="20"/>
                <w:color w:val="auto"/>
              </w:rPr>
            </w:pPr>
            <w:r>
              <w:rPr>
                <w:rFonts w:ascii="Arial" w:cs="Arial" w:eastAsia="Arial" w:hAnsi="Arial"/>
                <w:sz w:val="12"/>
                <w:szCs w:val="12"/>
                <w:b w:val="1"/>
                <w:bCs w:val="1"/>
                <w:color w:val="auto"/>
                <w:w w:val="99"/>
              </w:rPr>
              <w:t>Fair</w:t>
            </w:r>
          </w:p>
        </w:tc>
        <w:tc>
          <w:tcPr>
            <w:tcW w:w="260" w:type="dxa"/>
            <w:vAlign w:val="bottom"/>
          </w:tcPr>
          <w:p>
            <w:pPr>
              <w:spacing w:after="0"/>
              <w:rPr>
                <w:sz w:val="10"/>
                <w:szCs w:val="10"/>
                <w:color w:val="auto"/>
              </w:rPr>
            </w:pPr>
          </w:p>
        </w:tc>
        <w:tc>
          <w:tcPr>
            <w:tcW w:w="880" w:type="dxa"/>
            <w:vAlign w:val="bottom"/>
          </w:tcPr>
          <w:p>
            <w:pPr>
              <w:jc w:val="center"/>
              <w:ind w:right="148"/>
              <w:spacing w:after="0" w:line="121" w:lineRule="exact"/>
              <w:rPr>
                <w:sz w:val="20"/>
                <w:szCs w:val="20"/>
                <w:color w:val="auto"/>
              </w:rPr>
            </w:pPr>
            <w:r>
              <w:rPr>
                <w:rFonts w:ascii="Arial" w:cs="Arial" w:eastAsia="Arial" w:hAnsi="Arial"/>
                <w:sz w:val="12"/>
                <w:szCs w:val="12"/>
                <w:b w:val="1"/>
                <w:bCs w:val="1"/>
                <w:color w:val="auto"/>
                <w:w w:val="92"/>
              </w:rPr>
              <w:t>Gains/</w:t>
            </w:r>
          </w:p>
        </w:tc>
      </w:tr>
      <w:tr>
        <w:trPr>
          <w:trHeight w:val="156"/>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Category</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6"/>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w w:val="93"/>
              </w:rPr>
              <w:t>Value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2"/>
                <w:szCs w:val="12"/>
                <w:b w:val="1"/>
                <w:bCs w:val="1"/>
                <w:color w:val="auto"/>
                <w:w w:val="85"/>
              </w:rPr>
              <w:t>(Losses</w:t>
            </w:r>
            <w:r>
              <w:rPr>
                <w:rFonts w:ascii="Arial" w:cs="Arial" w:eastAsia="Arial" w:hAnsi="Arial"/>
                <w:sz w:val="12"/>
                <w:szCs w:val="12"/>
                <w:color w:val="auto"/>
                <w:w w:val="85"/>
              </w:rPr>
              <w:t>)</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99"/>
              </w:rPr>
              <w:t>7,301,491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25,807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(97,834)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99"/>
              </w:rPr>
              <w:t>7,113,177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(188,314)</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Common stocks and exchange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traded mutual funds</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99"/>
              </w:rPr>
              <w:t>9,081,851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683,494</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(278,037)</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99"/>
              </w:rPr>
              <w:t>9,487,308</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8"/>
                <w:szCs w:val="18"/>
                <w:color w:val="auto"/>
              </w:rPr>
              <w:t>405,457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w w:val="88"/>
              </w:rPr>
              <w:t>16,383,342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709,301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(375,871)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w w:val="88"/>
              </w:rPr>
              <w:t>16,600,485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217,143</w:t>
            </w: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2"/>
                <w:szCs w:val="12"/>
                <w:b w:val="1"/>
                <w:bCs w:val="1"/>
                <w:color w:val="auto"/>
              </w:rPr>
              <w:t>December 31, 2017</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Net</w:t>
            </w:r>
          </w:p>
        </w:tc>
      </w:tr>
      <w:tr>
        <w:trPr>
          <w:trHeight w:val="160"/>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26"/>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Unrealized</w:t>
            </w: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4"/>
                <w:szCs w:val="14"/>
                <w:color w:val="auto"/>
              </w:rPr>
            </w:pPr>
          </w:p>
        </w:tc>
        <w:tc>
          <w:tcPr>
            <w:tcW w:w="920" w:type="dxa"/>
            <w:vAlign w:val="bottom"/>
          </w:tcPr>
          <w:p>
            <w:pPr>
              <w:jc w:val="center"/>
              <w:ind w:right="168"/>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4"/>
                <w:szCs w:val="14"/>
                <w:color w:val="auto"/>
              </w:rPr>
            </w:pPr>
          </w:p>
        </w:tc>
        <w:tc>
          <w:tcPr>
            <w:tcW w:w="920" w:type="dxa"/>
            <w:vAlign w:val="bottom"/>
          </w:tcPr>
          <w:p>
            <w:pPr>
              <w:jc w:val="center"/>
              <w:ind w:right="143"/>
              <w:spacing w:after="0"/>
              <w:rPr>
                <w:sz w:val="20"/>
                <w:szCs w:val="20"/>
                <w:color w:val="auto"/>
              </w:rPr>
            </w:pPr>
            <w:r>
              <w:rPr>
                <w:rFonts w:ascii="Arial" w:cs="Arial" w:eastAsia="Arial" w:hAnsi="Arial"/>
                <w:sz w:val="12"/>
                <w:szCs w:val="12"/>
                <w:b w:val="1"/>
                <w:bCs w:val="1"/>
                <w:color w:val="auto"/>
                <w:w w:val="94"/>
              </w:rPr>
              <w:t>More than 12</w:t>
            </w:r>
          </w:p>
        </w:tc>
        <w:tc>
          <w:tcPr>
            <w:tcW w:w="200" w:type="dxa"/>
            <w:vAlign w:val="bottom"/>
          </w:tcPr>
          <w:p>
            <w:pPr>
              <w:spacing w:after="0"/>
              <w:rPr>
                <w:sz w:val="14"/>
                <w:szCs w:val="14"/>
                <w:color w:val="auto"/>
              </w:rPr>
            </w:pPr>
          </w:p>
        </w:tc>
        <w:tc>
          <w:tcPr>
            <w:tcW w:w="920" w:type="dxa"/>
            <w:vAlign w:val="bottom"/>
          </w:tcPr>
          <w:p>
            <w:pPr>
              <w:jc w:val="center"/>
              <w:ind w:right="103"/>
              <w:spacing w:after="0"/>
              <w:rPr>
                <w:sz w:val="20"/>
                <w:szCs w:val="20"/>
                <w:color w:val="auto"/>
              </w:rPr>
            </w:pPr>
            <w:r>
              <w:rPr>
                <w:rFonts w:ascii="Arial" w:cs="Arial" w:eastAsia="Arial" w:hAnsi="Arial"/>
                <w:sz w:val="12"/>
                <w:szCs w:val="12"/>
                <w:b w:val="1"/>
                <w:bCs w:val="1"/>
                <w:color w:val="auto"/>
                <w:w w:val="99"/>
              </w:rPr>
              <w:t>Fair</w:t>
            </w:r>
          </w:p>
        </w:tc>
        <w:tc>
          <w:tcPr>
            <w:tcW w:w="26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Gains/</w:t>
            </w:r>
          </w:p>
        </w:tc>
      </w:tr>
      <w:tr>
        <w:trPr>
          <w:trHeight w:val="16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Categor</w:t>
            </w:r>
            <w:r>
              <w:rPr>
                <w:rFonts w:ascii="Arial" w:cs="Arial" w:eastAsia="Arial" w:hAnsi="Arial"/>
                <w:sz w:val="12"/>
                <w:szCs w:val="12"/>
                <w:color w:val="auto"/>
              </w:rPr>
              <w:t>y</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6"/>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w w:val="93"/>
              </w:rPr>
              <w:t>Value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2"/>
                <w:szCs w:val="12"/>
                <w:b w:val="1"/>
                <w:bCs w:val="1"/>
                <w:color w:val="auto"/>
                <w:w w:val="85"/>
              </w:rPr>
              <w:t>(Losses</w:t>
            </w:r>
            <w:r>
              <w:rPr>
                <w:rFonts w:ascii="Arial" w:cs="Arial" w:eastAsia="Arial" w:hAnsi="Arial"/>
                <w:sz w:val="12"/>
                <w:szCs w:val="12"/>
                <w:color w:val="auto"/>
                <w:w w:val="85"/>
              </w:rPr>
              <w:t>)</w:t>
            </w:r>
          </w:p>
        </w:tc>
      </w:tr>
      <w:tr>
        <w:trPr>
          <w:trHeight w:val="48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99"/>
              </w:rPr>
              <w:t>7,081,099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60,867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(20,313)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99"/>
              </w:rPr>
              <w:t>7,000,941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(80,158)</w:t>
            </w:r>
          </w:p>
        </w:tc>
      </w:tr>
      <w:tr>
        <w:trPr>
          <w:trHeight w:val="242"/>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traded mutual funds</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99"/>
              </w:rPr>
              <w:t>6,680,742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841,250</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(222,205)</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99"/>
              </w:rPr>
              <w:t>7,285,257</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8"/>
                <w:szCs w:val="18"/>
                <w:color w:val="auto"/>
              </w:rPr>
              <w:t>604,515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w w:val="88"/>
              </w:rPr>
              <w:t>13,761,841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902,117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(242,518)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w w:val="88"/>
              </w:rPr>
              <w:t>14,286,198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524,357</w:t>
            </w: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 and fair value of the Company’s other investments as of March 31, 2018 and December 31, 2017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2"/>
                <w:szCs w:val="12"/>
                <w:b w:val="1"/>
                <w:bCs w:val="1"/>
                <w:color w:val="auto"/>
              </w:rPr>
              <w:t>March 31, 2018</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December 31, 2017</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Category</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14"/>
                <w:szCs w:val="14"/>
                <w:color w:val="auto"/>
              </w:rPr>
            </w:pPr>
          </w:p>
        </w:tc>
        <w:tc>
          <w:tcPr>
            <w:tcW w:w="880" w:type="dxa"/>
            <w:vAlign w:val="bottom"/>
          </w:tcPr>
          <w:p>
            <w:pPr>
              <w:jc w:val="right"/>
              <w:ind w:right="206"/>
              <w:spacing w:after="0"/>
              <w:rPr>
                <w:sz w:val="20"/>
                <w:szCs w:val="20"/>
                <w:color w:val="auto"/>
              </w:rPr>
            </w:pPr>
            <w:r>
              <w:rPr>
                <w:rFonts w:ascii="Arial" w:cs="Arial" w:eastAsia="Arial" w:hAnsi="Arial"/>
                <w:sz w:val="12"/>
                <w:szCs w:val="12"/>
                <w:b w:val="1"/>
                <w:bCs w:val="1"/>
                <w:color w:val="auto"/>
                <w:w w:val="95"/>
              </w:rPr>
              <w:t>Unrealized</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ind w:right="226"/>
              <w:spacing w:after="0"/>
              <w:rPr>
                <w:sz w:val="20"/>
                <w:szCs w:val="20"/>
                <w:color w:val="auto"/>
              </w:rPr>
            </w:pPr>
            <w:r>
              <w:rPr>
                <w:rFonts w:ascii="Arial" w:cs="Arial" w:eastAsia="Arial" w:hAnsi="Arial"/>
                <w:sz w:val="12"/>
                <w:szCs w:val="12"/>
                <w:b w:val="1"/>
                <w:bCs w:val="1"/>
                <w:color w:val="auto"/>
                <w:w w:val="99"/>
              </w:rPr>
              <w:t>Fair</w:t>
            </w:r>
          </w:p>
        </w:tc>
        <w:tc>
          <w:tcPr>
            <w:tcW w:w="2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60"/>
        </w:trPr>
        <w:tc>
          <w:tcPr>
            <w:tcW w:w="4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241"/>
              <w:spacing w:after="0"/>
              <w:rPr>
                <w:sz w:val="20"/>
                <w:szCs w:val="20"/>
                <w:color w:val="auto"/>
              </w:rPr>
            </w:pPr>
            <w:r>
              <w:rPr>
                <w:rFonts w:ascii="Arial" w:cs="Arial" w:eastAsia="Arial" w:hAnsi="Arial"/>
                <w:sz w:val="12"/>
                <w:szCs w:val="12"/>
                <w:b w:val="1"/>
                <w:bCs w:val="1"/>
                <w:color w:val="auto"/>
              </w:rPr>
              <w:t>Cost</w:t>
            </w:r>
          </w:p>
        </w:tc>
        <w:tc>
          <w:tcPr>
            <w:tcW w:w="380" w:type="dxa"/>
            <w:vAlign w:val="bottom"/>
          </w:tcPr>
          <w:p>
            <w:pPr>
              <w:spacing w:after="0"/>
              <w:rPr>
                <w:sz w:val="13"/>
                <w:szCs w:val="13"/>
                <w:color w:val="auto"/>
              </w:rPr>
            </w:pPr>
          </w:p>
        </w:tc>
        <w:tc>
          <w:tcPr>
            <w:tcW w:w="880" w:type="dxa"/>
            <w:vAlign w:val="bottom"/>
          </w:tcPr>
          <w:p>
            <w:pPr>
              <w:jc w:val="right"/>
              <w:ind w:right="346"/>
              <w:spacing w:after="0"/>
              <w:rPr>
                <w:sz w:val="20"/>
                <w:szCs w:val="20"/>
                <w:color w:val="auto"/>
              </w:rPr>
            </w:pPr>
            <w:r>
              <w:rPr>
                <w:rFonts w:ascii="Arial" w:cs="Arial" w:eastAsia="Arial" w:hAnsi="Arial"/>
                <w:sz w:val="12"/>
                <w:szCs w:val="12"/>
                <w:b w:val="1"/>
                <w:bCs w:val="1"/>
                <w:color w:val="auto"/>
              </w:rPr>
              <w:t>Value</w:t>
            </w:r>
          </w:p>
        </w:tc>
        <w:tc>
          <w:tcPr>
            <w:tcW w:w="260" w:type="dxa"/>
            <w:vAlign w:val="bottom"/>
          </w:tcPr>
          <w:p>
            <w:pPr>
              <w:spacing w:after="0"/>
              <w:rPr>
                <w:sz w:val="13"/>
                <w:szCs w:val="13"/>
                <w:color w:val="auto"/>
              </w:rPr>
            </w:pPr>
          </w:p>
        </w:tc>
        <w:tc>
          <w:tcPr>
            <w:tcW w:w="880" w:type="dxa"/>
            <w:vAlign w:val="bottom"/>
          </w:tcPr>
          <w:p>
            <w:pPr>
              <w:jc w:val="right"/>
              <w:ind w:right="346"/>
              <w:spacing w:after="0"/>
              <w:rPr>
                <w:sz w:val="20"/>
                <w:szCs w:val="20"/>
                <w:color w:val="auto"/>
              </w:rPr>
            </w:pPr>
            <w:r>
              <w:rPr>
                <w:rFonts w:ascii="Arial" w:cs="Arial" w:eastAsia="Arial" w:hAnsi="Arial"/>
                <w:sz w:val="12"/>
                <w:szCs w:val="12"/>
                <w:b w:val="1"/>
                <w:bCs w:val="1"/>
                <w:color w:val="auto"/>
              </w:rPr>
              <w:t>Gain</w:t>
            </w:r>
          </w:p>
        </w:tc>
        <w:tc>
          <w:tcPr>
            <w:tcW w:w="320" w:type="dxa"/>
            <w:vAlign w:val="bottom"/>
          </w:tcPr>
          <w:p>
            <w:pPr>
              <w:spacing w:after="0"/>
              <w:rPr>
                <w:sz w:val="13"/>
                <w:szCs w:val="13"/>
                <w:color w:val="auto"/>
              </w:rPr>
            </w:pPr>
          </w:p>
        </w:tc>
        <w:tc>
          <w:tcPr>
            <w:tcW w:w="800" w:type="dxa"/>
            <w:vAlign w:val="bottom"/>
          </w:tcPr>
          <w:p>
            <w:pPr>
              <w:jc w:val="right"/>
              <w:ind w:right="341"/>
              <w:spacing w:after="0"/>
              <w:rPr>
                <w:sz w:val="20"/>
                <w:szCs w:val="20"/>
                <w:color w:val="auto"/>
              </w:rPr>
            </w:pPr>
            <w:r>
              <w:rPr>
                <w:rFonts w:ascii="Arial" w:cs="Arial" w:eastAsia="Arial" w:hAnsi="Arial"/>
                <w:sz w:val="12"/>
                <w:szCs w:val="12"/>
                <w:b w:val="1"/>
                <w:bCs w:val="1"/>
                <w:color w:val="auto"/>
              </w:rPr>
              <w:t>Cost</w:t>
            </w:r>
          </w:p>
        </w:tc>
        <w:tc>
          <w:tcPr>
            <w:tcW w:w="320" w:type="dxa"/>
            <w:vAlign w:val="bottom"/>
          </w:tcPr>
          <w:p>
            <w:pPr>
              <w:spacing w:after="0"/>
              <w:rPr>
                <w:sz w:val="13"/>
                <w:szCs w:val="13"/>
                <w:color w:val="auto"/>
              </w:rPr>
            </w:pPr>
          </w:p>
        </w:tc>
        <w:tc>
          <w:tcPr>
            <w:tcW w:w="840" w:type="dxa"/>
            <w:vAlign w:val="bottom"/>
          </w:tcPr>
          <w:p>
            <w:pPr>
              <w:jc w:val="center"/>
              <w:ind w:right="226"/>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880" w:type="dxa"/>
            <w:vAlign w:val="bottom"/>
          </w:tcPr>
          <w:p>
            <w:pPr>
              <w:jc w:val="right"/>
              <w:ind w:right="346"/>
              <w:spacing w:after="0"/>
              <w:rPr>
                <w:sz w:val="20"/>
                <w:szCs w:val="20"/>
                <w:color w:val="auto"/>
              </w:rPr>
            </w:pPr>
            <w:r>
              <w:rPr>
                <w:rFonts w:ascii="Arial" w:cs="Arial" w:eastAsia="Arial" w:hAnsi="Arial"/>
                <w:sz w:val="12"/>
                <w:szCs w:val="12"/>
                <w:b w:val="1"/>
                <w:bCs w:val="1"/>
                <w:color w:val="auto"/>
              </w:rPr>
              <w:t>Gain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2,000,000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w w:val="92"/>
              </w:rPr>
              <w:t>2,027,860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27,860</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w w:val="92"/>
              </w:rPr>
              <w:t>2,027,860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27,860</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11</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amortized cost and fair value of investments in held-to-maturity fixed-maturity securities as of March 31, 2018 and December 31, 2017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2"/>
                <w:szCs w:val="12"/>
                <w:b w:val="1"/>
                <w:bCs w:val="1"/>
                <w:color w:val="auto"/>
              </w:rPr>
              <w:t>March 31, 2018</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24"/>
                <w:szCs w:val="24"/>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2"/>
                <w:szCs w:val="12"/>
                <w:b w:val="1"/>
                <w:bCs w:val="1"/>
                <w:color w:val="auto"/>
              </w:rPr>
              <w:t>Gross Unrealized Losses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4"/>
                <w:szCs w:val="14"/>
                <w:color w:val="auto"/>
              </w:rPr>
            </w:pPr>
          </w:p>
        </w:tc>
        <w:tc>
          <w:tcPr>
            <w:tcW w:w="90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4"/>
                <w:szCs w:val="14"/>
                <w:color w:val="auto"/>
              </w:rPr>
            </w:pPr>
          </w:p>
        </w:tc>
        <w:tc>
          <w:tcPr>
            <w:tcW w:w="920" w:type="dxa"/>
            <w:vAlign w:val="bottom"/>
          </w:tcPr>
          <w:p>
            <w:pPr>
              <w:jc w:val="center"/>
              <w:ind w:right="166"/>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2"/>
                <w:szCs w:val="12"/>
                <w:b w:val="1"/>
                <w:bCs w:val="1"/>
                <w:color w:val="auto"/>
                <w:w w:val="94"/>
              </w:rPr>
              <w:t>More than 12</w:t>
            </w:r>
          </w:p>
        </w:tc>
        <w:tc>
          <w:tcPr>
            <w:tcW w:w="260" w:type="dxa"/>
            <w:vAlign w:val="bottom"/>
          </w:tcPr>
          <w:p>
            <w:pPr>
              <w:spacing w:after="0"/>
              <w:rPr>
                <w:sz w:val="14"/>
                <w:szCs w:val="14"/>
                <w:color w:val="auto"/>
              </w:rPr>
            </w:pPr>
          </w:p>
        </w:tc>
        <w:tc>
          <w:tcPr>
            <w:tcW w:w="860" w:type="dxa"/>
            <w:vAlign w:val="bottom"/>
          </w:tcPr>
          <w:p>
            <w:pPr>
              <w:jc w:val="center"/>
              <w:ind w:right="161"/>
              <w:spacing w:after="0"/>
              <w:rPr>
                <w:sz w:val="20"/>
                <w:szCs w:val="20"/>
                <w:color w:val="auto"/>
              </w:rPr>
            </w:pPr>
            <w:r>
              <w:rPr>
                <w:rFonts w:ascii="Arial" w:cs="Arial" w:eastAsia="Arial" w:hAnsi="Arial"/>
                <w:sz w:val="12"/>
                <w:szCs w:val="12"/>
                <w:b w:val="1"/>
                <w:bCs w:val="1"/>
                <w:color w:val="auto"/>
                <w:w w:val="99"/>
              </w:rPr>
              <w:t>Fair</w:t>
            </w:r>
          </w:p>
        </w:tc>
        <w:tc>
          <w:tcPr>
            <w:tcW w:w="260" w:type="dxa"/>
            <w:vAlign w:val="bottom"/>
          </w:tcPr>
          <w:p>
            <w:pPr>
              <w:spacing w:after="0"/>
              <w:rPr>
                <w:sz w:val="14"/>
                <w:szCs w:val="1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Category</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6"/>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93"/>
              </w:rPr>
              <w:t>Months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93"/>
              </w:rPr>
              <w:t>Value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w w:val="89"/>
              </w:rPr>
              <w:t>Gains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729,476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147,563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871,975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Political subdivisions of States,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Territories and Possessions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998,941</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32,014</w:t>
            </w:r>
          </w:p>
        </w:tc>
        <w:tc>
          <w:tcPr>
            <w:tcW w:w="240" w:type="dxa"/>
            <w:vAlign w:val="bottom"/>
          </w:tcPr>
          <w:p>
            <w:pPr>
              <w:spacing w:after="0"/>
              <w:rPr>
                <w:sz w:val="18"/>
                <w:szCs w:val="18"/>
                <w:color w:val="auto"/>
              </w:rPr>
            </w:pPr>
          </w:p>
        </w:tc>
        <w:tc>
          <w:tcPr>
            <w:tcW w:w="92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w w:val="92"/>
              </w:rPr>
              <w:t>1,030,955</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32,014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Corporate and other bonds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and 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94"/>
              </w:rPr>
              <w:t>3,141,854</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43,177</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(15,741)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3,159,135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94"/>
              </w:rPr>
              <w:t>4,870,271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222,754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(20,805)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5,062,065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191,794</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2"/>
                <w:szCs w:val="12"/>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24"/>
                <w:szCs w:val="24"/>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2"/>
                <w:szCs w:val="12"/>
                <w:b w:val="1"/>
                <w:bCs w:val="1"/>
                <w:color w:val="auto"/>
              </w:rPr>
              <w:t>Gross Unrealized Losses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64"/>
              <w:spacing w:after="0"/>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4"/>
                <w:szCs w:val="14"/>
                <w:color w:val="auto"/>
              </w:rPr>
            </w:pPr>
          </w:p>
        </w:tc>
        <w:tc>
          <w:tcPr>
            <w:tcW w:w="90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4"/>
                <w:szCs w:val="14"/>
                <w:color w:val="auto"/>
              </w:rPr>
            </w:pPr>
          </w:p>
        </w:tc>
        <w:tc>
          <w:tcPr>
            <w:tcW w:w="920" w:type="dxa"/>
            <w:vAlign w:val="bottom"/>
          </w:tcPr>
          <w:p>
            <w:pPr>
              <w:jc w:val="center"/>
              <w:ind w:right="166"/>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2"/>
                <w:szCs w:val="12"/>
                <w:b w:val="1"/>
                <w:bCs w:val="1"/>
                <w:color w:val="auto"/>
                <w:w w:val="94"/>
              </w:rPr>
              <w:t>More than 12</w:t>
            </w:r>
          </w:p>
        </w:tc>
        <w:tc>
          <w:tcPr>
            <w:tcW w:w="260" w:type="dxa"/>
            <w:vAlign w:val="bottom"/>
          </w:tcPr>
          <w:p>
            <w:pPr>
              <w:spacing w:after="0"/>
              <w:rPr>
                <w:sz w:val="14"/>
                <w:szCs w:val="14"/>
                <w:color w:val="auto"/>
              </w:rPr>
            </w:pPr>
          </w:p>
        </w:tc>
        <w:tc>
          <w:tcPr>
            <w:tcW w:w="860" w:type="dxa"/>
            <w:vAlign w:val="bottom"/>
          </w:tcPr>
          <w:p>
            <w:pPr>
              <w:jc w:val="center"/>
              <w:ind w:right="161"/>
              <w:spacing w:after="0"/>
              <w:rPr>
                <w:sz w:val="20"/>
                <w:szCs w:val="20"/>
                <w:color w:val="auto"/>
              </w:rPr>
            </w:pPr>
            <w:r>
              <w:rPr>
                <w:rFonts w:ascii="Arial" w:cs="Arial" w:eastAsia="Arial" w:hAnsi="Arial"/>
                <w:sz w:val="12"/>
                <w:szCs w:val="12"/>
                <w:b w:val="1"/>
                <w:bCs w:val="1"/>
                <w:color w:val="auto"/>
                <w:w w:val="99"/>
              </w:rPr>
              <w:t>Fair</w:t>
            </w:r>
          </w:p>
        </w:tc>
        <w:tc>
          <w:tcPr>
            <w:tcW w:w="260" w:type="dxa"/>
            <w:vAlign w:val="bottom"/>
          </w:tcPr>
          <w:p>
            <w:pPr>
              <w:spacing w:after="0"/>
              <w:rPr>
                <w:sz w:val="14"/>
                <w:szCs w:val="1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60"/>
        </w:trPr>
        <w:tc>
          <w:tcPr>
            <w:tcW w:w="4580" w:type="dxa"/>
            <w:vAlign w:val="bottom"/>
            <w:gridSpan w:val="2"/>
          </w:tcPr>
          <w:p>
            <w:pPr>
              <w:spacing w:after="0"/>
              <w:rPr>
                <w:sz w:val="20"/>
                <w:szCs w:val="20"/>
                <w:color w:val="auto"/>
              </w:rPr>
            </w:pPr>
            <w:r>
              <w:rPr>
                <w:rFonts w:ascii="Arial" w:cs="Arial" w:eastAsia="Arial" w:hAnsi="Arial"/>
                <w:sz w:val="12"/>
                <w:szCs w:val="12"/>
                <w:b w:val="1"/>
                <w:bCs w:val="1"/>
                <w:color w:val="auto"/>
              </w:rPr>
              <w:t>Category</w:t>
            </w:r>
          </w:p>
        </w:tc>
        <w:tc>
          <w:tcPr>
            <w:tcW w:w="260" w:type="dxa"/>
            <w:vAlign w:val="bottom"/>
          </w:tcPr>
          <w:p>
            <w:pPr>
              <w:spacing w:after="0"/>
              <w:rPr>
                <w:sz w:val="13"/>
                <w:szCs w:val="13"/>
                <w:color w:val="auto"/>
              </w:rPr>
            </w:pPr>
          </w:p>
        </w:tc>
        <w:tc>
          <w:tcPr>
            <w:tcW w:w="900" w:type="dxa"/>
            <w:vAlign w:val="bottom"/>
          </w:tcPr>
          <w:p>
            <w:pPr>
              <w:jc w:val="center"/>
              <w:ind w:right="144"/>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Pr>
          <w:p>
            <w:pPr>
              <w:spacing w:after="0"/>
              <w:rPr>
                <w:sz w:val="13"/>
                <w:szCs w:val="13"/>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Pr>
          <w:p>
            <w:pPr>
              <w:spacing w:after="0"/>
              <w:rPr>
                <w:sz w:val="13"/>
                <w:szCs w:val="13"/>
                <w:color w:val="auto"/>
              </w:rPr>
            </w:pPr>
          </w:p>
        </w:tc>
        <w:tc>
          <w:tcPr>
            <w:tcW w:w="920" w:type="dxa"/>
            <w:vAlign w:val="bottom"/>
          </w:tcPr>
          <w:p>
            <w:pPr>
              <w:jc w:val="center"/>
              <w:ind w:right="166"/>
              <w:spacing w:after="0"/>
              <w:rPr>
                <w:sz w:val="20"/>
                <w:szCs w:val="20"/>
                <w:color w:val="auto"/>
              </w:rPr>
            </w:pPr>
            <w:r>
              <w:rPr>
                <w:rFonts w:ascii="Arial" w:cs="Arial" w:eastAsia="Arial" w:hAnsi="Arial"/>
                <w:sz w:val="12"/>
                <w:szCs w:val="12"/>
                <w:b w:val="1"/>
                <w:bCs w:val="1"/>
                <w:color w:val="auto"/>
                <w:w w:val="93"/>
              </w:rPr>
              <w:t>Months</w:t>
            </w:r>
          </w:p>
        </w:tc>
        <w:tc>
          <w:tcPr>
            <w:tcW w:w="200" w:type="dxa"/>
            <w:vAlign w:val="bottom"/>
          </w:tcPr>
          <w:p>
            <w:pPr>
              <w:spacing w:after="0"/>
              <w:rPr>
                <w:sz w:val="13"/>
                <w:szCs w:val="13"/>
                <w:color w:val="auto"/>
              </w:rPr>
            </w:pPr>
          </w:p>
        </w:tc>
        <w:tc>
          <w:tcPr>
            <w:tcW w:w="920" w:type="dxa"/>
            <w:vAlign w:val="bottom"/>
          </w:tcPr>
          <w:p>
            <w:pPr>
              <w:jc w:val="center"/>
              <w:ind w:right="121"/>
              <w:spacing w:after="0"/>
              <w:rPr>
                <w:sz w:val="20"/>
                <w:szCs w:val="20"/>
                <w:color w:val="auto"/>
              </w:rPr>
            </w:pPr>
            <w:r>
              <w:rPr>
                <w:rFonts w:ascii="Arial" w:cs="Arial" w:eastAsia="Arial" w:hAnsi="Arial"/>
                <w:sz w:val="12"/>
                <w:szCs w:val="12"/>
                <w:b w:val="1"/>
                <w:bCs w:val="1"/>
                <w:color w:val="auto"/>
                <w:w w:val="93"/>
              </w:rPr>
              <w:t>Months</w:t>
            </w:r>
          </w:p>
        </w:tc>
        <w:tc>
          <w:tcPr>
            <w:tcW w:w="260" w:type="dxa"/>
            <w:vAlign w:val="bottom"/>
          </w:tcPr>
          <w:p>
            <w:pPr>
              <w:spacing w:after="0"/>
              <w:rPr>
                <w:sz w:val="13"/>
                <w:szCs w:val="13"/>
                <w:color w:val="auto"/>
              </w:rPr>
            </w:pPr>
          </w:p>
        </w:tc>
        <w:tc>
          <w:tcPr>
            <w:tcW w:w="860" w:type="dxa"/>
            <w:vAlign w:val="bottom"/>
          </w:tcPr>
          <w:p>
            <w:pPr>
              <w:jc w:val="center"/>
              <w:ind w:right="161"/>
              <w:spacing w:after="0"/>
              <w:rPr>
                <w:sz w:val="20"/>
                <w:szCs w:val="20"/>
                <w:color w:val="auto"/>
              </w:rPr>
            </w:pPr>
            <w:r>
              <w:rPr>
                <w:rFonts w:ascii="Arial" w:cs="Arial" w:eastAsia="Arial" w:hAnsi="Arial"/>
                <w:sz w:val="12"/>
                <w:szCs w:val="12"/>
                <w:b w:val="1"/>
                <w:bCs w:val="1"/>
                <w:color w:val="auto"/>
                <w:w w:val="93"/>
              </w:rPr>
              <w:t>Value</w:t>
            </w:r>
          </w:p>
        </w:tc>
        <w:tc>
          <w:tcPr>
            <w:tcW w:w="260" w:type="dxa"/>
            <w:vAlign w:val="bottom"/>
          </w:tcPr>
          <w:p>
            <w:pPr>
              <w:spacing w:after="0"/>
              <w:rPr>
                <w:sz w:val="13"/>
                <w:szCs w:val="13"/>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89"/>
              </w:rPr>
              <w:t>Gains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729,466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147,573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875,310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145,844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998,984</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50,366</w:t>
            </w:r>
          </w:p>
        </w:tc>
        <w:tc>
          <w:tcPr>
            <w:tcW w:w="240" w:type="dxa"/>
            <w:vAlign w:val="bottom"/>
          </w:tcPr>
          <w:p>
            <w:pPr>
              <w:spacing w:after="0"/>
              <w:rPr>
                <w:sz w:val="18"/>
                <w:szCs w:val="18"/>
                <w:color w:val="auto"/>
              </w:rPr>
            </w:pPr>
          </w:p>
        </w:tc>
        <w:tc>
          <w:tcPr>
            <w:tcW w:w="92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w w:val="92"/>
              </w:rPr>
              <w:t>1,049,350</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50,366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94"/>
              </w:rPr>
              <w:t>3,141,358</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90,358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3,225,416</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84,058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94"/>
              </w:rPr>
              <w:t>4,869,808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288,297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(1,729)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5,150,076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280,268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Borders>
              <w:bottom w:val="single" w:sz="8" w:color="auto"/>
            </w:tcBorders>
            <w:gridSpan w:val="2"/>
          </w:tcPr>
          <w:p>
            <w:pPr>
              <w:ind w:left="860"/>
              <w:spacing w:after="0"/>
              <w:rPr>
                <w:sz w:val="20"/>
                <w:szCs w:val="20"/>
                <w:color w:val="auto"/>
              </w:rPr>
            </w:pPr>
            <w:r>
              <w:rPr>
                <w:rFonts w:ascii="Arial" w:cs="Arial" w:eastAsia="Arial" w:hAnsi="Arial"/>
                <w:sz w:val="15"/>
                <w:szCs w:val="15"/>
                <w:b w:val="1"/>
                <w:bCs w:val="1"/>
                <w:color w:val="auto"/>
              </w:rPr>
              <w:t>March 31, 2018</w:t>
            </w:r>
          </w:p>
        </w:tc>
        <w:tc>
          <w:tcPr>
            <w:tcW w:w="274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b w:val="1"/>
                <w:bCs w:val="1"/>
                <w:color w:val="auto"/>
              </w:rPr>
              <w:t>December 31, 2017</w:t>
            </w:r>
          </w:p>
        </w:tc>
      </w:tr>
      <w:tr>
        <w:trPr>
          <w:trHeight w:val="149"/>
        </w:trPr>
        <w:tc>
          <w:tcPr>
            <w:tcW w:w="5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spacing w:after="0"/>
              <w:rPr>
                <w:sz w:val="12"/>
                <w:szCs w:val="12"/>
                <w:color w:val="auto"/>
              </w:rPr>
            </w:pPr>
          </w:p>
        </w:tc>
      </w:tr>
      <w:tr>
        <w:trPr>
          <w:trHeight w:val="182"/>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Remaining Time to Maturity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63" w:right="2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Less than one year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One to five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More than 10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123,000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117,936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2,546,338</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2,549,597</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2,546,459</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2,601,898</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1,594,457</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1,640,493</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1,716,884</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1,794,139</w:t>
            </w:r>
          </w:p>
        </w:tc>
      </w:tr>
      <w:tr>
        <w:trPr>
          <w:trHeight w:val="231"/>
        </w:trPr>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606,476</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606,466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r>
      <w:tr>
        <w:trPr>
          <w:trHeight w:val="216"/>
        </w:trPr>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4,870,271</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5,062,065</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4,869,808</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5,150,076</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-736600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-462280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563" w:right="2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4"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Three months ended</w:t>
      </w:r>
    </w:p>
    <w:p>
      <w:pPr>
        <w:jc w:val="center"/>
        <w:ind w:left="8720"/>
        <w:spacing w:after="0" w:line="229" w:lineRule="auto"/>
        <w:rPr>
          <w:sz w:val="20"/>
          <w:szCs w:val="20"/>
          <w:color w:val="auto"/>
        </w:rPr>
      </w:pPr>
      <w:r>
        <w:rPr>
          <w:rFonts w:ascii="Arial" w:cs="Arial" w:eastAsia="Arial" w:hAnsi="Arial"/>
          <w:sz w:val="15"/>
          <w:szCs w:val="15"/>
          <w:b w:val="1"/>
          <w:bCs w:val="1"/>
          <w:color w:val="auto"/>
        </w:rPr>
        <w:t>March 31,</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4"/>
              <w:spacing w:after="0" w:line="169" w:lineRule="exact"/>
              <w:rPr>
                <w:sz w:val="20"/>
                <w:szCs w:val="20"/>
                <w:color w:val="auto"/>
              </w:rPr>
            </w:pPr>
            <w:r>
              <w:rPr>
                <w:rFonts w:ascii="Arial" w:cs="Arial" w:eastAsia="Arial" w:hAnsi="Arial"/>
                <w:sz w:val="15"/>
                <w:szCs w:val="15"/>
                <w:b w:val="1"/>
                <w:bCs w:val="1"/>
                <w:color w:val="auto"/>
              </w:rPr>
              <w:t>2018</w:t>
            </w:r>
          </w:p>
        </w:tc>
        <w:tc>
          <w:tcPr>
            <w:tcW w:w="3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4"/>
              <w:spacing w:after="0" w:line="169" w:lineRule="exact"/>
              <w:rPr>
                <w:sz w:val="20"/>
                <w:szCs w:val="20"/>
                <w:color w:val="auto"/>
              </w:rPr>
            </w:pPr>
            <w:r>
              <w:rPr>
                <w:rFonts w:ascii="Arial" w:cs="Arial" w:eastAsia="Arial" w:hAnsi="Arial"/>
                <w:sz w:val="15"/>
                <w:szCs w:val="15"/>
                <w:b w:val="1"/>
                <w:bCs w:val="1"/>
                <w:color w:val="auto"/>
              </w:rPr>
              <w:t>2017</w:t>
            </w: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Fixed-maturity securities</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1,150,293</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745,453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200,497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136,485</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73,259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6,169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1,424,049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888,107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40,060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30,307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1,383,989</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857,800</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Proceeds from the redemption of fixed-maturity securities held-to-maturity were $-0- and $200,000 for the three months ended March 31, 2018 and 2017, respectively.</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Proceeds from the sale and maturity of fixed-maturity securities available-for-sale were $7,891,145 and $2,706,202 for the three months ended March 31, 2018 and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equity securities were $3,378,515 and $132,091 for the three months ended March 31, 2018 and 2017,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losses on investments are summarized as follows:</w:t>
      </w:r>
    </w:p>
    <w:p>
      <w:pPr>
        <w:sectPr>
          <w:pgSz w:w="11900" w:h="16838" w:orient="portrait"/>
          <w:cols w:equalWidth="0" w:num="1">
            <w:col w:w="11420"/>
          </w:cols>
          <w:pgMar w:left="240" w:top="563" w:right="239" w:bottom="1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Losses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Fixed-maturity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losses (1)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losses</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realized losses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732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1905</wp:posOffset>
            </wp:positionV>
            <wp:extent cx="724662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117,469</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13,123</w:t>
            </w:r>
          </w:p>
        </w:tc>
      </w:tr>
      <w:tr>
        <w:trPr>
          <w:trHeight w:val="231"/>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(334,969)</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(36,120)</w:t>
            </w:r>
          </w:p>
        </w:tc>
      </w:tr>
      <w:tr>
        <w:trPr>
          <w:trHeight w:val="223"/>
        </w:trPr>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(217,500)</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w:t>
            </w:r>
          </w:p>
        </w:tc>
      </w:tr>
      <w:tr>
        <w:trPr>
          <w:trHeight w:val="640"/>
        </w:trPr>
        <w:tc>
          <w:tcPr>
            <w:tcW w:w="40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210,558</w:t>
            </w:r>
          </w:p>
        </w:tc>
        <w:tc>
          <w:tcPr>
            <w:tcW w:w="44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1"/>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(236,831)</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(31,509)</w:t>
            </w:r>
          </w:p>
        </w:tc>
      </w:tr>
      <w:tr>
        <w:trPr>
          <w:trHeight w:val="223"/>
        </w:trPr>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(26,273)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(31,509)</w:t>
            </w:r>
          </w:p>
        </w:tc>
      </w:tr>
      <w:tr>
        <w:trPr>
          <w:trHeight w:val="439"/>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(243,773)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-1320165</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-1011555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-736600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-445135</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-153670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137160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980" w:space="720"/>
            <w:col w:w="2720"/>
          </w:cols>
          <w:pgMar w:left="240" w:top="563" w:right="239" w:bottom="1107"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gains</w:t>
            </w:r>
          </w:p>
        </w:tc>
        <w:tc>
          <w:tcPr>
            <w:tcW w:w="4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losses</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(307,214)</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(307,214)</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27,860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losses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27,860</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unrealized losses</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(279,354)</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on investments</w:t>
            </w:r>
          </w:p>
        </w:tc>
        <w:tc>
          <w:tcPr>
            <w:tcW w:w="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(523,127)</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realized losses for the three months ended March 31, 2017 include $747 of loss from the redemption of fixed-maturity securities held-to-maturity.</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107"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Impairment Review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reviewed its equity securities portfolios prior to January 1, 2018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income for the noncredit portion of a previous OTTI is amortized prospectively over the remaining life of the security on the basis of timing of future estimated cash flows of the security.</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OTTI losses are recorded in the condensed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March 31, 2018 and December 31, 2017, there were 134 and 75 securities that accounted for the gross unrealized loss, respectively. In December 2017, the Company disposed of one of its held-to-maturity debt securities that was previously included in OTTI, a bond issued by the Commonwealth of Puerto Rico (“PR”). In July 2016, PR defaulted on its interest payment to bondholders. Due to the credit deterioration of PR,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the Company recorded an additional credit loss component of OTTI on this investment for the amount of $50,000 during the quarter ended September 30, 2017. The total of the two OTTI write-downs of this investment through December 31, 2017 was $119,911. The Company determined that none of the other unrealized losses were deemed to be OTTI for its portfolio of fixed-maturity investments, equity securities in 2017, and other investments for the three months ended March 31, 2018 and 2017.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2018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5"/>
                <w:szCs w:val="15"/>
                <w:b w:val="1"/>
                <w:bCs w:val="1"/>
                <w:color w:val="auto"/>
              </w:rPr>
              <w:t>March 31, 2018</w:t>
            </w: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6"/>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8"/>
              </w:rPr>
              <w:t>Aggregate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36"/>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center"/>
              <w:ind w:right="316"/>
              <w:spacing w:after="0" w:line="162" w:lineRule="exact"/>
              <w:rPr>
                <w:sz w:val="20"/>
                <w:szCs w:val="20"/>
                <w:color w:val="auto"/>
              </w:rPr>
            </w:pPr>
            <w:r>
              <w:rPr>
                <w:rFonts w:ascii="Arial" w:cs="Arial" w:eastAsia="Arial" w:hAnsi="Arial"/>
                <w:sz w:val="15"/>
                <w:szCs w:val="15"/>
                <w:b w:val="1"/>
                <w:bCs w:val="1"/>
                <w:color w:val="auto"/>
                <w:w w:val="89"/>
              </w:rPr>
              <w:t>Unrealized</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7"/>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56"/>
              <w:spacing w:after="0" w:line="162" w:lineRule="exact"/>
              <w:rPr>
                <w:sz w:val="20"/>
                <w:szCs w:val="20"/>
                <w:color w:val="auto"/>
              </w:rPr>
            </w:pPr>
            <w:r>
              <w:rPr>
                <w:rFonts w:ascii="Arial" w:cs="Arial" w:eastAsia="Arial" w:hAnsi="Arial"/>
                <w:sz w:val="15"/>
                <w:szCs w:val="15"/>
                <w:b w:val="1"/>
                <w:bCs w:val="1"/>
                <w:color w:val="auto"/>
                <w:w w:val="92"/>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Fair</w:t>
            </w:r>
          </w:p>
        </w:tc>
        <w:tc>
          <w:tcPr>
            <w:tcW w:w="200" w:type="dxa"/>
            <w:vAlign w:val="bottom"/>
          </w:tcPr>
          <w:p>
            <w:pPr>
              <w:spacing w:after="0"/>
              <w:rPr>
                <w:sz w:val="14"/>
                <w:szCs w:val="14"/>
                <w:color w:val="auto"/>
              </w:rPr>
            </w:pPr>
          </w:p>
        </w:tc>
        <w:tc>
          <w:tcPr>
            <w:tcW w:w="920" w:type="dxa"/>
            <w:vAlign w:val="bottom"/>
          </w:tcPr>
          <w:p>
            <w:pPr>
              <w:jc w:val="right"/>
              <w:ind w:right="116"/>
              <w:spacing w:after="0" w:line="162" w:lineRule="exact"/>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5"/>
                <w:szCs w:val="15"/>
                <w:b w:val="1"/>
                <w:bCs w:val="1"/>
                <w:color w:val="auto"/>
              </w:rPr>
              <w:t>Value</w:t>
            </w:r>
          </w:p>
        </w:tc>
        <w:tc>
          <w:tcPr>
            <w:tcW w:w="320" w:type="dxa"/>
            <w:vAlign w:val="bottom"/>
          </w:tcPr>
          <w:p>
            <w:pPr>
              <w:spacing w:after="0"/>
              <w:rPr>
                <w:sz w:val="15"/>
                <w:szCs w:val="15"/>
                <w:color w:val="auto"/>
              </w:rPr>
            </w:pPr>
          </w:p>
        </w:tc>
        <w:tc>
          <w:tcPr>
            <w:tcW w:w="1120" w:type="dxa"/>
            <w:vAlign w:val="bottom"/>
          </w:tcPr>
          <w:p>
            <w:pPr>
              <w:jc w:val="center"/>
              <w:ind w:right="296"/>
              <w:spacing w:after="0"/>
              <w:rPr>
                <w:sz w:val="20"/>
                <w:szCs w:val="20"/>
                <w:color w:val="auto"/>
              </w:rPr>
            </w:pPr>
            <w:r>
              <w:rPr>
                <w:rFonts w:ascii="Arial" w:cs="Arial" w:eastAsia="Arial" w:hAnsi="Arial"/>
                <w:sz w:val="15"/>
                <w:szCs w:val="15"/>
                <w:b w:val="1"/>
                <w:bCs w:val="1"/>
                <w:color w:val="auto"/>
                <w:w w:val="81"/>
              </w:rPr>
              <w:t>Losses</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2"/>
              </w:rPr>
              <w:t>Held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080" w:type="dxa"/>
            <w:vAlign w:val="bottom"/>
          </w:tcPr>
          <w:p>
            <w:pPr>
              <w:jc w:val="center"/>
              <w:ind w:right="256"/>
              <w:spacing w:after="0"/>
              <w:rPr>
                <w:sz w:val="20"/>
                <w:szCs w:val="20"/>
                <w:color w:val="auto"/>
              </w:rPr>
            </w:pPr>
            <w:r>
              <w:rPr>
                <w:rFonts w:ascii="Arial" w:cs="Arial" w:eastAsia="Arial" w:hAnsi="Arial"/>
                <w:sz w:val="15"/>
                <w:szCs w:val="15"/>
                <w:b w:val="1"/>
                <w:bCs w:val="1"/>
                <w:color w:val="auto"/>
                <w:w w:val="81"/>
              </w:rPr>
              <w:t>Losses</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8"/>
              </w:rPr>
              <w:t>Held</w:t>
            </w:r>
          </w:p>
        </w:tc>
        <w:tc>
          <w:tcPr>
            <w:tcW w:w="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Value</w:t>
            </w:r>
          </w:p>
        </w:tc>
        <w:tc>
          <w:tcPr>
            <w:tcW w:w="200" w:type="dxa"/>
            <w:vAlign w:val="bottom"/>
          </w:tcPr>
          <w:p>
            <w:pPr>
              <w:spacing w:after="0"/>
              <w:rPr>
                <w:sz w:val="15"/>
                <w:szCs w:val="15"/>
                <w:color w:val="auto"/>
              </w:rPr>
            </w:pPr>
          </w:p>
        </w:tc>
        <w:tc>
          <w:tcPr>
            <w:tcW w:w="920" w:type="dxa"/>
            <w:vAlign w:val="bottom"/>
          </w:tcPr>
          <w:p>
            <w:pPr>
              <w:jc w:val="right"/>
              <w:ind w:right="256"/>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r>
              <w:rPr>
                <w:rFonts w:ascii="Arial" w:cs="Arial" w:eastAsia="Arial" w:hAnsi="Arial"/>
                <w:sz w:val="18"/>
                <w:szCs w:val="18"/>
                <w:color w:val="auto"/>
              </w:rPr>
              <w:t>government corporations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4,943,730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(20,282)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right="97"/>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  4,943,730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3,716,760</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(84,282)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right="97"/>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3,716,760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67,818,785</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1"/>
              </w:rPr>
              <w:t>(1,436,598)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8,059,700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(369,216)</w:t>
            </w:r>
          </w:p>
        </w:tc>
        <w:tc>
          <w:tcPr>
            <w:tcW w:w="920" w:type="dxa"/>
            <w:vAlign w:val="bottom"/>
            <w:shd w:val="clear" w:color="auto" w:fill="CCEEFF"/>
          </w:tcPr>
          <w:p>
            <w:pPr>
              <w:jc w:val="center"/>
              <w:ind w:right="97"/>
              <w:spacing w:after="0"/>
              <w:rPr>
                <w:sz w:val="20"/>
                <w:szCs w:val="20"/>
                <w:color w:val="auto"/>
              </w:rPr>
            </w:pPr>
            <w:r>
              <w:rPr>
                <w:rFonts w:ascii="Arial" w:cs="Arial" w:eastAsia="Arial" w:hAnsi="Arial"/>
                <w:sz w:val="18"/>
                <w:szCs w:val="18"/>
                <w:color w:val="auto"/>
                <w:w w:val="89"/>
              </w:rPr>
              <w:t>16</w:t>
            </w:r>
          </w:p>
        </w:tc>
        <w:tc>
          <w:tcPr>
            <w:tcW w:w="12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75,878,485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(1,805,814)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89"/>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8,791,842</w:t>
            </w:r>
          </w:p>
        </w:tc>
        <w:tc>
          <w:tcPr>
            <w:tcW w:w="320" w:type="dxa"/>
            <w:vAlign w:val="bottom"/>
          </w:tcPr>
          <w:p>
            <w:pPr>
              <w:spacing w:after="0"/>
              <w:rPr>
                <w:sz w:val="19"/>
                <w:szCs w:val="19"/>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(104,872)</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9,776,165</w:t>
            </w:r>
          </w:p>
        </w:tc>
        <w:tc>
          <w:tcPr>
            <w:tcW w:w="30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(312,583)</w:t>
            </w:r>
          </w:p>
        </w:tc>
        <w:tc>
          <w:tcPr>
            <w:tcW w:w="920" w:type="dxa"/>
            <w:vAlign w:val="bottom"/>
          </w:tcPr>
          <w:p>
            <w:pPr>
              <w:jc w:val="center"/>
              <w:ind w:right="97"/>
              <w:spacing w:after="0"/>
              <w:rPr>
                <w:sz w:val="20"/>
                <w:szCs w:val="20"/>
                <w:color w:val="auto"/>
              </w:rPr>
            </w:pPr>
            <w:r>
              <w:rPr>
                <w:rFonts w:ascii="Arial" w:cs="Arial" w:eastAsia="Arial" w:hAnsi="Arial"/>
                <w:sz w:val="18"/>
                <w:szCs w:val="18"/>
                <w:color w:val="auto"/>
                <w:w w:val="89"/>
              </w:rPr>
              <w:t>15</w:t>
            </w:r>
          </w:p>
        </w:tc>
        <w:tc>
          <w:tcPr>
            <w:tcW w:w="1200" w:type="dxa"/>
            <w:vAlign w:val="bottom"/>
            <w:gridSpan w:val="2"/>
          </w:tcPr>
          <w:p>
            <w:pPr>
              <w:jc w:val="right"/>
              <w:ind w:right="43"/>
              <w:spacing w:after="0"/>
              <w:rPr>
                <w:sz w:val="20"/>
                <w:szCs w:val="20"/>
                <w:color w:val="auto"/>
              </w:rPr>
            </w:pPr>
            <w:r>
              <w:rPr>
                <w:rFonts w:ascii="Arial" w:cs="Arial" w:eastAsia="Arial" w:hAnsi="Arial"/>
                <w:sz w:val="18"/>
                <w:szCs w:val="18"/>
                <w:color w:val="auto"/>
              </w:rPr>
              <w:t>18,568,007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85,271,117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1"/>
              </w:rPr>
              <w:t>(1,646,034)</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103</w:t>
            </w:r>
          </w:p>
        </w:tc>
        <w:tc>
          <w:tcPr>
            <w:tcW w:w="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17,835,865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(681,799)</w:t>
            </w:r>
          </w:p>
        </w:tc>
        <w:tc>
          <w:tcPr>
            <w:tcW w:w="92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8"/>
                <w:szCs w:val="18"/>
                <w:color w:val="auto"/>
                <w:w w:val="89"/>
              </w:rPr>
              <w:t>31</w:t>
            </w:r>
          </w:p>
        </w:tc>
        <w:tc>
          <w:tcPr>
            <w:tcW w:w="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103,106,982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(2,327,833)</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2017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2017</w:t>
            </w: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5"/>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88"/>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35"/>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center"/>
              <w:ind w:right="315"/>
              <w:spacing w:after="0" w:line="162" w:lineRule="exact"/>
              <w:rPr>
                <w:sz w:val="20"/>
                <w:szCs w:val="20"/>
                <w:color w:val="auto"/>
              </w:rPr>
            </w:pPr>
            <w:r>
              <w:rPr>
                <w:rFonts w:ascii="Arial" w:cs="Arial" w:eastAsia="Arial" w:hAnsi="Arial"/>
                <w:sz w:val="15"/>
                <w:szCs w:val="15"/>
                <w:b w:val="1"/>
                <w:bCs w:val="1"/>
                <w:color w:val="auto"/>
                <w:w w:val="89"/>
              </w:rPr>
              <w:t>Unrealized</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7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Arial" w:cs="Arial" w:eastAsia="Arial" w:hAnsi="Arial"/>
                <w:sz w:val="15"/>
                <w:szCs w:val="15"/>
                <w:b w:val="1"/>
                <w:bCs w:val="1"/>
                <w:color w:val="auto"/>
              </w:rPr>
              <w:t>Value</w:t>
            </w:r>
          </w:p>
        </w:tc>
        <w:tc>
          <w:tcPr>
            <w:tcW w:w="320" w:type="dxa"/>
            <w:vAlign w:val="bottom"/>
          </w:tcPr>
          <w:p>
            <w:pPr>
              <w:spacing w:after="0"/>
              <w:rPr>
                <w:sz w:val="15"/>
                <w:szCs w:val="15"/>
                <w:color w:val="auto"/>
              </w:rPr>
            </w:pPr>
          </w:p>
        </w:tc>
        <w:tc>
          <w:tcPr>
            <w:tcW w:w="1120" w:type="dxa"/>
            <w:vAlign w:val="bottom"/>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2"/>
              </w:rPr>
              <w:t>Held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5"/>
                <w:szCs w:val="15"/>
                <w:b w:val="1"/>
                <w:bCs w:val="1"/>
                <w:color w:val="auto"/>
              </w:rPr>
              <w:t>Value</w:t>
            </w:r>
          </w:p>
        </w:tc>
        <w:tc>
          <w:tcPr>
            <w:tcW w:w="300" w:type="dxa"/>
            <w:vAlign w:val="bottom"/>
          </w:tcPr>
          <w:p>
            <w:pPr>
              <w:spacing w:after="0"/>
              <w:rPr>
                <w:sz w:val="15"/>
                <w:szCs w:val="15"/>
                <w:color w:val="auto"/>
              </w:rPr>
            </w:pPr>
          </w:p>
        </w:tc>
        <w:tc>
          <w:tcPr>
            <w:tcW w:w="1080" w:type="dxa"/>
            <w:vAlign w:val="bottom"/>
          </w:tcPr>
          <w:p>
            <w:pPr>
              <w:jc w:val="center"/>
              <w:ind w:right="255"/>
              <w:spacing w:after="0"/>
              <w:rPr>
                <w:sz w:val="20"/>
                <w:szCs w:val="20"/>
                <w:color w:val="auto"/>
              </w:rPr>
            </w:pPr>
            <w:r>
              <w:rPr>
                <w:rFonts w:ascii="Arial" w:cs="Arial" w:eastAsia="Arial" w:hAnsi="Arial"/>
                <w:sz w:val="15"/>
                <w:szCs w:val="15"/>
                <w:b w:val="1"/>
                <w:bCs w:val="1"/>
                <w:color w:val="auto"/>
                <w:w w:val="81"/>
              </w:rPr>
              <w:t>Losses</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8"/>
              </w:rPr>
              <w:t>Held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5"/>
                <w:szCs w:val="15"/>
                <w:color w:val="auto"/>
              </w:rPr>
            </w:pPr>
          </w:p>
        </w:tc>
        <w:tc>
          <w:tcPr>
            <w:tcW w:w="920" w:type="dxa"/>
            <w:vAlign w:val="bottom"/>
          </w:tcPr>
          <w:p>
            <w:pPr>
              <w:jc w:val="right"/>
              <w:ind w:right="255"/>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Possessions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1,549,839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(30,814)</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15,036,462</w:t>
            </w:r>
          </w:p>
        </w:tc>
        <w:tc>
          <w:tcPr>
            <w:tcW w:w="32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(269,857)</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9,113,924</w:t>
            </w:r>
          </w:p>
        </w:tc>
        <w:tc>
          <w:tcPr>
            <w:tcW w:w="30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(340,516)</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89"/>
              </w:rPr>
              <w:t>Residential mortgage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6,956,371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(48,482)</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7,867,572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(189,022)</w:t>
            </w:r>
          </w:p>
        </w:tc>
        <w:tc>
          <w:tcPr>
            <w:tcW w:w="9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9"/>
              </w:rPr>
              <w:t>15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23,542,672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(349,153)</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16,981,496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(529,538)</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89"/>
              </w:rPr>
              <w:t>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1,605,217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(20,313)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1,776,675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(120,712)</w:t>
            </w:r>
          </w:p>
        </w:tc>
        <w:tc>
          <w:tcPr>
            <w:tcW w:w="920" w:type="dxa"/>
            <w:vAlign w:val="bottom"/>
            <w:shd w:val="clear" w:color="auto" w:fill="CCEEFF"/>
          </w:tcPr>
          <w:p>
            <w:pPr>
              <w:jc w:val="center"/>
              <w:ind w:right="76"/>
              <w:spacing w:after="0"/>
              <w:rPr>
                <w:sz w:val="20"/>
                <w:szCs w:val="20"/>
                <w:color w:val="auto"/>
              </w:rPr>
            </w:pPr>
            <w:r>
              <w:rPr>
                <w:rFonts w:ascii="Arial" w:cs="Arial" w:eastAsia="Arial" w:hAnsi="Arial"/>
                <w:sz w:val="18"/>
                <w:szCs w:val="18"/>
                <w:color w:val="auto"/>
                <w:w w:val="79"/>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exchange traded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1,446,375</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(222,205)</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(14,530)</w:t>
            </w: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3,051,592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(242,518)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1,901,575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(135,242)</w:t>
            </w:r>
          </w:p>
        </w:tc>
        <w:tc>
          <w:tcPr>
            <w:tcW w:w="920" w:type="dxa"/>
            <w:vAlign w:val="bottom"/>
            <w:shd w:val="clear" w:color="auto" w:fill="CCEEFF"/>
          </w:tcPr>
          <w:p>
            <w:pPr>
              <w:jc w:val="center"/>
              <w:ind w:right="76"/>
              <w:spacing w:after="0"/>
              <w:rPr>
                <w:sz w:val="20"/>
                <w:szCs w:val="20"/>
                <w:color w:val="auto"/>
              </w:rPr>
            </w:pPr>
            <w:r>
              <w:rPr>
                <w:rFonts w:ascii="Arial" w:cs="Arial" w:eastAsia="Arial" w:hAnsi="Arial"/>
                <w:sz w:val="18"/>
                <w:szCs w:val="18"/>
                <w:color w:val="auto"/>
                <w:w w:val="79"/>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26,594,264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(591,671)</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18,883,071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(664,780)</w:t>
            </w:r>
          </w:p>
        </w:tc>
        <w:tc>
          <w:tcPr>
            <w:tcW w:w="9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9"/>
              </w:rPr>
              <w:t>36</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(1,256,451)</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Company’s investments are allocated among pricing input levels at March 31, 2018 and December 31, 2017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5"/>
                <w:szCs w:val="15"/>
                <w:b w:val="1"/>
                <w:bCs w:val="1"/>
                <w:color w:val="auto"/>
              </w:rPr>
              <w:t>March 31, 2018</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20" w:type="dxa"/>
            <w:vAlign w:val="bottom"/>
            <w:gridSpan w:val="2"/>
          </w:tcPr>
          <w:p>
            <w:pPr>
              <w:spacing w:after="0"/>
              <w:rPr>
                <w:sz w:val="20"/>
                <w:szCs w:val="20"/>
                <w:color w:val="auto"/>
              </w:rPr>
            </w:pPr>
            <w:r>
              <w:rPr>
                <w:rFonts w:ascii="Arial" w:cs="Arial" w:eastAsia="Arial" w:hAnsi="Arial"/>
                <w:sz w:val="18"/>
                <w:szCs w:val="18"/>
                <w:color w:val="auto"/>
              </w:rPr>
              <w:t>government corporations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4,943,730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4,943,730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States, Territories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6,555,925</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6,555,925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bonds industrial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90,969,165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4,325,251</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95,294,416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22,355,130</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22,355,130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95,912,895</w:t>
            </w:r>
          </w:p>
        </w:tc>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33,236,306</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129,149,201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16,600,485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16,600,485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investments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112,513,380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33,236,306</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w w:val="91"/>
              </w:rPr>
              <w:t>145,749,686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20" w:type="dxa"/>
            <w:vAlign w:val="bottom"/>
            <w:gridSpan w:val="2"/>
          </w:tcPr>
          <w:p>
            <w:pPr>
              <w:spacing w:after="0"/>
              <w:rPr>
                <w:sz w:val="20"/>
                <w:szCs w:val="20"/>
                <w:color w:val="auto"/>
              </w:rPr>
            </w:pPr>
            <w:r>
              <w:rPr>
                <w:rFonts w:ascii="Arial" w:cs="Arial" w:eastAsia="Arial" w:hAnsi="Arial"/>
                <w:sz w:val="18"/>
                <w:szCs w:val="18"/>
                <w:color w:val="auto"/>
              </w:rPr>
              <w:t>Political subdivisions of</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Possessions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11,315,443</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11,315,443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miscellaneous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83,597,300</w:t>
            </w:r>
          </w:p>
        </w:tc>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4,544,165</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88,141,465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7"/>
              </w:rPr>
              <w:t>20,531,348</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20,531,348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83,597,300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36,390,956</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119,988,256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14,286,198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14,286,198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97,883,498</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36,390,956</w:t>
            </w:r>
          </w:p>
        </w:tc>
        <w:tc>
          <w:tcPr>
            <w:tcW w:w="10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1"/>
              </w:rPr>
              <w:t>134,274,454</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4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20" w:name="page21"/>
    <w:bookmarkEnd w:id="20"/>
    <w:p>
      <w:pPr>
        <w:jc w:val="both"/>
        <w:spacing w:after="0" w:line="306" w:lineRule="auto"/>
        <w:rPr>
          <w:sz w:val="20"/>
          <w:szCs w:val="20"/>
          <w:color w:val="auto"/>
        </w:rPr>
      </w:pPr>
      <w:r>
        <w:rPr>
          <w:rFonts w:ascii="Arial" w:cs="Arial" w:eastAsia="Arial" w:hAnsi="Arial"/>
          <w:sz w:val="16"/>
          <w:szCs w:val="16"/>
          <w:color w:val="auto"/>
        </w:rPr>
        <w:t>The following table sets forth the Company’s investment in a hedge fund investment subject to net asset valuation (“NAV”) per share (or its equivalent) as of March 31, 2018. The Company measures this investment at fair value on a recurring basis. As of March 31, 2018, the Company used net asset value per share as a practical expedient for fair value. Fair value using NAV per share is as follows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59"/>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Category</w:t>
            </w:r>
          </w:p>
        </w:tc>
        <w:tc>
          <w:tcPr>
            <w:tcW w:w="13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5"/>
                <w:szCs w:val="15"/>
                <w:b w:val="1"/>
                <w:bCs w:val="1"/>
                <w:color w:val="auto"/>
              </w:rPr>
              <w:t>March 31, 2018</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2017</w:t>
            </w: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Hedge fund</w:t>
            </w: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2,027,860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2,027,860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included in the condensed consolidated statements of operations and comprehensive income (loss) within net losses on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the fair value of financial instruments: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Equity securities, fixed income securities, and other investments available-for-sale: </w:t>
      </w:r>
      <w:r>
        <w:rPr>
          <w:rFonts w:ascii="Arial" w:cs="Arial" w:eastAsia="Arial" w:hAnsi="Arial"/>
          <w:sz w:val="18"/>
          <w:szCs w:val="18"/>
          <w:color w:val="auto"/>
        </w:rPr>
        <w:t>Fair value disclosures for these investments are included in “Note 3 -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Premiums receivable, reinsurance receivables, and investment subscription receivable: </w:t>
      </w:r>
      <w:r>
        <w:rPr>
          <w:rFonts w:ascii="Arial" w:cs="Arial" w:eastAsia="Arial" w:hAnsi="Arial"/>
          <w:sz w:val="18"/>
          <w:szCs w:val="18"/>
          <w:color w:val="auto"/>
        </w:rPr>
        <w:t>The carrying values reported in the condensed consolidated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sheets for these financial instruments approximate their fair values due to the short-term nature of the assets.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fair value of the land and building included in property and equipment, which is used in the Company’s operations, approximates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fair value was based on an appraisal prepared using the sales comparison approach, and accordingly the real estate is a Level 3 asset under the fair value hierarchy.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Reinsurance balances payable: </w:t>
      </w:r>
      <w:r>
        <w:rPr>
          <w:rFonts w:ascii="Arial" w:cs="Arial" w:eastAsia="Arial" w:hAnsi="Arial"/>
          <w:sz w:val="18"/>
          <w:szCs w:val="18"/>
          <w:color w:val="auto"/>
        </w:rPr>
        <w:t>The carrying value reported in the condensed consolidated balance sheets for these financial instruments approximates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The carrying value reported in the condensed consolidated balance sheets for these financial instruments approximates fair value.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estimated fair values of the Company’s financial instruments and real estate as of March 31, 2018 and December 31, 2017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5"/>
                <w:szCs w:val="15"/>
                <w:b w:val="1"/>
                <w:bCs w:val="1"/>
                <w:color w:val="auto"/>
              </w:rPr>
              <w:t>March 31, 2018</w:t>
            </w: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13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4,870,271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5,062,065</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4,869,808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5,150,076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31,594,167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31,594,167</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48,381,633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48,381,633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subscription receivable</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Premiums receivable, net</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13,065,874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13,065,874</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13,217,698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13,217,698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receivables, net</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31,895,480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31,895,480</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28,519,130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28,519,130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Real estate, net of accumulated depreciation</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2,231,999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2,705,000</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2,261,829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balances payable</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3,017,734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3,017,734</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2,563,966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2,563,966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29,163,116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29,163,116</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29,126,965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29,126,965</w:t>
            </w:r>
          </w:p>
        </w:tc>
        <w:tc>
          <w:tcPr>
            <w:tcW w:w="0" w:type="dxa"/>
            <w:vAlign w:val="bottom"/>
          </w:tcPr>
          <w:p>
            <w:pPr>
              <w:spacing w:after="0"/>
              <w:rPr>
                <w:sz w:val="1"/>
                <w:szCs w:val="1"/>
                <w:color w:val="auto"/>
              </w:rPr>
            </w:pPr>
          </w:p>
        </w:tc>
      </w:tr>
      <w:tr>
        <w:trPr>
          <w:trHeight w:val="42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96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6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Assumed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Premiums written</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31,526,283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336</w:t>
            </w: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(7,826,235)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23,700,384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(1,008,869)</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1,901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144,201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7"/>
              </w:rPr>
              <w:t>30,517,414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2,237</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(7,682,034)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22,837,617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written</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26,125,467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4,428</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(9,395,590)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16,734,305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Change in unearned premiums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(330,903)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2,981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(36,635)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earned</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7"/>
              </w:rPr>
              <w:t>25,794,564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7,409</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(9,432,225)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16,369,748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March 31, 2018 and December 31, 2017 was $2,216,603 and $1,477,693,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loss adjustment expense (“LAE”) reserves:</w:t>
      </w:r>
    </w:p>
    <w:p>
      <w:pPr>
        <w:spacing w:after="0" w:line="297" w:lineRule="exact"/>
        <w:rPr>
          <w:sz w:val="20"/>
          <w:szCs w:val="20"/>
          <w:color w:val="auto"/>
        </w:rPr>
      </w:pPr>
    </w:p>
    <w:p>
      <w:pPr>
        <w:jc w:val="center"/>
        <w:ind w:left="8720"/>
        <w:spacing w:after="0"/>
        <w:rPr>
          <w:sz w:val="20"/>
          <w:szCs w:val="20"/>
          <w:color w:val="auto"/>
        </w:rPr>
      </w:pPr>
      <w:r>
        <w:rPr>
          <w:rFonts w:ascii="Arial" w:cs="Arial" w:eastAsia="Arial" w:hAnsi="Arial"/>
          <w:sz w:val="15"/>
          <w:szCs w:val="15"/>
          <w:b w:val="1"/>
          <w:bCs w:val="1"/>
          <w:color w:val="auto"/>
        </w:rPr>
        <w:t>Three months ended</w:t>
      </w:r>
    </w:p>
    <w:p>
      <w:pPr>
        <w:spacing w:after="0" w:line="44" w:lineRule="exact"/>
        <w:rPr>
          <w:sz w:val="20"/>
          <w:szCs w:val="20"/>
          <w:color w:val="auto"/>
        </w:rPr>
      </w:pPr>
    </w:p>
    <w:p>
      <w:pPr>
        <w:jc w:val="center"/>
        <w:ind w:left="868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jc w:val="both"/>
        <w:ind w:left="9220"/>
        <w:spacing w:after="0"/>
        <w:tabs>
          <w:tab w:leader="none" w:pos="1056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Balance at beginning of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Less reinsurance recoverables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Net balance, beginning of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Incurred related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92" w:hanging="292"/>
        <w:spacing w:after="0"/>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48,799,622   $   41,736,719</w:t>
      </w:r>
    </w:p>
    <w:p>
      <w:pPr>
        <w:spacing w:after="0" w:line="15" w:lineRule="exact"/>
        <w:rPr>
          <w:rFonts w:ascii="Arial" w:cs="Arial" w:eastAsia="Arial" w:hAnsi="Arial"/>
          <w:sz w:val="18"/>
          <w:szCs w:val="18"/>
          <w:color w:val="auto"/>
        </w:rPr>
      </w:pPr>
    </w:p>
    <w:p>
      <w:pPr>
        <w:ind w:left="252"/>
        <w:spacing w:after="0"/>
        <w:rPr>
          <w:rFonts w:ascii="Arial" w:cs="Arial" w:eastAsia="Arial" w:hAnsi="Arial"/>
          <w:sz w:val="18"/>
          <w:szCs w:val="18"/>
          <w:color w:val="auto"/>
        </w:rPr>
      </w:pPr>
      <w:r>
        <w:rPr>
          <w:rFonts w:ascii="Arial" w:cs="Arial" w:eastAsia="Arial" w:hAnsi="Arial"/>
          <w:sz w:val="18"/>
          <w:szCs w:val="18"/>
          <w:color w:val="auto"/>
        </w:rPr>
        <w:t>(16,748,908)</w:t>
      </w:r>
      <w:r>
        <w:rPr>
          <w:rFonts w:ascii="Arial" w:cs="Arial" w:eastAsia="Arial" w:hAnsi="Arial"/>
          <w:sz w:val="15"/>
          <w:szCs w:val="15"/>
          <w:color w:val="auto"/>
        </w:rPr>
        <w:t>(15,776,880)</w:t>
      </w:r>
    </w:p>
    <w:p>
      <w:pPr>
        <w:spacing w:after="0" w:line="29" w:lineRule="exact"/>
        <w:rPr>
          <w:rFonts w:ascii="Arial" w:cs="Arial" w:eastAsia="Arial" w:hAnsi="Arial"/>
          <w:sz w:val="18"/>
          <w:szCs w:val="18"/>
          <w:color w:val="auto"/>
        </w:rPr>
      </w:pPr>
    </w:p>
    <w:p>
      <w:pPr>
        <w:ind w:left="292"/>
        <w:spacing w:after="0"/>
        <w:rPr>
          <w:rFonts w:ascii="Arial" w:cs="Arial" w:eastAsia="Arial" w:hAnsi="Arial"/>
          <w:sz w:val="18"/>
          <w:szCs w:val="18"/>
          <w:color w:val="auto"/>
        </w:rPr>
      </w:pPr>
      <w:r>
        <w:rPr>
          <w:rFonts w:ascii="Arial" w:cs="Arial" w:eastAsia="Arial" w:hAnsi="Arial"/>
          <w:sz w:val="18"/>
          <w:szCs w:val="18"/>
          <w:color w:val="auto"/>
        </w:rPr>
        <w:t>32,050,714</w:t>
      </w:r>
      <w:r>
        <w:rPr>
          <w:rFonts w:ascii="Arial" w:cs="Arial" w:eastAsia="Arial" w:hAnsi="Arial"/>
          <w:sz w:val="15"/>
          <w:szCs w:val="15"/>
          <w:color w:val="auto"/>
        </w:rPr>
        <w:t>25,959,839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-417195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165735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-142875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2"/>
        <w:spacing w:after="0"/>
        <w:tabs>
          <w:tab w:leader="none" w:pos="1731" w:val="left"/>
        </w:tabs>
        <w:rPr>
          <w:sz w:val="20"/>
          <w:szCs w:val="20"/>
          <w:color w:val="auto"/>
        </w:rPr>
      </w:pPr>
      <w:r>
        <w:rPr>
          <w:rFonts w:ascii="Arial" w:cs="Arial" w:eastAsia="Arial" w:hAnsi="Arial"/>
          <w:sz w:val="16"/>
          <w:szCs w:val="16"/>
          <w:color w:val="auto"/>
        </w:rPr>
        <w:t>17,367,560</w:t>
      </w:r>
      <w:r>
        <w:rPr>
          <w:sz w:val="20"/>
          <w:szCs w:val="20"/>
          <w:color w:val="auto"/>
        </w:rPr>
        <w:tab/>
      </w:r>
      <w:r>
        <w:rPr>
          <w:rFonts w:ascii="Arial" w:cs="Arial" w:eastAsia="Arial" w:hAnsi="Arial"/>
          <w:sz w:val="16"/>
          <w:szCs w:val="16"/>
          <w:color w:val="auto"/>
        </w:rPr>
        <w:t>8,297,582</w:t>
      </w:r>
    </w:p>
    <w:p>
      <w:pPr>
        <w:spacing w:after="0" w:line="49" w:lineRule="exact"/>
        <w:rPr>
          <w:sz w:val="20"/>
          <w:szCs w:val="20"/>
          <w:color w:val="auto"/>
        </w:rPr>
      </w:pPr>
    </w:p>
    <w:p>
      <w:pPr>
        <w:sectPr>
          <w:pgSz w:w="11900" w:h="16838" w:orient="portrait"/>
          <w:cols w:equalWidth="0" w:num="2">
            <w:col w:w="8108" w:space="720"/>
            <w:col w:w="2592"/>
          </w:cols>
          <w:pgMar w:left="240" w:top="56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years</w:t>
            </w:r>
          </w:p>
        </w:tc>
        <w:tc>
          <w:tcPr>
            <w:tcW w:w="15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(101,230)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incurred</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17,266,330</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8,292,996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Paid related to:</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5,971,788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2,269,894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Prior years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6,495,154</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4,090,766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paid</w:t>
            </w:r>
          </w:p>
        </w:tc>
        <w:tc>
          <w:tcPr>
            <w:tcW w:w="15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12,466,942</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6,360,660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3"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Add reinsurance recoverables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36,850,102</w:t>
      </w:r>
      <w:r>
        <w:rPr>
          <w:sz w:val="20"/>
          <w:szCs w:val="20"/>
          <w:color w:val="auto"/>
        </w:rPr>
        <w:tab/>
      </w:r>
      <w:r>
        <w:rPr>
          <w:rFonts w:ascii="Arial" w:cs="Arial" w:eastAsia="Arial" w:hAnsi="Arial"/>
          <w:sz w:val="18"/>
          <w:szCs w:val="18"/>
          <w:color w:val="auto"/>
        </w:rPr>
        <w:t>27,892,175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320"/>
        <w:spacing w:after="0"/>
        <w:tabs>
          <w:tab w:leader="none" w:pos="1660" w:val="left"/>
        </w:tabs>
        <w:rPr>
          <w:sz w:val="20"/>
          <w:szCs w:val="20"/>
          <w:color w:val="auto"/>
        </w:rPr>
      </w:pPr>
      <w:r>
        <w:rPr>
          <w:rFonts w:ascii="Arial" w:cs="Arial" w:eastAsia="Arial" w:hAnsi="Arial"/>
          <w:sz w:val="18"/>
          <w:szCs w:val="18"/>
          <w:color w:val="auto"/>
        </w:rPr>
        <w:t>19,422,011</w:t>
      </w:r>
      <w:r>
        <w:rPr>
          <w:sz w:val="20"/>
          <w:szCs w:val="20"/>
          <w:color w:val="auto"/>
        </w:rPr>
        <w:tab/>
      </w:r>
      <w:r>
        <w:rPr>
          <w:rFonts w:ascii="Arial" w:cs="Arial" w:eastAsia="Arial" w:hAnsi="Arial"/>
          <w:sz w:val="18"/>
          <w:szCs w:val="18"/>
          <w:color w:val="auto"/>
        </w:rPr>
        <w:t>16,719,411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6985</wp:posOffset>
            </wp:positionV>
            <wp:extent cx="17322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0" w:lineRule="exact"/>
        <w:rPr>
          <w:sz w:val="20"/>
          <w:szCs w:val="20"/>
          <w:color w:val="auto"/>
        </w:rPr>
      </w:pPr>
    </w:p>
    <w:p>
      <w:pPr>
        <w:spacing w:after="0"/>
        <w:tabs>
          <w:tab w:leader="none" w:pos="300" w:val="left"/>
          <w:tab w:leader="none" w:pos="1360" w:val="left"/>
          <w:tab w:leader="none" w:pos="1660" w:val="left"/>
        </w:tabs>
        <w:rPr>
          <w:sz w:val="20"/>
          <w:szCs w:val="20"/>
          <w:color w:val="auto"/>
        </w:rPr>
      </w:pPr>
      <w:r>
        <w:rPr>
          <w:rFonts w:ascii="Arial" w:cs="Arial" w:eastAsia="Arial" w:hAnsi="Arial"/>
          <w:sz w:val="18"/>
          <w:szCs w:val="18"/>
          <w:color w:val="auto"/>
        </w:rPr>
        <w:t>$</w:t>
        <w:tab/>
        <w:t>56,272,113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44,611,586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63" w:right="239" w:bottom="1440" w:gutter="0" w:footer="0" w:header="0"/>
          <w:type w:val="continuous"/>
        </w:sectPr>
      </w:pP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Incurred losses and LAE are net of reinsurance recoveries under reinsurance contracts of $5,612,056 and $4,233,804 for the three months ended March 31, 2018 and 2017, respectively.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three months ended March 31, 2018 and 2017 was $(101,230) favorable and $(4,586) favorable, respectively. The Company’s management continually monitors claims activity to assess the appropriateness of carried case and incurred but not reported (“IBNR”) reserves, giving consideration to Company and industry trends.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line of business and accident year, in order to select the estimated year-end loss reserves. These methods include the following:</w:t>
      </w:r>
    </w:p>
    <w:p>
      <w:pPr>
        <w:spacing w:after="0" w:line="170"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86"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23" w:name="page24"/>
    <w:bookmarkEnd w:id="23"/>
    <w:p>
      <w:pPr>
        <w:jc w:val="both"/>
        <w:ind w:left="66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7"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2015 and prior is limited although there remains the possibility of adverse development on reported claims (‘case development’ IBNR).</w:t>
      </w:r>
    </w:p>
    <w:p>
      <w:pPr>
        <w:spacing w:after="0" w:line="19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following is information about incurred and paid claims development as of March 31, 2018, net of reinsurance, as well as the cumulative reported claims by accident year and total IBNR reserves as of March 31, 2018 included in the net incurred loss and allocated expense amounts. The historical information regarding incurred and paid claims development for the years ended December 31, 2009 to December 31, 2015 is presented as supplementary unaudited information.</w:t>
      </w:r>
    </w:p>
    <w:p>
      <w:pPr>
        <w:spacing w:after="0" w:line="14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All Lines of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5"/>
              </w:rPr>
              <w:t>As of</w:t>
            </w:r>
          </w:p>
        </w:tc>
      </w:tr>
      <w:tr>
        <w:trPr>
          <w:trHeight w:val="233"/>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gridSpan w:val="11"/>
          </w:tcPr>
          <w:p>
            <w:pPr>
              <w:ind w:left="80"/>
              <w:spacing w:after="0"/>
              <w:rPr>
                <w:sz w:val="20"/>
                <w:szCs w:val="20"/>
                <w:color w:val="auto"/>
              </w:rPr>
            </w:pPr>
            <w:r>
              <w:rPr>
                <w:rFonts w:ascii="Arial" w:cs="Arial" w:eastAsia="Arial" w:hAnsi="Arial"/>
                <w:sz w:val="15"/>
                <w:szCs w:val="15"/>
                <w:b w:val="1"/>
                <w:bCs w:val="1"/>
                <w:color w:val="auto"/>
                <w:w w:val="92"/>
              </w:rPr>
              <w:t>Incurred Loss and Allocated Loss Adjustment Expenses, Net of Reinsurance</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March 31, 2018</w:t>
            </w:r>
          </w:p>
        </w:tc>
      </w:tr>
      <w:tr>
        <w:trPr>
          <w:trHeight w:val="149"/>
        </w:trPr>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1"/>
              </w:rPr>
              <w:t>Cumulative</w:t>
            </w:r>
          </w:p>
        </w:tc>
        <w:tc>
          <w:tcPr>
            <w:tcW w:w="80" w:type="dxa"/>
            <w:vAlign w:val="bottom"/>
          </w:tcPr>
          <w:p>
            <w:pPr>
              <w:spacing w:after="0"/>
              <w:rPr>
                <w:sz w:val="12"/>
                <w:szCs w:val="12"/>
                <w:color w:val="auto"/>
              </w:rPr>
            </w:pPr>
          </w:p>
        </w:tc>
      </w:tr>
      <w:tr>
        <w:trPr>
          <w:trHeight w:val="162"/>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6"/>
              <w:spacing w:after="0" w:line="162" w:lineRule="exact"/>
              <w:rPr>
                <w:sz w:val="20"/>
                <w:szCs w:val="20"/>
                <w:color w:val="auto"/>
              </w:rPr>
            </w:pPr>
            <w:r>
              <w:rPr>
                <w:rFonts w:ascii="Arial" w:cs="Arial" w:eastAsia="Arial" w:hAnsi="Arial"/>
                <w:sz w:val="15"/>
                <w:szCs w:val="15"/>
                <w:b w:val="1"/>
                <w:bCs w:val="1"/>
                <w:color w:val="auto"/>
                <w:w w:val="92"/>
              </w:rPr>
              <w:t>Three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3"/>
              </w:rPr>
              <w:t>Number of</w:t>
            </w:r>
          </w:p>
        </w:tc>
      </w:tr>
      <w:tr>
        <w:trPr>
          <w:trHeight w:val="162"/>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Reported</w:t>
            </w:r>
          </w:p>
        </w:tc>
      </w:tr>
      <w:tr>
        <w:trPr>
          <w:trHeight w:val="162"/>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7"/>
              </w:rPr>
              <w:t>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Claims by</w:t>
            </w:r>
          </w:p>
        </w:tc>
      </w:tr>
      <w:tr>
        <w:trPr>
          <w:trHeight w:val="182"/>
        </w:trPr>
        <w:tc>
          <w:tcPr>
            <w:tcW w:w="6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88"/>
              </w:rPr>
              <w:t>Accident</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146"/>
              <w:spacing w:after="0" w:line="156" w:lineRule="exact"/>
              <w:rPr>
                <w:sz w:val="20"/>
                <w:szCs w:val="20"/>
                <w:color w:val="auto"/>
              </w:rPr>
            </w:pPr>
            <w:r>
              <w:rPr>
                <w:rFonts w:ascii="Arial" w:cs="Arial" w:eastAsia="Arial" w:hAnsi="Arial"/>
                <w:sz w:val="15"/>
                <w:szCs w:val="15"/>
                <w:b w:val="1"/>
                <w:bCs w:val="1"/>
                <w:color w:val="auto"/>
                <w:w w:val="90"/>
              </w:rPr>
              <w:t>For the Years Ended December 31,</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6"/>
              <w:spacing w:after="0" w:line="156" w:lineRule="exact"/>
              <w:rPr>
                <w:sz w:val="20"/>
                <w:szCs w:val="20"/>
                <w:color w:val="auto"/>
              </w:rPr>
            </w:pPr>
            <w:r>
              <w:rPr>
                <w:rFonts w:ascii="Arial" w:cs="Arial" w:eastAsia="Arial" w:hAnsi="Arial"/>
                <w:sz w:val="15"/>
                <w:szCs w:val="15"/>
                <w:b w:val="1"/>
                <w:bCs w:val="1"/>
                <w:color w:val="auto"/>
                <w:w w:val="92"/>
              </w:rPr>
              <w:t>March 31,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center"/>
              <w:ind w:right="120"/>
              <w:spacing w:after="0" w:line="156" w:lineRule="exact"/>
              <w:rPr>
                <w:sz w:val="20"/>
                <w:szCs w:val="20"/>
                <w:color w:val="auto"/>
              </w:rPr>
            </w:pPr>
            <w:r>
              <w:rPr>
                <w:rFonts w:ascii="Arial" w:cs="Arial" w:eastAsia="Arial" w:hAnsi="Arial"/>
                <w:sz w:val="15"/>
                <w:szCs w:val="15"/>
                <w:b w:val="1"/>
                <w:bCs w:val="1"/>
                <w:color w:val="auto"/>
                <w:w w:val="88"/>
              </w:rPr>
              <w:t>Accident</w:t>
            </w:r>
          </w:p>
        </w:tc>
      </w:tr>
      <w:tr>
        <w:trPr>
          <w:trHeight w:val="169"/>
        </w:trPr>
        <w:tc>
          <w:tcPr>
            <w:tcW w:w="6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Year</w:t>
            </w:r>
          </w:p>
        </w:tc>
        <w:tc>
          <w:tcPr>
            <w:tcW w:w="220" w:type="dxa"/>
            <w:vAlign w:val="bottom"/>
          </w:tcPr>
          <w:p>
            <w:pPr>
              <w:spacing w:after="0"/>
              <w:rPr>
                <w:sz w:val="14"/>
                <w:szCs w:val="14"/>
                <w:color w:val="auto"/>
              </w:rPr>
            </w:pPr>
          </w:p>
        </w:tc>
        <w:tc>
          <w:tcPr>
            <w:tcW w:w="66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2009</w:t>
            </w:r>
          </w:p>
        </w:tc>
        <w:tc>
          <w:tcPr>
            <w:tcW w:w="240" w:type="dxa"/>
            <w:vAlign w:val="bottom"/>
          </w:tcPr>
          <w:p>
            <w:pPr>
              <w:spacing w:after="0"/>
              <w:rPr>
                <w:sz w:val="14"/>
                <w:szCs w:val="14"/>
                <w:color w:val="auto"/>
              </w:rPr>
            </w:pPr>
          </w:p>
        </w:tc>
        <w:tc>
          <w:tcPr>
            <w:tcW w:w="66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66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2011</w:t>
            </w:r>
          </w:p>
        </w:tc>
        <w:tc>
          <w:tcPr>
            <w:tcW w:w="240" w:type="dxa"/>
            <w:vAlign w:val="bottom"/>
          </w:tcPr>
          <w:p>
            <w:pPr>
              <w:spacing w:after="0"/>
              <w:rPr>
                <w:sz w:val="14"/>
                <w:szCs w:val="14"/>
                <w:color w:val="auto"/>
              </w:rPr>
            </w:pPr>
          </w:p>
        </w:tc>
        <w:tc>
          <w:tcPr>
            <w:tcW w:w="66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4"/>
                <w:szCs w:val="14"/>
                <w:color w:val="auto"/>
              </w:rPr>
            </w:pPr>
          </w:p>
        </w:tc>
        <w:tc>
          <w:tcPr>
            <w:tcW w:w="66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2013</w:t>
            </w:r>
          </w:p>
        </w:tc>
        <w:tc>
          <w:tcPr>
            <w:tcW w:w="240" w:type="dxa"/>
            <w:vAlign w:val="bottom"/>
          </w:tcPr>
          <w:p>
            <w:pPr>
              <w:spacing w:after="0"/>
              <w:rPr>
                <w:sz w:val="14"/>
                <w:szCs w:val="14"/>
                <w:color w:val="auto"/>
              </w:rPr>
            </w:pPr>
          </w:p>
        </w:tc>
        <w:tc>
          <w:tcPr>
            <w:tcW w:w="68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rPr>
              <w:t>2014</w:t>
            </w:r>
          </w:p>
        </w:tc>
        <w:tc>
          <w:tcPr>
            <w:tcW w:w="220" w:type="dxa"/>
            <w:vAlign w:val="bottom"/>
          </w:tcPr>
          <w:p>
            <w:pPr>
              <w:spacing w:after="0"/>
              <w:rPr>
                <w:sz w:val="14"/>
                <w:szCs w:val="14"/>
                <w:color w:val="auto"/>
              </w:rPr>
            </w:pPr>
          </w:p>
        </w:tc>
        <w:tc>
          <w:tcPr>
            <w:tcW w:w="68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2015</w:t>
            </w:r>
          </w:p>
        </w:tc>
        <w:tc>
          <w:tcPr>
            <w:tcW w:w="220" w:type="dxa"/>
            <w:vAlign w:val="bottom"/>
          </w:tcPr>
          <w:p>
            <w:pPr>
              <w:spacing w:after="0"/>
              <w:rPr>
                <w:sz w:val="14"/>
                <w:szCs w:val="14"/>
                <w:color w:val="auto"/>
              </w:rPr>
            </w:pPr>
          </w:p>
        </w:tc>
        <w:tc>
          <w:tcPr>
            <w:tcW w:w="68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2016</w:t>
            </w:r>
          </w:p>
        </w:tc>
        <w:tc>
          <w:tcPr>
            <w:tcW w:w="240" w:type="dxa"/>
            <w:vAlign w:val="bottom"/>
          </w:tcPr>
          <w:p>
            <w:pPr>
              <w:spacing w:after="0"/>
              <w:rPr>
                <w:sz w:val="14"/>
                <w:szCs w:val="14"/>
                <w:color w:val="auto"/>
              </w:rPr>
            </w:pPr>
          </w:p>
        </w:tc>
        <w:tc>
          <w:tcPr>
            <w:tcW w:w="66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6"/>
              <w:spacing w:after="0" w:line="162" w:lineRule="exact"/>
              <w:rPr>
                <w:sz w:val="20"/>
                <w:szCs w:val="20"/>
                <w:color w:val="auto"/>
              </w:rPr>
            </w:pPr>
            <w:r>
              <w:rPr>
                <w:rFonts w:ascii="Arial" w:cs="Arial" w:eastAsia="Arial" w:hAnsi="Arial"/>
                <w:sz w:val="15"/>
                <w:szCs w:val="15"/>
                <w:b w:val="1"/>
                <w:bCs w:val="1"/>
                <w:color w:val="auto"/>
                <w:w w:val="89"/>
              </w:rPr>
              <w:t>2018</w:t>
            </w:r>
          </w:p>
        </w:tc>
        <w:tc>
          <w:tcPr>
            <w:tcW w:w="220" w:type="dxa"/>
            <w:vAlign w:val="bottom"/>
          </w:tcPr>
          <w:p>
            <w:pPr>
              <w:spacing w:after="0"/>
              <w:rPr>
                <w:sz w:val="14"/>
                <w:szCs w:val="14"/>
                <w:color w:val="auto"/>
              </w:rPr>
            </w:pPr>
          </w:p>
        </w:tc>
        <w:tc>
          <w:tcPr>
            <w:tcW w:w="700" w:type="dxa"/>
            <w:vAlign w:val="bottom"/>
          </w:tcPr>
          <w:p>
            <w:pPr>
              <w:jc w:val="right"/>
              <w:ind w:right="206"/>
              <w:spacing w:after="0" w:line="162" w:lineRule="exact"/>
              <w:rPr>
                <w:sz w:val="20"/>
                <w:szCs w:val="20"/>
                <w:color w:val="auto"/>
              </w:rPr>
            </w:pPr>
            <w:r>
              <w:rPr>
                <w:rFonts w:ascii="Arial" w:cs="Arial" w:eastAsia="Arial" w:hAnsi="Arial"/>
                <w:sz w:val="15"/>
                <w:szCs w:val="15"/>
                <w:b w:val="1"/>
                <w:bCs w:val="1"/>
                <w:color w:val="auto"/>
              </w:rPr>
              <w:t>IBNR</w:t>
            </w:r>
          </w:p>
        </w:tc>
        <w:tc>
          <w:tcPr>
            <w:tcW w:w="960" w:type="dxa"/>
            <w:vAlign w:val="bottom"/>
            <w:gridSpan w:val="2"/>
          </w:tcPr>
          <w:p>
            <w:pPr>
              <w:jc w:val="center"/>
              <w:ind w:right="60"/>
              <w:spacing w:after="0" w:line="162" w:lineRule="exact"/>
              <w:rPr>
                <w:sz w:val="20"/>
                <w:szCs w:val="20"/>
                <w:color w:val="auto"/>
              </w:rPr>
            </w:pPr>
            <w:r>
              <w:rPr>
                <w:rFonts w:ascii="Arial" w:cs="Arial" w:eastAsia="Arial" w:hAnsi="Arial"/>
                <w:sz w:val="15"/>
                <w:szCs w:val="15"/>
                <w:b w:val="1"/>
                <w:bCs w:val="1"/>
                <w:color w:val="auto"/>
                <w:w w:val="92"/>
              </w:rPr>
              <w:t>Year</w:t>
            </w:r>
          </w:p>
        </w:tc>
      </w:tr>
      <w:tr>
        <w:trPr>
          <w:trHeight w:val="169"/>
        </w:trPr>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tcBorders>
            <w:gridSpan w:val="5"/>
          </w:tcPr>
          <w:p>
            <w:pPr>
              <w:jc w:val="right"/>
              <w:ind w:right="466"/>
              <w:spacing w:after="0" w:line="162" w:lineRule="exact"/>
              <w:rPr>
                <w:sz w:val="20"/>
                <w:szCs w:val="20"/>
                <w:color w:val="auto"/>
              </w:rPr>
            </w:pPr>
            <w:r>
              <w:rPr>
                <w:rFonts w:ascii="Arial" w:cs="Arial" w:eastAsia="Arial" w:hAnsi="Arial"/>
                <w:sz w:val="15"/>
                <w:szCs w:val="15"/>
                <w:b w:val="1"/>
                <w:bCs w:val="1"/>
                <w:color w:val="auto"/>
              </w:rPr>
              <w:t>(Unaudited 2009 - 2015)</w:t>
            </w: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ind w:left="100"/>
              <w:spacing w:after="0" w:line="162" w:lineRule="exact"/>
              <w:rPr>
                <w:sz w:val="20"/>
                <w:szCs w:val="20"/>
                <w:color w:val="auto"/>
              </w:rPr>
            </w:pPr>
            <w:r>
              <w:rPr>
                <w:rFonts w:ascii="Arial" w:cs="Arial" w:eastAsia="Arial" w:hAnsi="Arial"/>
                <w:sz w:val="15"/>
                <w:szCs w:val="15"/>
                <w:b w:val="1"/>
                <w:bCs w:val="1"/>
                <w:color w:val="auto"/>
                <w:w w:val="95"/>
              </w:rPr>
              <w:t>(Unaudited)</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62"/>
        </w:trPr>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2009</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4,403</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4,254</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4,287</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4,384</w:t>
            </w:r>
          </w:p>
        </w:tc>
        <w:tc>
          <w:tcPr>
            <w:tcW w:w="24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4,511</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4,609</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4,616</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4,667</w:t>
            </w:r>
          </w:p>
        </w:tc>
        <w:tc>
          <w:tcPr>
            <w:tcW w:w="24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4,690</w:t>
            </w:r>
          </w:p>
        </w:tc>
        <w:tc>
          <w:tcPr>
            <w:tcW w:w="2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4,689</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9</w:t>
            </w:r>
          </w:p>
        </w:tc>
        <w:tc>
          <w:tcPr>
            <w:tcW w:w="8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1,136</w:t>
            </w:r>
          </w:p>
        </w:tc>
        <w:tc>
          <w:tcPr>
            <w:tcW w:w="80" w:type="dxa"/>
            <w:vAlign w:val="bottom"/>
          </w:tcPr>
          <w:p>
            <w:pPr>
              <w:spacing w:after="0"/>
              <w:rPr>
                <w:sz w:val="14"/>
                <w:szCs w:val="14"/>
                <w:color w:val="auto"/>
              </w:rPr>
            </w:pPr>
          </w:p>
        </w:tc>
      </w:tr>
      <w:tr>
        <w:trPr>
          <w:trHeight w:val="162"/>
        </w:trPr>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89"/>
              </w:rPr>
              <w:t>2010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5,598</w:t>
            </w:r>
          </w:p>
        </w:tc>
        <w:tc>
          <w:tcPr>
            <w:tcW w:w="22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5,707</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6,429</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6,623</w:t>
            </w: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6,912</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6,853</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6,838</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6,840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6,840</w:t>
            </w:r>
          </w:p>
        </w:tc>
        <w:tc>
          <w:tcPr>
            <w:tcW w:w="2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880" w:type="dxa"/>
            <w:vAlign w:val="bottom"/>
          </w:tcPr>
          <w:p>
            <w:pPr>
              <w:ind w:left="460"/>
              <w:spacing w:after="0" w:line="162" w:lineRule="exact"/>
              <w:rPr>
                <w:sz w:val="20"/>
                <w:szCs w:val="20"/>
                <w:color w:val="auto"/>
              </w:rPr>
            </w:pPr>
            <w:r>
              <w:rPr>
                <w:rFonts w:ascii="Arial" w:cs="Arial" w:eastAsia="Arial" w:hAnsi="Arial"/>
                <w:sz w:val="15"/>
                <w:szCs w:val="15"/>
                <w:color w:val="auto"/>
              </w:rPr>
              <w:t>1,616</w:t>
            </w:r>
          </w:p>
        </w:tc>
        <w:tc>
          <w:tcPr>
            <w:tcW w:w="80" w:type="dxa"/>
            <w:vAlign w:val="bottom"/>
          </w:tcPr>
          <w:p>
            <w:pPr>
              <w:spacing w:after="0"/>
              <w:rPr>
                <w:sz w:val="14"/>
                <w:szCs w:val="14"/>
                <w:color w:val="auto"/>
              </w:rPr>
            </w:pPr>
          </w:p>
        </w:tc>
      </w:tr>
      <w:tr>
        <w:trPr>
          <w:trHeight w:val="162"/>
        </w:trPr>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2011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7,603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7,678</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8,618</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9,440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9,198</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9,066</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9,144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9,143</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6</w:t>
            </w:r>
          </w:p>
        </w:tc>
        <w:tc>
          <w:tcPr>
            <w:tcW w:w="8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1,913</w:t>
            </w:r>
          </w:p>
        </w:tc>
        <w:tc>
          <w:tcPr>
            <w:tcW w:w="80" w:type="dxa"/>
            <w:vAlign w:val="bottom"/>
          </w:tcPr>
          <w:p>
            <w:pPr>
              <w:spacing w:after="0"/>
              <w:rPr>
                <w:sz w:val="14"/>
                <w:szCs w:val="14"/>
                <w:color w:val="auto"/>
              </w:rPr>
            </w:pPr>
          </w:p>
        </w:tc>
      </w:tr>
      <w:tr>
        <w:trPr>
          <w:trHeight w:val="162"/>
        </w:trPr>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89"/>
              </w:rPr>
              <w:t>2012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9,539</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9,344</w:t>
            </w: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10,278</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10,382</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10,582</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10,790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10,777</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31</w:t>
            </w:r>
          </w:p>
        </w:tc>
        <w:tc>
          <w:tcPr>
            <w:tcW w:w="880" w:type="dxa"/>
            <w:vAlign w:val="bottom"/>
          </w:tcPr>
          <w:p>
            <w:pPr>
              <w:ind w:left="460"/>
              <w:spacing w:after="0" w:line="162" w:lineRule="exact"/>
              <w:rPr>
                <w:sz w:val="20"/>
                <w:szCs w:val="20"/>
                <w:color w:val="auto"/>
              </w:rPr>
            </w:pPr>
            <w:r>
              <w:rPr>
                <w:rFonts w:ascii="Arial" w:cs="Arial" w:eastAsia="Arial" w:hAnsi="Arial"/>
                <w:sz w:val="15"/>
                <w:szCs w:val="15"/>
                <w:color w:val="auto"/>
                <w:w w:val="71"/>
              </w:rPr>
              <w:t>4,702(1)</w:t>
            </w:r>
          </w:p>
        </w:tc>
        <w:tc>
          <w:tcPr>
            <w:tcW w:w="80" w:type="dxa"/>
            <w:vAlign w:val="bottom"/>
          </w:tcPr>
          <w:p>
            <w:pPr>
              <w:spacing w:after="0"/>
              <w:rPr>
                <w:sz w:val="14"/>
                <w:szCs w:val="14"/>
                <w:color w:val="auto"/>
              </w:rPr>
            </w:pPr>
          </w:p>
        </w:tc>
      </w:tr>
      <w:tr>
        <w:trPr>
          <w:trHeight w:val="162"/>
        </w:trPr>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2013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10,728</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9,745</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9,424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9,621</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10,061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10,030</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220</w:t>
            </w:r>
          </w:p>
        </w:tc>
        <w:tc>
          <w:tcPr>
            <w:tcW w:w="8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1,558</w:t>
            </w:r>
          </w:p>
        </w:tc>
        <w:tc>
          <w:tcPr>
            <w:tcW w:w="80" w:type="dxa"/>
            <w:vAlign w:val="bottom"/>
          </w:tcPr>
          <w:p>
            <w:pPr>
              <w:spacing w:after="0"/>
              <w:rPr>
                <w:sz w:val="14"/>
                <w:szCs w:val="14"/>
                <w:color w:val="auto"/>
              </w:rPr>
            </w:pPr>
          </w:p>
        </w:tc>
      </w:tr>
      <w:tr>
        <w:trPr>
          <w:trHeight w:val="162"/>
        </w:trPr>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89"/>
              </w:rPr>
              <w:t>2014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14,193</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14,260</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14,218</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14,564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14,487</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628</w:t>
            </w:r>
          </w:p>
        </w:tc>
        <w:tc>
          <w:tcPr>
            <w:tcW w:w="880" w:type="dxa"/>
            <w:vAlign w:val="bottom"/>
          </w:tcPr>
          <w:p>
            <w:pPr>
              <w:ind w:left="460"/>
              <w:spacing w:after="0" w:line="162" w:lineRule="exact"/>
              <w:rPr>
                <w:sz w:val="20"/>
                <w:szCs w:val="20"/>
                <w:color w:val="auto"/>
              </w:rPr>
            </w:pPr>
            <w:r>
              <w:rPr>
                <w:rFonts w:ascii="Arial" w:cs="Arial" w:eastAsia="Arial" w:hAnsi="Arial"/>
                <w:sz w:val="15"/>
                <w:szCs w:val="15"/>
                <w:color w:val="auto"/>
              </w:rPr>
              <w:t>2,126</w:t>
            </w:r>
          </w:p>
        </w:tc>
        <w:tc>
          <w:tcPr>
            <w:tcW w:w="80" w:type="dxa"/>
            <w:vAlign w:val="bottom"/>
          </w:tcPr>
          <w:p>
            <w:pPr>
              <w:spacing w:after="0"/>
              <w:rPr>
                <w:sz w:val="14"/>
                <w:szCs w:val="14"/>
                <w:color w:val="auto"/>
              </w:rPr>
            </w:pPr>
          </w:p>
        </w:tc>
      </w:tr>
      <w:tr>
        <w:trPr>
          <w:trHeight w:val="162"/>
        </w:trPr>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2015</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22,340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21,994</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22,148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22,065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1,007</w:t>
            </w:r>
          </w:p>
        </w:tc>
        <w:tc>
          <w:tcPr>
            <w:tcW w:w="8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2,535</w:t>
            </w:r>
          </w:p>
        </w:tc>
        <w:tc>
          <w:tcPr>
            <w:tcW w:w="80" w:type="dxa"/>
            <w:vAlign w:val="bottom"/>
          </w:tcPr>
          <w:p>
            <w:pPr>
              <w:spacing w:after="0"/>
              <w:rPr>
                <w:sz w:val="14"/>
                <w:szCs w:val="14"/>
                <w:color w:val="auto"/>
              </w:rPr>
            </w:pPr>
          </w:p>
        </w:tc>
      </w:tr>
      <w:tr>
        <w:trPr>
          <w:trHeight w:val="162"/>
        </w:trPr>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89"/>
              </w:rPr>
              <w:t>2016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26,062</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24,941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24,511</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2,383</w:t>
            </w:r>
          </w:p>
        </w:tc>
        <w:tc>
          <w:tcPr>
            <w:tcW w:w="880" w:type="dxa"/>
            <w:vAlign w:val="bottom"/>
          </w:tcPr>
          <w:p>
            <w:pPr>
              <w:ind w:left="460"/>
              <w:spacing w:after="0" w:line="162" w:lineRule="exact"/>
              <w:rPr>
                <w:sz w:val="20"/>
                <w:szCs w:val="20"/>
                <w:color w:val="auto"/>
              </w:rPr>
            </w:pPr>
            <w:r>
              <w:rPr>
                <w:rFonts w:ascii="Arial" w:cs="Arial" w:eastAsia="Arial" w:hAnsi="Arial"/>
                <w:sz w:val="15"/>
                <w:szCs w:val="15"/>
                <w:color w:val="auto"/>
              </w:rPr>
              <w:t>2,848</w:t>
            </w:r>
          </w:p>
        </w:tc>
        <w:tc>
          <w:tcPr>
            <w:tcW w:w="80" w:type="dxa"/>
            <w:vAlign w:val="bottom"/>
          </w:tcPr>
          <w:p>
            <w:pPr>
              <w:spacing w:after="0"/>
              <w:rPr>
                <w:sz w:val="14"/>
                <w:szCs w:val="14"/>
                <w:color w:val="auto"/>
              </w:rPr>
            </w:pPr>
          </w:p>
        </w:tc>
      </w:tr>
      <w:tr>
        <w:trPr>
          <w:trHeight w:val="162"/>
        </w:trPr>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2017</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31,605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32,125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4,605</w:t>
            </w:r>
          </w:p>
        </w:tc>
        <w:tc>
          <w:tcPr>
            <w:tcW w:w="880" w:type="dxa"/>
            <w:vAlign w:val="bottom"/>
            <w:shd w:val="clear" w:color="auto" w:fill="CCEEFF"/>
          </w:tcPr>
          <w:p>
            <w:pPr>
              <w:ind w:left="460"/>
              <w:spacing w:after="0" w:line="162" w:lineRule="exact"/>
              <w:rPr>
                <w:sz w:val="20"/>
                <w:szCs w:val="20"/>
                <w:color w:val="auto"/>
              </w:rPr>
            </w:pPr>
            <w:r>
              <w:rPr>
                <w:rFonts w:ascii="Arial" w:cs="Arial" w:eastAsia="Arial" w:hAnsi="Arial"/>
                <w:sz w:val="15"/>
                <w:szCs w:val="15"/>
                <w:color w:val="auto"/>
              </w:rPr>
              <w:t>3,268</w:t>
            </w:r>
          </w:p>
        </w:tc>
        <w:tc>
          <w:tcPr>
            <w:tcW w:w="80" w:type="dxa"/>
            <w:vAlign w:val="bottom"/>
          </w:tcPr>
          <w:p>
            <w:pPr>
              <w:spacing w:after="0"/>
              <w:rPr>
                <w:sz w:val="14"/>
                <w:szCs w:val="14"/>
                <w:color w:val="auto"/>
              </w:rPr>
            </w:pPr>
          </w:p>
        </w:tc>
      </w:tr>
      <w:tr>
        <w:trPr>
          <w:trHeight w:val="169"/>
        </w:trPr>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89"/>
              </w:rPr>
              <w:t>2018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16,498</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4,175</w:t>
            </w:r>
          </w:p>
        </w:tc>
        <w:tc>
          <w:tcPr>
            <w:tcW w:w="880" w:type="dxa"/>
            <w:vAlign w:val="bottom"/>
          </w:tcPr>
          <w:p>
            <w:pPr>
              <w:ind w:left="460"/>
              <w:spacing w:after="0" w:line="162" w:lineRule="exact"/>
              <w:rPr>
                <w:sz w:val="20"/>
                <w:szCs w:val="20"/>
                <w:color w:val="auto"/>
              </w:rPr>
            </w:pPr>
            <w:r>
              <w:rPr>
                <w:rFonts w:ascii="Arial" w:cs="Arial" w:eastAsia="Arial" w:hAnsi="Arial"/>
                <w:sz w:val="15"/>
                <w:szCs w:val="15"/>
                <w:color w:val="auto"/>
              </w:rPr>
              <w:t>1,185</w:t>
            </w:r>
          </w:p>
        </w:tc>
        <w:tc>
          <w:tcPr>
            <w:tcW w:w="80" w:type="dxa"/>
            <w:vAlign w:val="bottom"/>
          </w:tcPr>
          <w:p>
            <w:pPr>
              <w:spacing w:after="0"/>
              <w:rPr>
                <w:sz w:val="14"/>
                <w:szCs w:val="14"/>
                <w:color w:val="auto"/>
              </w:rPr>
            </w:pPr>
          </w:p>
        </w:tc>
      </w:tr>
      <w:tr>
        <w:trPr>
          <w:trHeight w:val="237"/>
        </w:trPr>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Total</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151,165</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 Reported claims for accident year 2012 includes 3,406 claims from Superstorm Sandy.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12"/>
          </w:tcPr>
          <w:p>
            <w:pPr>
              <w:jc w:val="right"/>
              <w:spacing w:after="0"/>
              <w:rPr>
                <w:sz w:val="20"/>
                <w:szCs w:val="20"/>
                <w:color w:val="auto"/>
              </w:rPr>
            </w:pPr>
            <w:r>
              <w:rPr>
                <w:rFonts w:ascii="Arial" w:cs="Arial" w:eastAsia="Arial" w:hAnsi="Arial"/>
                <w:sz w:val="15"/>
                <w:szCs w:val="15"/>
                <w:b w:val="1"/>
                <w:bCs w:val="1"/>
                <w:color w:val="auto"/>
                <w:w w:val="89"/>
              </w:rPr>
              <w:t>Cumulative Paid Loss and Allocated Loss Adjustment Expenses, Net of Reinsurance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46"/>
              <w:spacing w:after="0" w:line="149" w:lineRule="exact"/>
              <w:rPr>
                <w:sz w:val="20"/>
                <w:szCs w:val="20"/>
                <w:color w:val="auto"/>
              </w:rPr>
            </w:pPr>
            <w:r>
              <w:rPr>
                <w:rFonts w:ascii="Arial" w:cs="Arial" w:eastAsia="Arial" w:hAnsi="Arial"/>
                <w:sz w:val="15"/>
                <w:szCs w:val="15"/>
                <w:b w:val="1"/>
                <w:bCs w:val="1"/>
                <w:color w:val="auto"/>
                <w:w w:val="92"/>
              </w:rPr>
              <w:t>Three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9"/>
              </w:rPr>
              <w:t>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26"/>
              <w:spacing w:after="0" w:line="162" w:lineRule="exact"/>
              <w:rPr>
                <w:sz w:val="20"/>
                <w:szCs w:val="20"/>
                <w:color w:val="auto"/>
              </w:rPr>
            </w:pPr>
            <w:r>
              <w:rPr>
                <w:rFonts w:ascii="Arial" w:cs="Arial" w:eastAsia="Arial" w:hAnsi="Arial"/>
                <w:sz w:val="15"/>
                <w:szCs w:val="15"/>
                <w:b w:val="1"/>
                <w:bCs w:val="1"/>
                <w:color w:val="auto"/>
                <w:w w:val="87"/>
              </w:rPr>
              <w:t>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5"/>
                <w:szCs w:val="15"/>
                <w:b w:val="1"/>
                <w:bCs w:val="1"/>
                <w:color w:val="auto"/>
                <w:w w:val="90"/>
              </w:rPr>
              <w:t>For the Years Ended December 31,</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5"/>
                <w:szCs w:val="15"/>
                <w:b w:val="1"/>
                <w:bCs w:val="1"/>
                <w:color w:val="auto"/>
                <w:w w:val="85"/>
              </w:rPr>
              <w:t>Accident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Year</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2009</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2010</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2011</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2013</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2014</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2015</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2016</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89"/>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466"/>
              <w:spacing w:after="0" w:line="162" w:lineRule="exact"/>
              <w:rPr>
                <w:sz w:val="20"/>
                <w:szCs w:val="20"/>
                <w:color w:val="auto"/>
              </w:rPr>
            </w:pPr>
            <w:r>
              <w:rPr>
                <w:rFonts w:ascii="Arial" w:cs="Arial" w:eastAsia="Arial" w:hAnsi="Arial"/>
                <w:sz w:val="15"/>
                <w:szCs w:val="15"/>
                <w:b w:val="1"/>
                <w:bCs w:val="1"/>
                <w:color w:val="auto"/>
              </w:rPr>
              <w:t>(Unaudited 2009 - 2015)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ind w:left="100"/>
              <w:spacing w:after="0" w:line="162" w:lineRule="exact"/>
              <w:rPr>
                <w:sz w:val="20"/>
                <w:szCs w:val="20"/>
                <w:color w:val="auto"/>
              </w:rPr>
            </w:pPr>
            <w:r>
              <w:rPr>
                <w:rFonts w:ascii="Arial" w:cs="Arial" w:eastAsia="Arial" w:hAnsi="Arial"/>
                <w:sz w:val="15"/>
                <w:szCs w:val="15"/>
                <w:b w:val="1"/>
                <w:bCs w:val="1"/>
                <w:color w:val="auto"/>
                <w:w w:val="95"/>
              </w:rPr>
              <w:t>(Unaudited)</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2009</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2,298</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3,068</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3,607</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3,920</w:t>
            </w:r>
          </w:p>
        </w:tc>
        <w:tc>
          <w:tcPr>
            <w:tcW w:w="24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4,134</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4,362</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4,424</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4,468</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4,487</w:t>
            </w:r>
          </w:p>
        </w:tc>
        <w:tc>
          <w:tcPr>
            <w:tcW w:w="2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4,604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ind w:left="120"/>
              <w:spacing w:after="0" w:line="162" w:lineRule="exact"/>
              <w:rPr>
                <w:sz w:val="20"/>
                <w:szCs w:val="20"/>
                <w:color w:val="auto"/>
              </w:rPr>
            </w:pPr>
            <w:r>
              <w:rPr>
                <w:rFonts w:ascii="Arial" w:cs="Arial" w:eastAsia="Arial" w:hAnsi="Arial"/>
                <w:sz w:val="15"/>
                <w:szCs w:val="15"/>
                <w:color w:val="auto"/>
              </w:rPr>
              <w:t>2010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2,566</w:t>
            </w: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3,947</w:t>
            </w:r>
          </w:p>
        </w:tc>
        <w:tc>
          <w:tcPr>
            <w:tcW w:w="22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4,972</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5,602</w:t>
            </w: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6,323</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6,576</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6,720</w:t>
            </w:r>
          </w:p>
        </w:tc>
        <w:tc>
          <w:tcPr>
            <w:tcW w:w="20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6,772</w:t>
            </w:r>
          </w:p>
        </w:tc>
        <w:tc>
          <w:tcPr>
            <w:tcW w:w="2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6,772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2011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3,740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5,117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6,228</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7,170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8,139</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8,540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8,702</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8,706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ind w:left="120"/>
              <w:spacing w:after="0" w:line="162" w:lineRule="exact"/>
              <w:rPr>
                <w:sz w:val="20"/>
                <w:szCs w:val="20"/>
                <w:color w:val="auto"/>
              </w:rPr>
            </w:pPr>
            <w:r>
              <w:rPr>
                <w:rFonts w:ascii="Arial" w:cs="Arial" w:eastAsia="Arial" w:hAnsi="Arial"/>
                <w:sz w:val="15"/>
                <w:szCs w:val="15"/>
                <w:color w:val="auto"/>
              </w:rPr>
              <w:t>2012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3,950</w:t>
            </w:r>
          </w:p>
        </w:tc>
        <w:tc>
          <w:tcPr>
            <w:tcW w:w="240" w:type="dxa"/>
            <w:vAlign w:val="bottom"/>
          </w:tcPr>
          <w:p>
            <w:pPr>
              <w:spacing w:after="0"/>
              <w:rPr>
                <w:sz w:val="14"/>
                <w:szCs w:val="14"/>
                <w:color w:val="auto"/>
              </w:rPr>
            </w:pPr>
          </w:p>
        </w:tc>
        <w:tc>
          <w:tcPr>
            <w:tcW w:w="660" w:type="dxa"/>
            <w:vAlign w:val="bottom"/>
          </w:tcPr>
          <w:p>
            <w:pPr>
              <w:jc w:val="right"/>
              <w:ind w:right="6"/>
              <w:spacing w:after="0" w:line="162" w:lineRule="exact"/>
              <w:rPr>
                <w:sz w:val="20"/>
                <w:szCs w:val="20"/>
                <w:color w:val="auto"/>
              </w:rPr>
            </w:pPr>
            <w:r>
              <w:rPr>
                <w:rFonts w:ascii="Arial" w:cs="Arial" w:eastAsia="Arial" w:hAnsi="Arial"/>
                <w:sz w:val="15"/>
                <w:szCs w:val="15"/>
                <w:color w:val="auto"/>
              </w:rPr>
              <w:t>5,770</w:t>
            </w: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7,127</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8,196</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9,187</w:t>
            </w:r>
          </w:p>
        </w:tc>
        <w:tc>
          <w:tcPr>
            <w:tcW w:w="20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10,236</w:t>
            </w:r>
          </w:p>
        </w:tc>
        <w:tc>
          <w:tcPr>
            <w:tcW w:w="2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10,290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2013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3,405</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5,303</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6,633</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7,591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8,407</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8,487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ind w:left="120"/>
              <w:spacing w:after="0" w:line="162" w:lineRule="exact"/>
              <w:rPr>
                <w:sz w:val="20"/>
                <w:szCs w:val="20"/>
                <w:color w:val="auto"/>
              </w:rPr>
            </w:pPr>
            <w:r>
              <w:rPr>
                <w:rFonts w:ascii="Arial" w:cs="Arial" w:eastAsia="Arial" w:hAnsi="Arial"/>
                <w:sz w:val="15"/>
                <w:szCs w:val="15"/>
                <w:color w:val="auto"/>
              </w:rPr>
              <w:t>2014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5,710</w:t>
            </w:r>
          </w:p>
        </w:tc>
        <w:tc>
          <w:tcPr>
            <w:tcW w:w="220" w:type="dxa"/>
            <w:vAlign w:val="bottom"/>
          </w:tcPr>
          <w:p>
            <w:pPr>
              <w:spacing w:after="0"/>
              <w:rPr>
                <w:sz w:val="14"/>
                <w:szCs w:val="14"/>
                <w:color w:val="auto"/>
              </w:rPr>
            </w:pPr>
          </w:p>
        </w:tc>
        <w:tc>
          <w:tcPr>
            <w:tcW w:w="6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9,429</w:t>
            </w: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10,738</w:t>
            </w:r>
          </w:p>
        </w:tc>
        <w:tc>
          <w:tcPr>
            <w:tcW w:w="20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11,770</w:t>
            </w:r>
          </w:p>
        </w:tc>
        <w:tc>
          <w:tcPr>
            <w:tcW w:w="2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12,038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2015</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12,295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16,181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18,266</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18,495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ind w:left="120"/>
              <w:spacing w:after="0" w:line="162" w:lineRule="exact"/>
              <w:rPr>
                <w:sz w:val="20"/>
                <w:szCs w:val="20"/>
                <w:color w:val="auto"/>
              </w:rPr>
            </w:pPr>
            <w:r>
              <w:rPr>
                <w:rFonts w:ascii="Arial" w:cs="Arial" w:eastAsia="Arial" w:hAnsi="Arial"/>
                <w:sz w:val="15"/>
                <w:szCs w:val="15"/>
                <w:color w:val="auto"/>
              </w:rPr>
              <w:t>2016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15,364</w:t>
            </w:r>
          </w:p>
        </w:tc>
        <w:tc>
          <w:tcPr>
            <w:tcW w:w="200" w:type="dxa"/>
            <w:vAlign w:val="bottom"/>
          </w:tcPr>
          <w:p>
            <w:pPr>
              <w:spacing w:after="0"/>
              <w:rPr>
                <w:sz w:val="14"/>
                <w:szCs w:val="14"/>
                <w:color w:val="auto"/>
              </w:rPr>
            </w:pPr>
          </w:p>
        </w:tc>
        <w:tc>
          <w:tcPr>
            <w:tcW w:w="6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19,001</w:t>
            </w:r>
          </w:p>
        </w:tc>
        <w:tc>
          <w:tcPr>
            <w:tcW w:w="200" w:type="dxa"/>
            <w:vAlign w:val="bottom"/>
          </w:tcPr>
          <w:p>
            <w:pPr>
              <w:spacing w:after="0"/>
              <w:rPr>
                <w:sz w:val="14"/>
                <w:szCs w:val="14"/>
                <w:color w:val="auto"/>
              </w:rPr>
            </w:pPr>
          </w:p>
        </w:tc>
        <w:tc>
          <w:tcPr>
            <w:tcW w:w="7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19,294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2017</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16,704</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21,849</w:t>
            </w:r>
          </w:p>
        </w:tc>
        <w:tc>
          <w:tcPr>
            <w:tcW w:w="0" w:type="dxa"/>
            <w:vAlign w:val="bottom"/>
          </w:tcPr>
          <w:p>
            <w:pPr>
              <w:spacing w:after="0"/>
              <w:rPr>
                <w:sz w:val="1"/>
                <w:szCs w:val="1"/>
                <w:color w:val="auto"/>
              </w:rPr>
            </w:pPr>
          </w:p>
        </w:tc>
      </w:tr>
      <w:tr>
        <w:trPr>
          <w:trHeight w:val="169"/>
        </w:trPr>
        <w:tc>
          <w:tcPr>
            <w:tcW w:w="580" w:type="dxa"/>
            <w:vAlign w:val="bottom"/>
            <w:gridSpan w:val="2"/>
          </w:tcPr>
          <w:p>
            <w:pPr>
              <w:ind w:left="140"/>
              <w:spacing w:after="0" w:line="142" w:lineRule="exact"/>
              <w:rPr>
                <w:sz w:val="20"/>
                <w:szCs w:val="20"/>
                <w:color w:val="auto"/>
              </w:rPr>
            </w:pPr>
            <w:r>
              <w:rPr>
                <w:rFonts w:ascii="Arial" w:cs="Arial" w:eastAsia="Arial" w:hAnsi="Arial"/>
                <w:sz w:val="15"/>
                <w:szCs w:val="15"/>
                <w:color w:val="auto"/>
              </w:rPr>
              <w:t>2018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5"/>
                <w:szCs w:val="15"/>
                <w:color w:val="auto"/>
              </w:rPr>
              <w:t>5,641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206"/>
              <w:spacing w:after="0" w:line="142" w:lineRule="exact"/>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26"/>
              <w:spacing w:after="0" w:line="142" w:lineRule="exact"/>
              <w:rPr>
                <w:sz w:val="20"/>
                <w:szCs w:val="20"/>
                <w:color w:val="auto"/>
              </w:rPr>
            </w:pPr>
            <w:r>
              <w:rPr>
                <w:rFonts w:ascii="Arial" w:cs="Arial" w:eastAsia="Arial" w:hAnsi="Arial"/>
                <w:sz w:val="15"/>
                <w:szCs w:val="15"/>
                <w:color w:val="auto"/>
              </w:rPr>
              <w:t>116,176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gridSpan w:val="13"/>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gridSpan w:val="13"/>
            <w:shd w:val="clear" w:color="auto" w:fill="CCEEFF"/>
          </w:tcPr>
          <w:p>
            <w:pPr>
              <w:spacing w:after="0" w:line="162" w:lineRule="exact"/>
              <w:rPr>
                <w:sz w:val="20"/>
                <w:szCs w:val="20"/>
                <w:color w:val="auto"/>
              </w:rPr>
            </w:pPr>
            <w:r>
              <w:rPr>
                <w:rFonts w:ascii="Arial" w:cs="Arial" w:eastAsia="Arial" w:hAnsi="Arial"/>
                <w:sz w:val="15"/>
                <w:szCs w:val="15"/>
                <w:color w:val="auto"/>
                <w:w w:val="89"/>
              </w:rPr>
              <w:t>Net liability for unpaid loss and allocated loss adjustment expenses for the accident years presented</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34,990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gridSpan w:val="8"/>
          </w:tcPr>
          <w:p>
            <w:pPr>
              <w:spacing w:after="0" w:line="142" w:lineRule="exact"/>
              <w:rPr>
                <w:sz w:val="20"/>
                <w:szCs w:val="20"/>
                <w:color w:val="auto"/>
              </w:rPr>
            </w:pPr>
            <w:r>
              <w:rPr>
                <w:rFonts w:ascii="Arial" w:cs="Arial" w:eastAsia="Arial" w:hAnsi="Arial"/>
                <w:sz w:val="15"/>
                <w:szCs w:val="15"/>
                <w:color w:val="auto"/>
                <w:w w:val="93"/>
              </w:rPr>
              <w:t>All outstanding liabilities before 2009, net of reinsurance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5"/>
                <w:szCs w:val="15"/>
                <w:color w:val="auto"/>
                <w:w w:val="98"/>
              </w:rPr>
              <w:t>Liabilities for loss and allocated loss adjustment expenses, net of reinsurance</w:t>
            </w: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35,212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00"/>
          </w:cols>
          <w:pgMar w:left="240" w:top="584" w:right="1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The reconciliation of the net incurred and paid loss development tables to the loss and LAE reserves in the consolidated balance sheet is as follows: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6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(in thousands)</w:t>
            </w:r>
          </w:p>
        </w:tc>
        <w:tc>
          <w:tcPr>
            <w:tcW w:w="36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182"/>
        </w:trPr>
        <w:tc>
          <w:tcPr>
            <w:tcW w:w="10060" w:type="dxa"/>
            <w:vAlign w:val="bottom"/>
            <w:gridSpan w:val="2"/>
            <w:vMerge w:val="continue"/>
          </w:tcPr>
          <w:p>
            <w:pPr>
              <w:spacing w:after="0"/>
              <w:rPr>
                <w:sz w:val="15"/>
                <w:szCs w:val="15"/>
                <w:color w:val="auto"/>
              </w:rPr>
            </w:pPr>
          </w:p>
        </w:tc>
        <w:tc>
          <w:tcPr>
            <w:tcW w:w="1360" w:type="dxa"/>
            <w:vAlign w:val="bottom"/>
            <w:gridSpan w:val="2"/>
          </w:tcPr>
          <w:p>
            <w:pPr>
              <w:jc w:val="right"/>
              <w:ind w:right="115"/>
              <w:spacing w:after="0"/>
              <w:rPr>
                <w:sz w:val="20"/>
                <w:szCs w:val="20"/>
                <w:color w:val="auto"/>
              </w:rPr>
            </w:pPr>
            <w:r>
              <w:rPr>
                <w:rFonts w:ascii="Arial" w:cs="Arial" w:eastAsia="Arial" w:hAnsi="Arial"/>
                <w:sz w:val="15"/>
                <w:szCs w:val="15"/>
                <w:b w:val="1"/>
                <w:bCs w:val="1"/>
                <w:color w:val="auto"/>
              </w:rPr>
              <w:t>March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3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3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19,422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56,272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quota share reinsurance treaties in effect for the three months ended March 31, 2018 for its personal lines business, which primarily consists of homeowners’ policies, were covered under the July 1, 2017/June 30, 2018 treaty year (“2017/2019 Treaty”) (two year treaty as described below). The Company’s quota share reinsurance treaties in effect for the three months ended March 31, 2017 were covered under the July 1, 2016/June 30, 2017 treaty year (“2016/2017 Treaty”).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Company’s 2016/2017 Treaty and 2017/2019 Treaty provide for the following material terms:</w:t>
      </w:r>
    </w:p>
    <w:p>
      <w:pPr>
        <w:spacing w:after="0" w:line="301" w:lineRule="exact"/>
        <w:rPr>
          <w:sz w:val="20"/>
          <w:szCs w:val="20"/>
          <w:color w:val="auto"/>
        </w:rPr>
      </w:pPr>
    </w:p>
    <w:p>
      <w:pPr>
        <w:ind w:left="9700"/>
        <w:spacing w:after="0"/>
        <w:rPr>
          <w:sz w:val="20"/>
          <w:szCs w:val="20"/>
          <w:color w:val="auto"/>
        </w:rPr>
      </w:pPr>
      <w:r>
        <w:rPr>
          <w:rFonts w:ascii="Arial" w:cs="Arial" w:eastAsia="Arial" w:hAnsi="Arial"/>
          <w:sz w:val="15"/>
          <w:szCs w:val="15"/>
          <w:b w:val="1"/>
          <w:bCs w:val="1"/>
          <w:color w:val="auto"/>
        </w:rPr>
        <w:t>Treaty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tcPr>
          <w:p>
            <w:pPr>
              <w:jc w:val="center"/>
              <w:ind w:right="193"/>
              <w:spacing w:after="0"/>
              <w:rPr>
                <w:sz w:val="20"/>
                <w:szCs w:val="20"/>
                <w:color w:val="auto"/>
              </w:rPr>
            </w:pPr>
            <w:r>
              <w:rPr>
                <w:rFonts w:ascii="Arial" w:cs="Arial" w:eastAsia="Arial" w:hAnsi="Arial"/>
                <w:sz w:val="15"/>
                <w:szCs w:val="15"/>
                <w:b w:val="1"/>
                <w:bCs w:val="1"/>
                <w:color w:val="auto"/>
                <w:w w:val="90"/>
              </w:rPr>
              <w:t>July 1, 2017</w:t>
            </w:r>
          </w:p>
        </w:tc>
        <w:tc>
          <w:tcPr>
            <w:tcW w:w="180" w:type="dxa"/>
            <w:vAlign w:val="bottom"/>
          </w:tcPr>
          <w:p>
            <w:pPr>
              <w:spacing w:after="0"/>
              <w:rPr>
                <w:sz w:val="16"/>
                <w:szCs w:val="16"/>
                <w:color w:val="auto"/>
              </w:rPr>
            </w:pPr>
          </w:p>
        </w:tc>
        <w:tc>
          <w:tcPr>
            <w:tcW w:w="1120" w:type="dxa"/>
            <w:vAlign w:val="bottom"/>
          </w:tcPr>
          <w:p>
            <w:pPr>
              <w:jc w:val="center"/>
              <w:ind w:right="153"/>
              <w:spacing w:after="0"/>
              <w:rPr>
                <w:sz w:val="20"/>
                <w:szCs w:val="20"/>
                <w:color w:val="auto"/>
              </w:rPr>
            </w:pPr>
            <w:r>
              <w:rPr>
                <w:rFonts w:ascii="Arial" w:cs="Arial" w:eastAsia="Arial" w:hAnsi="Arial"/>
                <w:sz w:val="15"/>
                <w:szCs w:val="15"/>
                <w:b w:val="1"/>
                <w:bCs w:val="1"/>
                <w:color w:val="auto"/>
                <w:w w:val="90"/>
              </w:rPr>
              <w:t>July 1, 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tcPr>
          <w:p>
            <w:pPr>
              <w:jc w:val="center"/>
              <w:ind w:right="193"/>
              <w:spacing w:after="0"/>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21"/>
                <w:szCs w:val="21"/>
                <w:color w:val="auto"/>
              </w:rPr>
            </w:pPr>
          </w:p>
        </w:tc>
        <w:tc>
          <w:tcPr>
            <w:tcW w:w="1120" w:type="dxa"/>
            <w:vAlign w:val="bottom"/>
          </w:tcPr>
          <w:p>
            <w:pPr>
              <w:jc w:val="center"/>
              <w:ind w:right="153"/>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6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Line of Business</w:t>
            </w:r>
          </w:p>
        </w:tc>
        <w:tc>
          <w:tcPr>
            <w:tcW w:w="1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13"/>
              <w:spacing w:after="0"/>
              <w:rPr>
                <w:sz w:val="20"/>
                <w:szCs w:val="20"/>
                <w:color w:val="auto"/>
              </w:rPr>
            </w:pPr>
            <w:r>
              <w:rPr>
                <w:rFonts w:ascii="Arial" w:cs="Arial" w:eastAsia="Arial" w:hAnsi="Arial"/>
                <w:sz w:val="15"/>
                <w:szCs w:val="15"/>
                <w:b w:val="1"/>
                <w:bCs w:val="1"/>
                <w:color w:val="auto"/>
                <w:w w:val="88"/>
              </w:rPr>
              <w:t>June 30, 2018</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5"/>
                <w:szCs w:val="15"/>
                <w:b w:val="1"/>
                <w:bCs w:val="1"/>
                <w:color w:val="auto"/>
                <w:w w:val="88"/>
              </w:rPr>
              <w:t>June 30,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Personal Lines:</w:t>
            </w: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8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6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Percent ceded</w:t>
            </w:r>
          </w:p>
        </w:tc>
        <w:tc>
          <w:tcPr>
            <w:tcW w:w="1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of loss coverage and facultative facility above quota share coverage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3,666,667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21"/>
                <w:szCs w:val="21"/>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w w:val="90"/>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9,200,000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Expiration date</w:t>
            </w:r>
          </w:p>
        </w:tc>
        <w:tc>
          <w:tcPr>
            <w:tcW w:w="2840" w:type="dxa"/>
            <w:vAlign w:val="bottom"/>
            <w:gridSpan w:val="2"/>
          </w:tcPr>
          <w:p>
            <w:pPr>
              <w:jc w:val="center"/>
              <w:ind w:left="1252"/>
              <w:spacing w:after="0"/>
              <w:rPr>
                <w:sz w:val="20"/>
                <w:szCs w:val="20"/>
                <w:color w:val="auto"/>
              </w:rPr>
            </w:pPr>
            <w:r>
              <w:rPr>
                <w:rFonts w:ascii="Arial" w:cs="Arial" w:eastAsia="Arial" w:hAnsi="Arial"/>
                <w:sz w:val="18"/>
                <w:szCs w:val="18"/>
                <w:color w:val="auto"/>
                <w:w w:val="85"/>
              </w:rPr>
              <w:t>June 30, 2019</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40"/>
              <w:spacing w:after="0"/>
              <w:rPr>
                <w:sz w:val="20"/>
                <w:szCs w:val="20"/>
                <w:color w:val="auto"/>
              </w:rPr>
            </w:pPr>
            <w:r>
              <w:rPr>
                <w:rFonts w:ascii="Arial" w:cs="Arial" w:eastAsia="Arial" w:hAnsi="Arial"/>
                <w:sz w:val="18"/>
                <w:szCs w:val="18"/>
                <w:color w:val="auto"/>
              </w:rPr>
              <w:t>Personal Umbrella</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1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Risk retained</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28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5"/>
              </w:rPr>
              <w:t>June 30, 2018</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16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40"/>
              <w:spacing w:after="0"/>
              <w:rPr>
                <w:sz w:val="20"/>
                <w:szCs w:val="20"/>
                <w:color w:val="auto"/>
              </w:rPr>
            </w:pPr>
            <w:r>
              <w:rPr>
                <w:rFonts w:ascii="Arial" w:cs="Arial" w:eastAsia="Arial" w:hAnsi="Arial"/>
                <w:sz w:val="18"/>
                <w:szCs w:val="18"/>
                <w:color w:val="auto"/>
              </w:rPr>
              <w:t>General liability commercial policies</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Percent ceded</w:t>
            </w:r>
          </w:p>
        </w:tc>
        <w:tc>
          <w:tcPr>
            <w:tcW w:w="16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6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21"/>
                <w:szCs w:val="21"/>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w w:val="90"/>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3,750,000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Commercial Umbrella</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Quota share treaty:</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1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Expiration date</w:t>
            </w:r>
          </w:p>
        </w:tc>
        <w:tc>
          <w:tcPr>
            <w:tcW w:w="2840" w:type="dxa"/>
            <w:vAlign w:val="bottom"/>
            <w:gridSpan w:val="2"/>
          </w:tcPr>
          <w:p>
            <w:pPr>
              <w:jc w:val="center"/>
              <w:ind w:left="1252"/>
              <w:spacing w:after="0"/>
              <w:rPr>
                <w:sz w:val="20"/>
                <w:szCs w:val="20"/>
                <w:color w:val="auto"/>
              </w:rPr>
            </w:pPr>
            <w:r>
              <w:rPr>
                <w:rFonts w:ascii="Arial" w:cs="Arial" w:eastAsia="Arial" w:hAnsi="Arial"/>
                <w:sz w:val="18"/>
                <w:szCs w:val="18"/>
                <w:color w:val="auto"/>
                <w:w w:val="85"/>
              </w:rPr>
              <w:t>June 30, 2018</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60" w:type="dxa"/>
            <w:vAlign w:val="bottom"/>
            <w:gridSpan w:val="4"/>
          </w:tcPr>
          <w:p>
            <w:pPr>
              <w:spacing w:after="0" w:line="176" w:lineRule="exact"/>
              <w:rPr>
                <w:sz w:val="20"/>
                <w:szCs w:val="20"/>
                <w:color w:val="auto"/>
              </w:rPr>
            </w:pPr>
            <w:r>
              <w:rPr>
                <w:rFonts w:ascii="Arial" w:cs="Arial" w:eastAsia="Arial" w:hAnsi="Arial"/>
                <w:sz w:val="18"/>
                <w:szCs w:val="18"/>
                <w:color w:val="auto"/>
              </w:rPr>
              <w:t>Catastrophe Reinsurance:</w:t>
            </w: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Risk retained per catastrophe occurrence (2)</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Catastrophe loss coverage in excess of quota share coverage (3)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315,000,000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247,000,000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4"/>
          </w:tcPr>
          <w:p>
            <w:pPr>
              <w:ind w:left="200"/>
              <w:spacing w:after="0"/>
              <w:rPr>
                <w:sz w:val="20"/>
                <w:szCs w:val="20"/>
                <w:color w:val="auto"/>
              </w:rPr>
            </w:pPr>
            <w:r>
              <w:rPr>
                <w:rFonts w:ascii="Arial" w:cs="Arial" w:eastAsia="Arial" w:hAnsi="Arial"/>
                <w:sz w:val="18"/>
                <w:szCs w:val="18"/>
                <w:color w:val="auto"/>
              </w:rPr>
              <w:t>Reinstatement premium protection (4)</w:t>
            </w:r>
          </w:p>
        </w:tc>
        <w:tc>
          <w:tcPr>
            <w:tcW w:w="1640" w:type="dxa"/>
            <w:vAlign w:val="bottom"/>
          </w:tcPr>
          <w:p>
            <w:pPr>
              <w:spacing w:after="0"/>
              <w:rPr>
                <w:sz w:val="19"/>
                <w:szCs w:val="19"/>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3"/>
              </w:rPr>
              <w:t>Yes</w:t>
            </w:r>
          </w:p>
        </w:tc>
        <w:tc>
          <w:tcPr>
            <w:tcW w:w="180" w:type="dxa"/>
            <w:vAlign w:val="bottom"/>
          </w:tcPr>
          <w:p>
            <w:pPr>
              <w:spacing w:after="0"/>
              <w:rPr>
                <w:sz w:val="19"/>
                <w:szCs w:val="19"/>
                <w:color w:val="auto"/>
              </w:rPr>
            </w:pPr>
          </w:p>
        </w:tc>
        <w:tc>
          <w:tcPr>
            <w:tcW w:w="1120" w:type="dxa"/>
            <w:vAlign w:val="bottom"/>
          </w:tcPr>
          <w:p>
            <w:pPr>
              <w:jc w:val="center"/>
              <w:ind w:right="153"/>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hanging="332"/>
        <w:spacing w:after="0" w:line="25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right="76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July 1, 2016, reinstatement premium protection for $20,000,000 of catastrophe coverage in excess of $5,000,000. Effective July 1, 2017, reinstatement premium protection for $145,000,000 of catstrophe coverage in excess of $5,000,000.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The single maximum risks per occurrence to which the Company is subject under the new treaties effective July 1, 2017 and under the treaties that expired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120" w:type="dxa"/>
            <w:vAlign w:val="bottom"/>
            <w:vMerge w:val="restart"/>
          </w:tcPr>
          <w:p>
            <w:pPr>
              <w:spacing w:after="0"/>
              <w:rPr>
                <w:sz w:val="15"/>
                <w:szCs w:val="15"/>
                <w:color w:val="auto"/>
              </w:rPr>
            </w:pPr>
          </w:p>
        </w:tc>
        <w:tc>
          <w:tcPr>
            <w:tcW w:w="3320" w:type="dxa"/>
            <w:vAlign w:val="bottom"/>
            <w:tcBorders>
              <w:bottom w:val="single" w:sz="8" w:color="auto"/>
            </w:tcBorders>
            <w:gridSpan w:val="3"/>
          </w:tcPr>
          <w:p>
            <w:pPr>
              <w:ind w:left="1480"/>
              <w:spacing w:after="0"/>
              <w:rPr>
                <w:sz w:val="20"/>
                <w:szCs w:val="20"/>
                <w:color w:val="auto"/>
              </w:rPr>
            </w:pPr>
            <w:r>
              <w:rPr>
                <w:rFonts w:ascii="Arial" w:cs="Arial" w:eastAsia="Arial" w:hAnsi="Arial"/>
                <w:sz w:val="15"/>
                <w:szCs w:val="15"/>
                <w:b w:val="1"/>
                <w:bCs w:val="1"/>
                <w:color w:val="auto"/>
                <w:w w:val="93"/>
              </w:rPr>
              <w:t>July 1, 2017 - June 30, 2018</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auto"/>
            </w:tcBorders>
            <w:gridSpan w:val="3"/>
          </w:tcPr>
          <w:p>
            <w:pPr>
              <w:ind w:left="1280"/>
              <w:spacing w:after="0"/>
              <w:rPr>
                <w:sz w:val="20"/>
                <w:szCs w:val="20"/>
                <w:color w:val="auto"/>
              </w:rPr>
            </w:pPr>
            <w:r>
              <w:rPr>
                <w:rFonts w:ascii="Arial" w:cs="Arial" w:eastAsia="Arial" w:hAnsi="Arial"/>
                <w:sz w:val="15"/>
                <w:szCs w:val="15"/>
                <w:b w:val="1"/>
                <w:bCs w:val="1"/>
                <w:color w:val="auto"/>
                <w:w w:val="93"/>
              </w:rPr>
              <w:t>July 1, 2016 - June 30, 2017</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7"/>
              </w:rPr>
              <w:t>Range of Loss</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3"/>
              <w:spacing w:after="0" w:line="162" w:lineRule="exact"/>
              <w:rPr>
                <w:sz w:val="20"/>
                <w:szCs w:val="20"/>
                <w:color w:val="auto"/>
              </w:rPr>
            </w:pPr>
            <w:r>
              <w:rPr>
                <w:rFonts w:ascii="Arial" w:cs="Arial" w:eastAsia="Arial" w:hAnsi="Arial"/>
                <w:sz w:val="15"/>
                <w:szCs w:val="15"/>
                <w:b w:val="1"/>
                <w:bCs w:val="1"/>
                <w:color w:val="auto"/>
                <w:w w:val="88"/>
              </w:rPr>
              <w:t>Risk Retained</w:t>
            </w:r>
          </w:p>
        </w:tc>
        <w:tc>
          <w:tcPr>
            <w:tcW w:w="100" w:type="dxa"/>
            <w:vAlign w:val="bottom"/>
          </w:tcPr>
          <w:p>
            <w:pPr>
              <w:spacing w:after="0"/>
              <w:rPr>
                <w:sz w:val="14"/>
                <w:szCs w:val="14"/>
                <w:color w:val="auto"/>
              </w:rPr>
            </w:pPr>
          </w:p>
        </w:tc>
        <w:tc>
          <w:tcPr>
            <w:tcW w:w="28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5"/>
              </w:rPr>
              <w:t>Range of 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3"/>
              <w:spacing w:after="0" w:line="162" w:lineRule="exact"/>
              <w:rPr>
                <w:sz w:val="20"/>
                <w:szCs w:val="20"/>
                <w:color w:val="auto"/>
              </w:rPr>
            </w:pPr>
            <w:r>
              <w:rPr>
                <w:rFonts w:ascii="Arial" w:cs="Arial" w:eastAsia="Arial" w:hAnsi="Arial"/>
                <w:sz w:val="15"/>
                <w:szCs w:val="15"/>
                <w:b w:val="1"/>
                <w:bCs w:val="1"/>
                <w:color w:val="auto"/>
                <w:w w:val="90"/>
              </w:rPr>
              <w:t>Risk Retained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Personal Lines (1)</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$800,000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Initial $833,333</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$10,000,000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213"/>
              <w:spacing w:after="0"/>
              <w:rPr>
                <w:sz w:val="20"/>
                <w:szCs w:val="20"/>
                <w:color w:val="auto"/>
              </w:rPr>
            </w:pPr>
            <w:r>
              <w:rPr>
                <w:rFonts w:ascii="Arial" w:cs="Arial" w:eastAsia="Arial" w:hAnsi="Arial"/>
                <w:sz w:val="18"/>
                <w:szCs w:val="18"/>
                <w:color w:val="auto"/>
                <w:w w:val="92"/>
              </w:rPr>
              <w:t>None(2)</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$833,333 - $4,500,000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Over $10,000,000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$4,500,000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Personal Umbrella</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$100,000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Commercial Lines</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1"/>
              </w:rPr>
              <w:t>Initial $750,000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$750,000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Initial $500,000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$750,000 - $4,500,000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213"/>
              <w:spacing w:after="0"/>
              <w:rPr>
                <w:sz w:val="20"/>
                <w:szCs w:val="20"/>
                <w:color w:val="auto"/>
              </w:rPr>
            </w:pPr>
            <w:r>
              <w:rPr>
                <w:rFonts w:ascii="Arial" w:cs="Arial" w:eastAsia="Arial" w:hAnsi="Arial"/>
                <w:sz w:val="18"/>
                <w:szCs w:val="18"/>
                <w:color w:val="auto"/>
                <w:w w:val="92"/>
              </w:rPr>
              <w:t>None(3)</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$500,000 - $4,500,000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3"/>
              <w:spacing w:after="0"/>
              <w:rPr>
                <w:sz w:val="20"/>
                <w:szCs w:val="20"/>
                <w:color w:val="auto"/>
              </w:rPr>
            </w:pPr>
            <w:r>
              <w:rPr>
                <w:rFonts w:ascii="Arial" w:cs="Arial" w:eastAsia="Arial" w:hAnsi="Arial"/>
                <w:sz w:val="18"/>
                <w:szCs w:val="18"/>
                <w:color w:val="auto"/>
                <w:w w:val="92"/>
              </w:rPr>
              <w:t>None(3)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$4,500,000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$4,500,000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Umbrella</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$100,000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Catastrophe (4)</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8"/>
              </w:rPr>
              <w:t>$4,000,000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8"/>
              </w:rPr>
              <w:t>$3,000,000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right"/>
              <w:ind w:right="314"/>
              <w:spacing w:after="0"/>
              <w:rPr>
                <w:sz w:val="20"/>
                <w:szCs w:val="20"/>
                <w:color w:val="auto"/>
              </w:rPr>
            </w:pPr>
            <w:r>
              <w:rPr>
                <w:rFonts w:ascii="Arial" w:cs="Arial" w:eastAsia="Arial" w:hAnsi="Arial"/>
                <w:sz w:val="18"/>
                <w:szCs w:val="18"/>
                <w:color w:val="auto"/>
              </w:rPr>
              <w:t>$5,000,000 - $320,000,000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right"/>
              <w:ind w:right="294"/>
              <w:spacing w:after="0"/>
              <w:rPr>
                <w:sz w:val="20"/>
                <w:szCs w:val="20"/>
                <w:color w:val="auto"/>
              </w:rPr>
            </w:pPr>
            <w:r>
              <w:rPr>
                <w:rFonts w:ascii="Arial" w:cs="Arial" w:eastAsia="Arial" w:hAnsi="Arial"/>
                <w:sz w:val="18"/>
                <w:szCs w:val="18"/>
                <w:color w:val="auto"/>
              </w:rPr>
              <w:t>$5,000,000 - $252,000,000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Over $320,000,000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Over $252,000,000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Treaty for July 1, 2017 – June 30, 2018 is a two year treaty with expiration date of June 30, 2019.</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The Company’s estimated ultimate treaty year loss ratios (“Loss Ratio(s)”) for treaties in effect for the three months ended March 31, 2018 are attributable to contracts for the 2017/2019 Treaty. The Company’s estimated ultimate treaty year Loss Ratios for treaties in effect for the three months ended March 31, 2017 are attributable to contracts for the 2016/2017 Treaty.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Treaty in effect for the three months ended March 31, 2018</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Under the 2017/2019 Treaty, the Company receives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The Company’s Loss Ratios for the period July 1, 2017 through March 31, 2018 attributable to the 2017/2019 Treaty were higher than the contractual Loss Ratio at which provisional ceding commissions were earned. Accordingly, for the three months ended March 31, 2018, the Company incurred negative contingent ceding commissions as a result of the estimated Loss Ratio for the 2017/2019 Treaty, which reduced contingent ceding commissions earned.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Treaty in effect for the three months ended March 31, 2017</w:t>
      </w:r>
    </w:p>
    <w:p>
      <w:pPr>
        <w:spacing w:after="0" w:line="225" w:lineRule="exact"/>
        <w:rPr>
          <w:sz w:val="20"/>
          <w:szCs w:val="20"/>
          <w:color w:val="auto"/>
        </w:rPr>
      </w:pPr>
    </w:p>
    <w:p>
      <w:pPr>
        <w:jc w:val="both"/>
        <w:ind w:left="660"/>
        <w:spacing w:after="0" w:line="294" w:lineRule="auto"/>
        <w:rPr>
          <w:sz w:val="20"/>
          <w:szCs w:val="20"/>
          <w:color w:val="auto"/>
        </w:rPr>
      </w:pPr>
      <w:r>
        <w:rPr>
          <w:rFonts w:ascii="Arial" w:cs="Arial" w:eastAsia="Arial" w:hAnsi="Arial"/>
          <w:sz w:val="16"/>
          <w:szCs w:val="16"/>
          <w:color w:val="auto"/>
        </w:rPr>
        <w:t>Under the 2016/2017 Treaty, the Company received an upfront fixed provisional rate that was subject to a sliding scale contingent rate adjustment based on Loss Ratio. Under this arrangement, the Company earned provisional ceding commissions that were subject to later adjustment dependent on changes to the estimated Loss Ratio for the 2016/2017 Treaty. The Company’s Loss Ratio for the period July 1, 2016 through March 31, 2017 attributable to the 2016/2017 Treaty were consistent with the contractual Loss Ratio at which provisional ceding commissions were earned and therefore no additional contingent commission was recorded for the three months ended March 31, 2017 with respect to this treaty.</w:t>
      </w:r>
    </w:p>
    <w:p>
      <w:pPr>
        <w:spacing w:after="0" w:line="170"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In addition to the treaties that were in effect for the three months ended March 31, 2018 and 2017, the Loss Ratios from prior years’ treaties are subject to change as incurred losses from those periods increase or decrease, resulting in an increase or decrease in the commission rate and contingent ceding commissions earned.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3"/>
          </w:tcPr>
          <w:p>
            <w:pPr>
              <w:jc w:val="right"/>
              <w:ind w:right="616"/>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8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2,067,505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3,343,769</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(372,347)</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(159,317)</w:t>
            </w:r>
          </w:p>
        </w:tc>
      </w:tr>
      <w:tr>
        <w:trPr>
          <w:trHeight w:val="257"/>
        </w:trPr>
        <w:tc>
          <w:tcPr>
            <w:tcW w:w="8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1,695,158</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3,184,452</w:t>
            </w:r>
          </w:p>
        </w:tc>
      </w:tr>
    </w:tbl>
    <w:p>
      <w:pPr>
        <w:spacing w:after="0" w:line="20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March 31, 2018 and December 31, 2017, net contingent ceding commissions payable to reinsurers under all treaties was approximately $2,223,000 and $1,850,000,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7 –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Debt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investment in dividend bearing common stock was $22,500 as of March 31, 2018.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as of March 31, 2018 was approximately $9,849,000 based on KICO’s net admitted assets as of December 31, 2017. Advances are limited to the amount of available collateral, which was approximately $6,225,000 as of March 31, 2018. There were no borrowings under this facility during the period ended March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19, 2017, the Company issued $30 million of its 5.50% Senior Unsecured Notes due December 30, 2022 (the “Notes”) in an underwritten public offering. Interest is payable semi-annually in arrears on June 30 and December 30 of each year, beginning on June 30 2018 at the rate of 5.50% per year from December 19, 2017. The net proceeds of the issuance were $29,121,630, net of discount of $163,200 and transaction costs of $715,170, for an effective yield of 5.67%. The balance of long-term debt as of March 31, 2018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30,000,000</w:t>
            </w:r>
          </w:p>
        </w:tc>
      </w:tr>
      <w:tr>
        <w:trPr>
          <w:trHeight w:val="216"/>
        </w:trPr>
        <w:tc>
          <w:tcPr>
            <w:tcW w:w="10060" w:type="dxa"/>
            <w:vAlign w:val="bottom"/>
          </w:tcPr>
          <w:p>
            <w:pPr>
              <w:ind w:left="60"/>
              <w:spacing w:after="0"/>
              <w:rPr>
                <w:sz w:val="20"/>
                <w:szCs w:val="20"/>
                <w:color w:val="auto"/>
              </w:rPr>
            </w:pPr>
            <w:r>
              <w:rPr>
                <w:rFonts w:ascii="Arial" w:cs="Arial" w:eastAsia="Arial" w:hAnsi="Arial"/>
                <w:sz w:val="18"/>
                <w:szCs w:val="18"/>
                <w:color w:val="auto"/>
              </w:rPr>
              <w:t>Discount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(154,098)</w:t>
            </w:r>
          </w:p>
        </w:tc>
      </w:tr>
      <w:tr>
        <w:trPr>
          <w:trHeight w:val="223"/>
        </w:trPr>
        <w:tc>
          <w:tcPr>
            <w:tcW w:w="10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(682,786)</w:t>
            </w:r>
          </w:p>
        </w:tc>
      </w:tr>
      <w:tr>
        <w:trPr>
          <w:trHeight w:val="216"/>
        </w:trPr>
        <w:tc>
          <w:tcPr>
            <w:tcW w:w="10060" w:type="dxa"/>
            <w:vAlign w:val="bottom"/>
          </w:tcPr>
          <w:p>
            <w:pPr>
              <w:ind w:left="6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29,163,116</w:t>
            </w:r>
          </w:p>
        </w:tc>
      </w:tr>
      <w:tr>
        <w:trPr>
          <w:trHeight w:val="21"/>
        </w:trPr>
        <w:tc>
          <w:tcPr>
            <w:tcW w:w="10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2017, the Company used $25,000,000 of the net proceeds from the offering to contribute capital to KICO, to support additional growth. The remainder of the net proceeds will be used for general corporate purposes. A registration statement relating to the debt issued in the offering was filed with the SEC and became effective on November 28,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8 –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declared and paid on Common Stock were $1,068,375 and $663,837 for the three months ended March 31, 2018 and 2017, respectively. The Company’s Board of Directors approved a quarterly dividend on May 9, 2018 of $.10 per share payable in cash on June 15, 2018 to stockholders of record as of May 31, 2018 (see Note 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the options granted and restricted stock issued. Pursuant to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of the Board determines the expiration date with respect to non-statutory stock options and the vesting provisions for restricted stock granted under the 2014 Plan and 2005 Plan.</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for the three months ended March 31, 2018 and 2017 include stock-based compensation expense related to stock options totaling approximately $2,000 and $16,000, respectively. Stock-based compensation expense related to stock options is net of estimated forfeitures of 17% for the three months ended March 31, 2018 and 2017. Such amounts have been included in the condensed consolidated statements of operations and comprehensive income (loss) within other operating expenses.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Stock-based compensation expense for the three months ended March 31, 2018 and 2017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three months ended March 31, 2018 and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and 2005 Plan for the three months ended March 31, 2018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74"/>
              <w:spacing w:after="0" w:line="162" w:lineRule="exact"/>
              <w:rPr>
                <w:sz w:val="20"/>
                <w:szCs w:val="20"/>
                <w:color w:val="auto"/>
              </w:rPr>
            </w:pPr>
            <w:r>
              <w:rPr>
                <w:rFonts w:ascii="Arial" w:cs="Arial" w:eastAsia="Arial" w:hAnsi="Arial"/>
                <w:sz w:val="15"/>
                <w:szCs w:val="15"/>
                <w:b w:val="1"/>
                <w:bCs w:val="1"/>
                <w:color w:val="auto"/>
                <w:w w:val="97"/>
              </w:rPr>
              <w:t>Weighted</w:t>
            </w:r>
          </w:p>
        </w:tc>
        <w:tc>
          <w:tcPr>
            <w:tcW w:w="1280" w:type="dxa"/>
            <w:vAlign w:val="bottom"/>
          </w:tcPr>
          <w:p>
            <w:pPr>
              <w:jc w:val="center"/>
              <w:ind w:right="20"/>
              <w:spacing w:after="0" w:line="162" w:lineRule="exact"/>
              <w:rPr>
                <w:sz w:val="20"/>
                <w:szCs w:val="20"/>
                <w:color w:val="auto"/>
              </w:rPr>
            </w:pPr>
            <w:r>
              <w:rPr>
                <w:rFonts w:ascii="Arial" w:cs="Arial" w:eastAsia="Arial" w:hAnsi="Arial"/>
                <w:sz w:val="15"/>
                <w:szCs w:val="15"/>
                <w:b w:val="1"/>
                <w:bCs w:val="1"/>
                <w:color w:val="auto"/>
                <w:w w:val="91"/>
              </w:rPr>
              <w:t>Remaining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4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Number of</w:t>
            </w:r>
          </w:p>
        </w:tc>
        <w:tc>
          <w:tcPr>
            <w:tcW w:w="146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Average Exercise</w:t>
            </w: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Contractual</w:t>
            </w:r>
          </w:p>
        </w:tc>
        <w:tc>
          <w:tcPr>
            <w:tcW w:w="300" w:type="dxa"/>
            <w:vAlign w:val="bottom"/>
          </w:tcPr>
          <w:p>
            <w:pPr>
              <w:spacing w:after="0"/>
              <w:rPr>
                <w:sz w:val="14"/>
                <w:szCs w:val="14"/>
                <w:color w:val="auto"/>
              </w:rPr>
            </w:pPr>
          </w:p>
        </w:tc>
        <w:tc>
          <w:tcPr>
            <w:tcW w:w="1060" w:type="dxa"/>
            <w:vAlign w:val="bottom"/>
          </w:tcPr>
          <w:p>
            <w:pPr>
              <w:jc w:val="right"/>
              <w:ind w:right="254"/>
              <w:spacing w:after="0" w:line="162"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Shares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Price per Share</w:t>
            </w: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92"/>
              </w:rPr>
              <w:t>Term</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Intrinsic 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341,150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6.69</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4,131,028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(90,500)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6.40</w:t>
            </w:r>
          </w:p>
        </w:tc>
        <w:tc>
          <w:tcPr>
            <w:tcW w:w="12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1,366,780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250,650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6.80</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2,507,198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March 31, 2018</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240,650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6.73</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2,422,460</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options outstanding and options exercisable at March 31, 2018 is calculated as the difference between the exercise price of the underlying options and the market price of the Company’s Common Stock for the options that had exercise prices that were lower than the $16.80 closing price of the Company’s Common Stock on March 31, 2018. The total intrinsic value of options exercised during the three months ended March 31, 2018 was $1,366,780, determined as of the date of exercise.</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$29,525 from the exercise of options for the purchase of 4,000 shares of Common Stock during the three months ended March 31, 2018. The Company received 4,860 shares from the exercise of options under a Share Exchange for the purchase of 20,000 shares of Common Stock during the three months ended March 31, 2018. The remaining 66,500 options exercised during the three months ended March 31, 2018 were Net Exercises, resulting in the issuance of 30,126 shares of Common Stock. The Company received cash proceeds of $33,000 from the exercise of options for the purchase of 5,000 shares of Common Stock during the three months ended March 31, 2017. The remaining 250 options exercised during the three months ended March 31, 2017 were Net Exercises, resulting in the issuance of 166 shares of Common Stock.</w:t>
      </w:r>
    </w:p>
    <w:p>
      <w:pPr>
        <w:spacing w:after="0" w:line="10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2018, the fair value of unamortized compensation cost related to unvested stock option awards was approximately $4,000. Unamortized compensation cost as of March 31, 2018 is expected to be recognized over a remaining weighted-average vesting period of 0.49 years.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As of March 31, 2018, there were 487,137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the three months ended March 31, 2018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1"/>
              </w:rPr>
              <w:t>Weighted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Date Fair Value</w:t>
            </w:r>
          </w:p>
        </w:tc>
        <w:tc>
          <w:tcPr>
            <w:tcW w:w="1360" w:type="dxa"/>
            <w:vAlign w:val="bottom"/>
            <w:gridSpan w:val="2"/>
          </w:tcPr>
          <w:p>
            <w:pPr>
              <w:jc w:val="right"/>
              <w:ind w:right="94"/>
              <w:spacing w:after="0" w:line="162" w:lineRule="exact"/>
              <w:rPr>
                <w:sz w:val="20"/>
                <w:szCs w:val="20"/>
                <w:color w:val="auto"/>
              </w:rPr>
            </w:pPr>
            <w:r>
              <w:rPr>
                <w:rFonts w:ascii="Arial" w:cs="Arial" w:eastAsia="Arial" w:hAnsi="Arial"/>
                <w:sz w:val="15"/>
                <w:szCs w:val="15"/>
                <w:b w:val="1"/>
                <w:bCs w:val="1"/>
                <w:color w:val="auto"/>
              </w:rPr>
              <w:t>Aggregate Fair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Borders>
              <w:bottom w:val="single" w:sz="8" w:color="auto"/>
            </w:tcBorders>
          </w:tcPr>
          <w:p>
            <w:pPr>
              <w:ind w:left="2860"/>
              <w:spacing w:after="0"/>
              <w:rPr>
                <w:sz w:val="20"/>
                <w:szCs w:val="20"/>
                <w:color w:val="auto"/>
              </w:rPr>
            </w:pPr>
            <w:r>
              <w:rPr>
                <w:rFonts w:ascii="Arial" w:cs="Arial" w:eastAsia="Arial" w:hAnsi="Arial"/>
                <w:sz w:val="15"/>
                <w:szCs w:val="15"/>
                <w:b w:val="1"/>
                <w:bCs w:val="1"/>
                <w:color w:val="auto"/>
              </w:rPr>
              <w:t>Restricted Stock Awards</w:t>
            </w: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5"/>
                <w:szCs w:val="15"/>
                <w:b w:val="1"/>
                <w:bCs w:val="1"/>
                <w:color w:val="auto"/>
                <w:w w:val="89"/>
              </w:rPr>
              <w:t>per Share</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47,337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14.35</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679,180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61,215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20.68</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1,266,090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(7,180)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12.90</w:t>
            </w:r>
          </w:p>
        </w:tc>
        <w:tc>
          <w:tcPr>
            <w:tcW w:w="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101,372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18.28</w:t>
            </w:r>
          </w:p>
        </w:tc>
        <w:tc>
          <w:tcPr>
            <w:tcW w:w="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1,852,618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was calculated using the closing price of the Company’s Common Stock on the grant date. For the three months ended March 31, 2018, stock-based compensation of approximately $106,000 for these grants is included in other operating expenses in the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December 22, 2017, the Tax Cuts and Jobs Act of 2017 (the “Act”) was enacted by the U.S. federal government. The Company has accounted for the material impacts of the Act by re-measuring its deferred tax assets/(liabilities) at the 21% enacted tax rate as of December 31, 2017. Upon completion of the 2017 U.S. income tax return in 2018, the Company may identify additional re-measurement adjustments to its recorded deferred tax liabilities and the one-time transition tax. The Company will continue to assess its provision for income taxes as future guidance is issued, but does not currently anticipate significant revisions will be necessary. Any such revisions will be treated in accordance with the measurement period guidance outlined in Staff Accounting Bulletin No. 118.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5"/>
              <w:spacing w:after="0"/>
              <w:rPr>
                <w:sz w:val="20"/>
                <w:szCs w:val="20"/>
                <w:color w:val="auto"/>
              </w:rPr>
            </w:pPr>
            <w:r>
              <w:rPr>
                <w:rFonts w:ascii="Arial" w:cs="Arial" w:eastAsia="Arial" w:hAnsi="Arial"/>
                <w:sz w:val="15"/>
                <w:szCs w:val="15"/>
                <w:b w:val="1"/>
                <w:bCs w:val="1"/>
                <w:color w:val="auto"/>
                <w:w w:val="95"/>
              </w:rPr>
              <w:t>March 31,</w:t>
            </w:r>
          </w:p>
        </w:tc>
        <w:tc>
          <w:tcPr>
            <w:tcW w:w="240" w:type="dxa"/>
            <w:vAlign w:val="bottom"/>
          </w:tcPr>
          <w:p>
            <w:pPr>
              <w:spacing w:after="0"/>
              <w:rPr>
                <w:sz w:val="16"/>
                <w:szCs w:val="16"/>
                <w:color w:val="auto"/>
              </w:rPr>
            </w:pPr>
          </w:p>
        </w:tc>
        <w:tc>
          <w:tcPr>
            <w:tcW w:w="1120" w:type="dxa"/>
            <w:vAlign w:val="bottom"/>
          </w:tcPr>
          <w:p>
            <w:pPr>
              <w:jc w:val="center"/>
              <w:ind w:right="134"/>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89"/>
              </w:rPr>
              <w:t>2018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5"/>
                <w:szCs w:val="15"/>
                <w:b w:val="1"/>
                <w:bCs w:val="1"/>
                <w:color w:val="auto"/>
                <w:w w:val="89"/>
              </w:rPr>
              <w:t>2017</w:t>
            </w:r>
          </w:p>
        </w:tc>
      </w:tr>
      <w:tr>
        <w:trPr>
          <w:trHeight w:val="243"/>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Net operating loss carryovers (1)</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87,018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103,655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Claims reserve discount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344,928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300,005</w:t>
            </w: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Unearned premium</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2,498,571</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2,431,301</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ceding commission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913,041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895,947</w:t>
            </w: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185,752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382,522</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4,029,310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4,113,430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Investment in KICO (2)</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759,543</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759,543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acquisition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3,177,345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3,117,920</w:t>
            </w: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194,250</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212,100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285,371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328,735</w:t>
            </w: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Net unrealized (loss) gains of securities - available for sale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(310,168)</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295,474</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4,106,341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4,713,772</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(600,342)</w:t>
            </w: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_____________________________</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276"/>
              <w:spacing w:after="0"/>
              <w:rPr>
                <w:sz w:val="20"/>
                <w:szCs w:val="20"/>
                <w:color w:val="auto"/>
              </w:rPr>
            </w:pPr>
            <w:r>
              <w:rPr>
                <w:rFonts w:ascii="Arial" w:cs="Arial" w:eastAsia="Arial" w:hAnsi="Arial"/>
                <w:sz w:val="15"/>
                <w:szCs w:val="15"/>
                <w:b w:val="1"/>
                <w:bCs w:val="1"/>
                <w:color w:val="auto"/>
              </w:rPr>
              <w:t>March 31,</w:t>
            </w:r>
          </w:p>
        </w:tc>
        <w:tc>
          <w:tcPr>
            <w:tcW w:w="240" w:type="dxa"/>
            <w:vAlign w:val="bottom"/>
          </w:tcPr>
          <w:p>
            <w:pPr>
              <w:spacing w:after="0"/>
              <w:rPr>
                <w:sz w:val="24"/>
                <w:szCs w:val="24"/>
                <w:color w:val="auto"/>
              </w:rPr>
            </w:pPr>
          </w:p>
        </w:tc>
        <w:tc>
          <w:tcPr>
            <w:tcW w:w="1120" w:type="dxa"/>
            <w:vAlign w:val="bottom"/>
          </w:tcPr>
          <w:p>
            <w:pPr>
              <w:jc w:val="center"/>
              <w:ind w:right="135"/>
              <w:spacing w:after="0"/>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Type of NOL</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89"/>
              </w:rPr>
              <w:t>2017</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5"/>
                <w:szCs w:val="15"/>
                <w:b w:val="1"/>
                <w:bCs w:val="1"/>
                <w:color w:val="auto"/>
                <w:w w:val="92"/>
              </w:rPr>
              <w:t>Expiration</w:t>
            </w: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December 31,</w:t>
            </w:r>
          </w:p>
        </w:tc>
      </w:tr>
      <w:tr>
        <w:trPr>
          <w:trHeight w:val="224"/>
        </w:trPr>
        <w:tc>
          <w:tcPr>
            <w:tcW w:w="20" w:type="dxa"/>
            <w:vAlign w:val="bottom"/>
          </w:tcPr>
          <w:p>
            <w:pPr>
              <w:spacing w:after="0"/>
              <w:rPr>
                <w:sz w:val="19"/>
                <w:szCs w:val="19"/>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only (A)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924,217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824,996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89"/>
              </w:rPr>
              <w:t>2038</w:t>
            </w:r>
          </w:p>
        </w:tc>
      </w:tr>
      <w:tr>
        <w:trPr>
          <w:trHeight w:val="223"/>
        </w:trPr>
        <w:tc>
          <w:tcPr>
            <w:tcW w:w="2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(839,299)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(725,541)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only, net of valuation allowance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84,918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99,455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r>
      <w:tr>
        <w:trPr>
          <w:trHeight w:val="231"/>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Amount subject to Annual Limitation, federal only (B)</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2,100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20"/>
                <w:szCs w:val="20"/>
                <w:color w:val="auto"/>
              </w:rPr>
            </w:pPr>
          </w:p>
        </w:tc>
        <w:tc>
          <w:tcPr>
            <w:tcW w:w="1120" w:type="dxa"/>
            <w:vAlign w:val="bottom"/>
          </w:tcPr>
          <w:p>
            <w:pPr>
              <w:jc w:val="center"/>
              <w:ind w:right="154"/>
              <w:spacing w:after="0"/>
              <w:rPr>
                <w:sz w:val="20"/>
                <w:szCs w:val="20"/>
                <w:color w:val="auto"/>
              </w:rPr>
            </w:pPr>
            <w:r>
              <w:rPr>
                <w:rFonts w:ascii="Arial" w:cs="Arial" w:eastAsia="Arial" w:hAnsi="Arial"/>
                <w:sz w:val="18"/>
                <w:szCs w:val="18"/>
                <w:color w:val="auto"/>
                <w:w w:val="89"/>
              </w:rPr>
              <w:t>2019</w:t>
            </w: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 from net operating loss carryovers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87,018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103,655</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firstLine="8"/>
        <w:spacing w:after="0" w:line="294" w:lineRule="auto"/>
        <w:tabs>
          <w:tab w:leader="none" w:pos="290" w:val="left"/>
        </w:tabs>
        <w:numPr>
          <w:ilvl w:val="0"/>
          <w:numId w:val="9"/>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March 31, 2018 and December 31, 2017 was approximately $14,219,000 and $12,692,000,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A valuation allowance has been recorded due to the uncertainty of generating enough state taxable income to utilize 100% of the available state NOLs over their remaining lives, which expire between 2027 and 2038.</w:t>
      </w:r>
    </w:p>
    <w:p>
      <w:pPr>
        <w:spacing w:after="0" w:line="102" w:lineRule="exact"/>
        <w:rPr>
          <w:rFonts w:ascii="Arial" w:cs="Arial" w:eastAsia="Arial" w:hAnsi="Arial"/>
          <w:sz w:val="16"/>
          <w:szCs w:val="16"/>
          <w:color w:val="auto"/>
        </w:rPr>
      </w:pPr>
    </w:p>
    <w:p>
      <w:pPr>
        <w:jc w:val="both"/>
        <w:ind w:firstLine="8"/>
        <w:spacing w:after="0" w:line="259" w:lineRule="auto"/>
        <w:tabs>
          <w:tab w:leader="none" w:pos="28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an NOL of $10,000 that is subject to Internal Revenue Code Section 382, which places a limitation on the utilization of the federal NOL loss to approximately $10,000 per year (“Annual Limitation”) as a result of a greater than 50% ownership change of the Company in 1999. The loss subject to the Annual Limitation will expire on December 31, 2019.</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(2)  Deferred tax liability – Investment in KICO</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2018 and 2017. If any had been recognized these would have been reported in income tax expense.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2014 through December 31, 2017 remain subject to examination. In March 2018, the Company received a notice that its federal income tax return for the year ended December 31, 2016 was selected for examination by the Internal Revenue Service. As of May 10, 2018, the examination has not yet commenced.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Earnings Per Common Share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net (loss) earnings per common share is computed by dividing income available to common shareholders by the weighted-average number of common shares outstanding. Diluted (loss) earnings per common share reflect, in periods in which they have a dilutive effect, the impact of common shares issuable upon exercise of stock options. The computation of diluted (loss) earnings per common share excludes those options with an exercise price in excess of the average market price of the Company’s common shares during the periods presented. The computation of diluted (loss) earnings per common share excludes outstanding options in periods where the exercise of such options would be anti-dilutive. The computation of diluted (loss) earnings per common share excludes outstanding options in periods where the exercise of such options would be anti-dilutive.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(loss) earnings per common share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720" w:type="dxa"/>
            <w:vAlign w:val="bottom"/>
            <w:gridSpan w:val="4"/>
          </w:tcPr>
          <w:p>
            <w:pPr>
              <w:jc w:val="center"/>
              <w:spacing w:after="0"/>
              <w:rPr>
                <w:sz w:val="20"/>
                <w:szCs w:val="20"/>
                <w:color w:val="auto"/>
              </w:rPr>
            </w:pPr>
            <w:r>
              <w:rPr>
                <w:rFonts w:ascii="Arial" w:cs="Arial" w:eastAsia="Arial" w:hAnsi="Arial"/>
                <w:sz w:val="15"/>
                <w:szCs w:val="15"/>
                <w:b w:val="1"/>
                <w:bCs w:val="1"/>
                <w:color w:val="auto"/>
                <w:w w:val="88"/>
              </w:rPr>
              <w:t>Three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80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5"/>
                <w:szCs w:val="15"/>
                <w:b w:val="1"/>
                <w:bCs w:val="1"/>
                <w:color w:val="auto"/>
                <w:w w:val="95"/>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10,669,992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4"/>
              </w:rPr>
              <w:t>9,663,751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184,743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awards</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used for computing diluted (losses) earnings per share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10,669,992</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4"/>
              </w:rPr>
              <w:t>9,848,494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March 31, 2018, cumulative rent expense exceeded cumulative rent payments by $91,944. This difference is recorded as deferred rent and is included in accounts payable, accrued expenses and other liabilities in the condensed consolidated balance sheets.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As of March 31, 2018, aggregate future minimum rental commitments under the Company’s modified lease agreement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gridSpan w:val="2"/>
          </w:tcPr>
          <w:p>
            <w:pPr>
              <w:spacing w:after="0"/>
              <w:rPr>
                <w:sz w:val="20"/>
                <w:szCs w:val="20"/>
                <w:color w:val="auto"/>
              </w:rPr>
            </w:pPr>
            <w:r>
              <w:rPr>
                <w:rFonts w:ascii="Arial" w:cs="Arial" w:eastAsia="Arial" w:hAnsi="Arial"/>
                <w:sz w:val="15"/>
                <w:szCs w:val="15"/>
                <w:b w:val="1"/>
                <w:bCs w:val="1"/>
                <w:color w:val="auto"/>
              </w:rPr>
              <w:t>For the Year</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b w:val="1"/>
                <w:bCs w:val="1"/>
                <w:color w:val="auto"/>
              </w:rPr>
              <w:t>Ending</w:t>
            </w:r>
          </w:p>
        </w:tc>
        <w:tc>
          <w:tcPr>
            <w:tcW w:w="360" w:type="dxa"/>
            <w:vAlign w:val="bottom"/>
          </w:tcPr>
          <w:p>
            <w:pPr>
              <w:spacing w:after="0"/>
              <w:rPr>
                <w:sz w:val="21"/>
                <w:szCs w:val="21"/>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2018 (nine months)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244,064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1,084,155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Rent expense for the three months ended March 31, 2018 and 2017 amounted to $41,342 for both periods. Rent expense is included in the condensed consolidated statements of operations and comprehensive income (loss) within other underwriting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2018, the Company and Dale A. Thatcher, a director of the Company, entered into an employment agreement (the “Thatcher Employment Agreement”) pursuant to which Mr. Thatcher serves as the Company’s Chief Operating Officer. Mr. Thatcher also serves as KICO’s President. The Thatcher Employment Agreement became effective as of March 15, 2018 and expires on December 31, 2018.</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Thatcher Employment Agreement, Mr. Thatcher is entitled to receive a base salary of $500,000 per annum and a minimum bonus equal to 15% of his base salary. Concurrently with the execution of the Thatcher Employment Agreement, the Company granted to Mr. Thatcher 35,715 shares of restricted Common Stock under the 2014 Plan. The shares granted will vest in three equal installments on each of the three annual anniversaries following the grant date, subject to the terms of the restricted stock grant agreement between the Company and Mr. Thatcher.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evaluated events that occurred subsequent to March 31, 2018 through the date these condensed consolidated financial statements were issued for matters that required disclosure or adjustment in these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9, 2018, the Company’s Board of Directors approved a quarterly dividend of $.10 per share payable in cash on June 15, 2018 to stockholders of record as of the close of business on May 31, 2018 (see Note 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We are also licensed in the States of New Jersey, Connecticut, Pennsylvania, Rhode Island, Massachusetts and Texas. We are currently offering our property and casualty insurance products in New York, New Jersey, Rhode Island and Pennsylvania. Although New Jersey and Rhode Island are now growing expansion markets for us, 97.2% of KICO’s direct written premiums for the three months ended March 31, 2018 were written in the State of New York. In February 2018, a homeowners rate, rule, and form filing was made with the State of Massachusetts. KICO anticipates writing business in Massachusetts before the end of 2018.</w:t>
      </w:r>
    </w:p>
    <w:p>
      <w:pPr>
        <w:spacing w:after="0" w:line="1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2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active product lines include the following:</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 personal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umbrella policies.</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Commercial liability: </w:t>
      </w:r>
      <w:r>
        <w:rPr>
          <w:rFonts w:ascii="Arial" w:cs="Arial" w:eastAsia="Arial" w:hAnsi="Arial"/>
          <w:sz w:val="18"/>
          <w:szCs w:val="18"/>
          <w:color w:val="auto"/>
        </w:rPr>
        <w:t>We offer businessowners policies, which consist primarily of small business retail, service, and office risks without a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We also write artisan’s liability policies for small independent contractors with smaller sized workforces.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also have a small participation in mandatory state joint underwriting associations.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underwriting expense ratio: </w:t>
      </w:r>
      <w:r>
        <w:rPr>
          <w:rFonts w:ascii="Arial" w:cs="Arial" w:eastAsia="Arial" w:hAnsi="Arial"/>
          <w:sz w:val="18"/>
          <w:szCs w:val="18"/>
          <w:color w:val="auto"/>
        </w:rPr>
        <w:t>The net underwriting expense ratio is a measure of an insurance company’s operational efficiency in administering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2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the combined ratio). Underwriting income is a measure of an insurance company’s overall operating profitability before items such as investment income, depreciation and amortization, interest expense and income taxes.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10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5"/>
                <w:szCs w:val="15"/>
                <w:b w:val="1"/>
                <w:bCs w:val="1"/>
                <w:color w:val="auto"/>
                <w:w w:val="92"/>
              </w:rPr>
              <w:t>Three months ended March 31,</w:t>
            </w: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Pr>
          <w:p>
            <w:pPr>
              <w:spacing w:after="0"/>
              <w:rPr>
                <w:sz w:val="21"/>
                <w:szCs w:val="21"/>
                <w:color w:val="auto"/>
              </w:rPr>
            </w:pPr>
          </w:p>
        </w:tc>
        <w:tc>
          <w:tcPr>
            <w:tcW w:w="980" w:type="dxa"/>
            <w:vAlign w:val="bottom"/>
          </w:tcPr>
          <w:p>
            <w:pPr>
              <w:jc w:val="right"/>
              <w:ind w:right="454"/>
              <w:spacing w:after="0"/>
              <w:rPr>
                <w:sz w:val="20"/>
                <w:szCs w:val="20"/>
                <w:color w:val="auto"/>
              </w:rPr>
            </w:pPr>
            <w:r>
              <w:rPr>
                <w:rFonts w:ascii="Arial" w:cs="Arial" w:eastAsia="Arial" w:hAnsi="Arial"/>
                <w:sz w:val="15"/>
                <w:szCs w:val="15"/>
                <w:b w:val="1"/>
                <w:bCs w:val="1"/>
                <w:color w:val="auto"/>
              </w:rPr>
              <w:t>2018</w:t>
            </w:r>
          </w:p>
        </w:tc>
        <w:tc>
          <w:tcPr>
            <w:tcW w:w="300" w:type="dxa"/>
            <w:vAlign w:val="bottom"/>
          </w:tcPr>
          <w:p>
            <w:pPr>
              <w:spacing w:after="0"/>
              <w:rPr>
                <w:sz w:val="21"/>
                <w:szCs w:val="21"/>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2017</w:t>
            </w:r>
          </w:p>
        </w:tc>
        <w:tc>
          <w:tcPr>
            <w:tcW w:w="320" w:type="dxa"/>
            <w:vAlign w:val="bottom"/>
          </w:tcPr>
          <w:p>
            <w:pPr>
              <w:spacing w:after="0"/>
              <w:rPr>
                <w:sz w:val="21"/>
                <w:szCs w:val="21"/>
                <w:color w:val="auto"/>
              </w:rPr>
            </w:pPr>
          </w:p>
        </w:tc>
        <w:tc>
          <w:tcPr>
            <w:tcW w:w="960" w:type="dxa"/>
            <w:vAlign w:val="bottom"/>
          </w:tcPr>
          <w:p>
            <w:pPr>
              <w:jc w:val="right"/>
              <w:ind w:right="274"/>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21"/>
                <w:szCs w:val="21"/>
                <w:color w:val="auto"/>
              </w:rPr>
            </w:pPr>
          </w:p>
        </w:tc>
        <w:tc>
          <w:tcPr>
            <w:tcW w:w="1420" w:type="dxa"/>
            <w:vAlign w:val="bottom"/>
            <w:gridSpan w:val="2"/>
          </w:tcPr>
          <w:p>
            <w:pPr>
              <w:ind w:left="460"/>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41"/>
        </w:trPr>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31,526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26,125</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0"/>
              <w:spacing w:after="0"/>
              <w:rPr>
                <w:sz w:val="20"/>
                <w:szCs w:val="20"/>
                <w:color w:val="auto"/>
              </w:rPr>
            </w:pPr>
            <w:r>
              <w:rPr>
                <w:rFonts w:ascii="Arial" w:cs="Arial" w:eastAsia="Arial" w:hAnsi="Arial"/>
                <w:sz w:val="18"/>
                <w:szCs w:val="18"/>
                <w:color w:val="auto"/>
              </w:rPr>
              <w:t>Assumed written premiums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31,526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26,129</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4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Ceded written premiums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to quota share treaties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4,406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6,542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Ceded to excess of loss treaties</w:t>
            </w:r>
          </w:p>
        </w:tc>
        <w:tc>
          <w:tcPr>
            <w:tcW w:w="3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Ceded to catastrophe treaties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3,132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2,542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Total ceded written premiums</w:t>
            </w:r>
          </w:p>
        </w:tc>
        <w:tc>
          <w:tcPr>
            <w:tcW w:w="3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7,826</w:t>
            </w: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9,395</w:t>
            </w:r>
          </w:p>
        </w:tc>
        <w:tc>
          <w:tcPr>
            <w:tcW w:w="3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20"/>
              <w:spacing w:after="0"/>
              <w:rPr>
                <w:sz w:val="20"/>
                <w:szCs w:val="20"/>
                <w:color w:val="auto"/>
              </w:rPr>
            </w:pPr>
            <w:r>
              <w:rPr>
                <w:rFonts w:ascii="Arial" w:cs="Arial" w:eastAsia="Arial" w:hAnsi="Arial"/>
                <w:sz w:val="18"/>
                <w:szCs w:val="18"/>
                <w:color w:val="auto"/>
              </w:rPr>
              <w:t>Net written premiums</w:t>
            </w:r>
          </w:p>
        </w:tc>
        <w:tc>
          <w:tcPr>
            <w:tcW w:w="3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23,700</w:t>
            </w:r>
          </w:p>
        </w:tc>
        <w:tc>
          <w:tcPr>
            <w:tcW w:w="3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16,734</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-170815</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66" w:orient="portrait"/>
          <w:cols w:equalWidth="0" w:num="1">
            <w:col w:w="11480"/>
          </w:cols>
          <w:pgMar w:left="240" w:top="557" w:right="179" w:bottom="0" w:gutter="0" w:footer="0" w:header="0"/>
        </w:sectPr>
      </w:pPr>
    </w:p>
    <w:p>
      <w:pPr>
        <w:ind w:left="220"/>
        <w:spacing w:after="0"/>
        <w:rPr>
          <w:sz w:val="20"/>
          <w:szCs w:val="20"/>
          <w:color w:val="auto"/>
        </w:rPr>
      </w:pPr>
      <w:r>
        <w:rPr>
          <w:rFonts w:ascii="Arial" w:cs="Arial" w:eastAsia="Arial" w:hAnsi="Arial"/>
          <w:sz w:val="18"/>
          <w:szCs w:val="18"/>
          <w:color w:val="auto"/>
        </w:rPr>
        <w:t>Change in unearned premiums</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 and assumed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Ceded to quota share treaties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Change in net unearned premiums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Premiums earned</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 and assumed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Ceded to quota share treaties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premiums earned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Ceding commission revenue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Excluding the effect of catastrophes</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catastrophes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ceding commission revenue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losses on investments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right"/>
              <w:ind w:right="332"/>
              <w:spacing w:after="0"/>
              <w:rPr>
                <w:sz w:val="20"/>
                <w:szCs w:val="20"/>
                <w:color w:val="auto"/>
              </w:rPr>
            </w:pPr>
            <w:r>
              <w:rPr>
                <w:rFonts w:ascii="Arial" w:cs="Arial" w:eastAsia="Arial" w:hAnsi="Arial"/>
                <w:sz w:val="18"/>
                <w:szCs w:val="18"/>
                <w:color w:val="auto"/>
              </w:rPr>
              <w:t>(1,007)</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(328)</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(679)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c>
          <w:tcPr>
            <w:tcW w:w="40" w:type="dxa"/>
            <w:vAlign w:val="bottom"/>
          </w:tcPr>
          <w:p>
            <w:pPr>
              <w:spacing w:after="0"/>
              <w:rPr>
                <w:sz w:val="18"/>
                <w:szCs w:val="18"/>
                <w:color w:val="auto"/>
              </w:rPr>
            </w:pPr>
          </w:p>
        </w:tc>
      </w:tr>
      <w:tr>
        <w:trPr>
          <w:trHeight w:val="231"/>
        </w:trPr>
        <w:tc>
          <w:tcPr>
            <w:tcW w:w="1700" w:type="dxa"/>
            <w:vAlign w:val="bottom"/>
          </w:tcPr>
          <w:p>
            <w:pPr>
              <w:jc w:val="right"/>
              <w:ind w:right="392"/>
              <w:spacing w:after="0"/>
              <w:rPr>
                <w:sz w:val="20"/>
                <w:szCs w:val="20"/>
                <w:color w:val="auto"/>
              </w:rPr>
            </w:pPr>
            <w:r>
              <w:rPr>
                <w:rFonts w:ascii="Arial" w:cs="Arial" w:eastAsia="Arial" w:hAnsi="Arial"/>
                <w:sz w:val="18"/>
                <w:szCs w:val="18"/>
                <w:color w:val="auto"/>
              </w:rPr>
              <w:t>144</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181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(489.2)%</w:t>
            </w:r>
          </w:p>
        </w:tc>
      </w:tr>
      <w:tr>
        <w:trPr>
          <w:trHeight w:val="223"/>
        </w:trPr>
        <w:tc>
          <w:tcPr>
            <w:tcW w:w="17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(863)</w:t>
            </w:r>
          </w:p>
        </w:tc>
        <w:tc>
          <w:tcPr>
            <w:tcW w:w="13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(365)</w:t>
            </w:r>
          </w:p>
        </w:tc>
        <w:tc>
          <w:tcPr>
            <w:tcW w:w="13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(498)</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136.4%</w:t>
            </w:r>
          </w:p>
        </w:tc>
        <w:tc>
          <w:tcPr>
            <w:tcW w:w="40" w:type="dxa"/>
            <w:vAlign w:val="bottom"/>
          </w:tcPr>
          <w:p>
            <w:pPr>
              <w:spacing w:after="0"/>
              <w:rPr>
                <w:sz w:val="19"/>
                <w:szCs w:val="19"/>
                <w:color w:val="auto"/>
              </w:rPr>
            </w:pPr>
          </w:p>
        </w:tc>
      </w:tr>
      <w:tr>
        <w:trPr>
          <w:trHeight w:val="640"/>
        </w:trPr>
        <w:tc>
          <w:tcPr>
            <w:tcW w:w="1700" w:type="dxa"/>
            <w:vAlign w:val="bottom"/>
          </w:tcPr>
          <w:p>
            <w:pPr>
              <w:jc w:val="right"/>
              <w:ind w:right="392"/>
              <w:spacing w:after="0"/>
              <w:rPr>
                <w:sz w:val="20"/>
                <w:szCs w:val="20"/>
                <w:color w:val="auto"/>
              </w:rPr>
            </w:pPr>
            <w:r>
              <w:rPr>
                <w:rFonts w:ascii="Arial" w:cs="Arial" w:eastAsia="Arial" w:hAnsi="Arial"/>
                <w:sz w:val="18"/>
                <w:szCs w:val="18"/>
                <w:color w:val="auto"/>
              </w:rPr>
              <w:t>30,520</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25,802</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4,718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24"/>
                <w:szCs w:val="24"/>
                <w:color w:val="auto"/>
              </w:rPr>
            </w:pPr>
          </w:p>
        </w:tc>
      </w:tr>
      <w:tr>
        <w:trPr>
          <w:trHeight w:val="231"/>
        </w:trPr>
        <w:tc>
          <w:tcPr>
            <w:tcW w:w="1700" w:type="dxa"/>
            <w:vAlign w:val="bottom"/>
          </w:tcPr>
          <w:p>
            <w:pPr>
              <w:jc w:val="right"/>
              <w:ind w:right="332"/>
              <w:spacing w:after="0"/>
              <w:rPr>
                <w:sz w:val="20"/>
                <w:szCs w:val="20"/>
                <w:color w:val="auto"/>
              </w:rPr>
            </w:pPr>
            <w:r>
              <w:rPr>
                <w:rFonts w:ascii="Arial" w:cs="Arial" w:eastAsia="Arial" w:hAnsi="Arial"/>
                <w:sz w:val="18"/>
                <w:szCs w:val="18"/>
                <w:color w:val="auto"/>
              </w:rPr>
              <w:t>(7,682)</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(9,432)</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1,750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(18.6)%</w:t>
            </w:r>
          </w:p>
        </w:tc>
      </w:tr>
      <w:tr>
        <w:trPr>
          <w:trHeight w:val="222"/>
        </w:trPr>
        <w:tc>
          <w:tcPr>
            <w:tcW w:w="17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22,838</w:t>
            </w:r>
          </w:p>
        </w:tc>
        <w:tc>
          <w:tcPr>
            <w:tcW w:w="13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16,370</w:t>
            </w:r>
          </w:p>
        </w:tc>
        <w:tc>
          <w:tcPr>
            <w:tcW w:w="136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6,468</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9"/>
                <w:szCs w:val="19"/>
                <w:color w:val="auto"/>
              </w:rPr>
            </w:pPr>
          </w:p>
        </w:tc>
      </w:tr>
      <w:tr>
        <w:trPr>
          <w:trHeight w:val="417"/>
        </w:trPr>
        <w:tc>
          <w:tcPr>
            <w:tcW w:w="1700" w:type="dxa"/>
            <w:vAlign w:val="bottom"/>
          </w:tcPr>
          <w:p>
            <w:pPr>
              <w:jc w:val="right"/>
              <w:ind w:right="392"/>
              <w:spacing w:after="0"/>
              <w:rPr>
                <w:sz w:val="20"/>
                <w:szCs w:val="20"/>
                <w:color w:val="auto"/>
              </w:rPr>
            </w:pPr>
            <w:r>
              <w:rPr>
                <w:rFonts w:ascii="Arial" w:cs="Arial" w:eastAsia="Arial" w:hAnsi="Arial"/>
                <w:sz w:val="18"/>
                <w:szCs w:val="18"/>
                <w:color w:val="auto"/>
              </w:rPr>
              <w:t>2,029</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3,184</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(1,155)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(36.3)%</w:t>
            </w:r>
          </w:p>
        </w:tc>
      </w:tr>
      <w:tr>
        <w:trPr>
          <w:trHeight w:val="231"/>
        </w:trPr>
        <w:tc>
          <w:tcPr>
            <w:tcW w:w="1700" w:type="dxa"/>
            <w:vAlign w:val="bottom"/>
          </w:tcPr>
          <w:p>
            <w:pPr>
              <w:jc w:val="right"/>
              <w:ind w:right="332"/>
              <w:spacing w:after="0"/>
              <w:rPr>
                <w:sz w:val="20"/>
                <w:szCs w:val="20"/>
                <w:color w:val="auto"/>
              </w:rPr>
            </w:pPr>
            <w:r>
              <w:rPr>
                <w:rFonts w:ascii="Arial" w:cs="Arial" w:eastAsia="Arial" w:hAnsi="Arial"/>
                <w:sz w:val="18"/>
                <w:szCs w:val="18"/>
                <w:color w:val="auto"/>
              </w:rPr>
              <w:t>(334)</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(334)</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17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1,695</w:t>
            </w:r>
          </w:p>
        </w:tc>
        <w:tc>
          <w:tcPr>
            <w:tcW w:w="13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3,184</w:t>
            </w:r>
          </w:p>
        </w:tc>
        <w:tc>
          <w:tcPr>
            <w:tcW w:w="136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(1,489)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60" w:type="dxa"/>
            <w:vAlign w:val="bottom"/>
            <w:gridSpan w:val="2"/>
          </w:tcPr>
          <w:p>
            <w:pPr>
              <w:spacing w:after="0"/>
              <w:rPr>
                <w:sz w:val="18"/>
                <w:szCs w:val="18"/>
                <w:color w:val="auto"/>
              </w:rPr>
            </w:pPr>
          </w:p>
        </w:tc>
      </w:tr>
      <w:tr>
        <w:trPr>
          <w:trHeight w:val="216"/>
        </w:trPr>
        <w:tc>
          <w:tcPr>
            <w:tcW w:w="1700" w:type="dxa"/>
            <w:vAlign w:val="bottom"/>
          </w:tcPr>
          <w:p>
            <w:pPr>
              <w:jc w:val="right"/>
              <w:ind w:right="392"/>
              <w:spacing w:after="0"/>
              <w:rPr>
                <w:sz w:val="20"/>
                <w:szCs w:val="20"/>
                <w:color w:val="auto"/>
              </w:rPr>
            </w:pPr>
            <w:r>
              <w:rPr>
                <w:rFonts w:ascii="Arial" w:cs="Arial" w:eastAsia="Arial" w:hAnsi="Arial"/>
                <w:sz w:val="18"/>
                <w:szCs w:val="18"/>
                <w:color w:val="auto"/>
              </w:rPr>
              <w:t>1,384</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858</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526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r>
      <w:tr>
        <w:trPr>
          <w:trHeight w:val="222"/>
        </w:trPr>
        <w:tc>
          <w:tcPr>
            <w:tcW w:w="1700" w:type="dxa"/>
            <w:vAlign w:val="bottom"/>
          </w:tcPr>
          <w:p>
            <w:pPr>
              <w:jc w:val="right"/>
              <w:ind w:right="332"/>
              <w:spacing w:after="0"/>
              <w:rPr>
                <w:sz w:val="20"/>
                <w:szCs w:val="20"/>
                <w:color w:val="auto"/>
              </w:rPr>
            </w:pPr>
            <w:r>
              <w:rPr>
                <w:rFonts w:ascii="Arial" w:cs="Arial" w:eastAsia="Arial" w:hAnsi="Arial"/>
                <w:sz w:val="18"/>
                <w:szCs w:val="18"/>
                <w:color w:val="auto"/>
              </w:rPr>
              <w:t>(523)</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(55)</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(468)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850.9%</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-1987550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-1696085</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-1404620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-1130300</wp:posOffset>
            </wp:positionV>
            <wp:extent cx="72466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-838200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-563880</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-272415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66" w:orient="portrait"/>
          <w:cols w:equalWidth="0" w:num="2">
            <w:col w:w="5240" w:space="720"/>
            <w:col w:w="5520"/>
          </w:cols>
          <w:pgMar w:left="240" w:top="557" w:right="179" w:bottom="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308</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290</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25,702</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20,647</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5,055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4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12,541</w:t>
            </w:r>
          </w:p>
        </w:tc>
        <w:tc>
          <w:tcPr>
            <w:tcW w:w="4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12,527</w:t>
            </w:r>
          </w:p>
        </w:tc>
        <w:tc>
          <w:tcPr>
            <w:tcW w:w="48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from catastrophes (1)</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10,337</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10,337</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22,878</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12,527</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10,351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4,234</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(3,413)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Losses from catastrophes (1)</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4,791</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4,791</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5,612</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4,234</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1,378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4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11,720</w:t>
            </w:r>
          </w:p>
        </w:tc>
        <w:tc>
          <w:tcPr>
            <w:tcW w:w="4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8,293</w:t>
            </w:r>
          </w:p>
        </w:tc>
        <w:tc>
          <w:tcPr>
            <w:tcW w:w="48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3,427</w:t>
            </w: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from catastrophes (1)</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5,546</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5,546</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Net loss and loss adjustment expenses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17,266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8,293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8,973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4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5,800</w:t>
            </w:r>
          </w:p>
        </w:tc>
        <w:tc>
          <w:tcPr>
            <w:tcW w:w="4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4,889</w:t>
            </w:r>
          </w:p>
        </w:tc>
        <w:tc>
          <w:tcPr>
            <w:tcW w:w="48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911</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5,031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4,212</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756</w:t>
            </w:r>
          </w:p>
        </w:tc>
        <w:tc>
          <w:tcPr>
            <w:tcW w:w="480" w:type="dxa"/>
            <w:vAlign w:val="bottom"/>
          </w:tcPr>
          <w:p>
            <w:pPr>
              <w:spacing w:after="0"/>
              <w:rPr>
                <w:sz w:val="18"/>
                <w:szCs w:val="18"/>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(509)</w:t>
            </w: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319</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457</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457</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29,211</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18,469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10,742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income from operations before taxes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2,178</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(5,687)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(791)</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708</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(1,499)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(loss) income</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(2,718)</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1,470</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(4,188)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right="6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three months ended March 31, 2018 includes catastrophe losses which we define as losses from an event for which a catastrophe bulletin and related serial number has been issued by the Property Claims Services (PCS) unit of the Insurance Services Office (ISO). This is the primary industry source for determination of a catastrophe event. PCS catastrophe bulletins are issued for events that are likely to cause more than $25 million in damage and affect a significant number of policyholders and insurers.</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66" w:orient="portrait"/>
          <w:cols w:equalWidth="0" w:num="1">
            <w:col w:w="11480"/>
          </w:cols>
          <w:pgMar w:left="240" w:top="557" w:right="17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5"/>
                <w:szCs w:val="15"/>
                <w:b w:val="1"/>
                <w:bCs w:val="1"/>
                <w:color w:val="auto"/>
                <w:w w:val="96"/>
              </w:rPr>
              <w:t>Three months ended March 31,</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right"/>
              <w:ind w:right="58"/>
              <w:spacing w:after="0" w:line="149" w:lineRule="exact"/>
              <w:rPr>
                <w:sz w:val="20"/>
                <w:szCs w:val="20"/>
                <w:color w:val="auto"/>
              </w:rPr>
            </w:pPr>
            <w:r>
              <w:rPr>
                <w:rFonts w:ascii="Arial" w:cs="Arial" w:eastAsia="Arial" w:hAnsi="Arial"/>
                <w:sz w:val="15"/>
                <w:szCs w:val="15"/>
                <w:b w:val="1"/>
                <w:bCs w:val="1"/>
                <w:color w:val="auto"/>
                <w:w w:val="92"/>
              </w:rPr>
              <w:t>Percentage Point</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6800" w:type="dxa"/>
            <w:vAlign w:val="bottom"/>
            <w:gridSpan w:val="2"/>
          </w:tcPr>
          <w:p>
            <w:pPr>
              <w:ind w:left="6500"/>
              <w:spacing w:after="0"/>
              <w:rPr>
                <w:sz w:val="20"/>
                <w:szCs w:val="20"/>
                <w:color w:val="auto"/>
              </w:rPr>
            </w:pPr>
            <w:r>
              <w:rPr>
                <w:rFonts w:ascii="Arial" w:cs="Arial" w:eastAsia="Arial" w:hAnsi="Arial"/>
                <w:sz w:val="15"/>
                <w:szCs w:val="15"/>
                <w:b w:val="1"/>
                <w:bCs w:val="1"/>
                <w:color w:val="auto"/>
                <w:w w:val="83"/>
              </w:rPr>
              <w:t>2018</w:t>
            </w:r>
          </w:p>
        </w:tc>
        <w:tc>
          <w:tcPr>
            <w:tcW w:w="720" w:type="dxa"/>
            <w:vAlign w:val="bottom"/>
          </w:tcPr>
          <w:p>
            <w:pPr>
              <w:spacing w:after="0"/>
              <w:rPr>
                <w:sz w:val="15"/>
                <w:szCs w:val="15"/>
                <w:color w:val="auto"/>
              </w:rPr>
            </w:pPr>
          </w:p>
        </w:tc>
        <w:tc>
          <w:tcPr>
            <w:tcW w:w="1240" w:type="dxa"/>
            <w:vAlign w:val="bottom"/>
          </w:tcPr>
          <w:p>
            <w:pPr>
              <w:jc w:val="right"/>
              <w:ind w:right="518"/>
              <w:spacing w:after="0"/>
              <w:rPr>
                <w:sz w:val="20"/>
                <w:szCs w:val="20"/>
                <w:color w:val="auto"/>
              </w:rPr>
            </w:pPr>
            <w:r>
              <w:rPr>
                <w:rFonts w:ascii="Arial" w:cs="Arial" w:eastAsia="Arial" w:hAnsi="Arial"/>
                <w:sz w:val="15"/>
                <w:szCs w:val="15"/>
                <w:b w:val="1"/>
                <w:bCs w:val="1"/>
                <w:color w:val="auto"/>
              </w:rPr>
              <w:t>2017</w:t>
            </w:r>
          </w:p>
        </w:tc>
        <w:tc>
          <w:tcPr>
            <w:tcW w:w="1300" w:type="dxa"/>
            <w:vAlign w:val="bottom"/>
          </w:tcPr>
          <w:p>
            <w:pPr>
              <w:jc w:val="right"/>
              <w:ind w:right="358"/>
              <w:spacing w:after="0"/>
              <w:rPr>
                <w:sz w:val="20"/>
                <w:szCs w:val="20"/>
                <w:color w:val="auto"/>
              </w:rPr>
            </w:pPr>
            <w:r>
              <w:rPr>
                <w:rFonts w:ascii="Arial" w:cs="Arial" w:eastAsia="Arial" w:hAnsi="Arial"/>
                <w:sz w:val="15"/>
                <w:szCs w:val="15"/>
                <w:b w:val="1"/>
                <w:bCs w:val="1"/>
                <w:color w:val="auto"/>
              </w:rPr>
              <w:t>Change</w:t>
            </w: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Percent Change</w:t>
            </w:r>
          </w:p>
        </w:tc>
      </w:tr>
      <w:tr>
        <w:trPr>
          <w:trHeight w:val="243"/>
        </w:trPr>
        <w:tc>
          <w:tcPr>
            <w:tcW w:w="59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Key ratios:</w:t>
            </w:r>
          </w:p>
        </w:tc>
        <w:tc>
          <w:tcPr>
            <w:tcW w:w="7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Net loss ratio</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75.6%</w:t>
            </w: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24.9</w:t>
            </w:r>
          </w:p>
        </w:tc>
        <w:tc>
          <w:tcPr>
            <w:tcW w:w="136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8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38.7%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r>
      <w:tr>
        <w:trPr>
          <w:trHeight w:val="216"/>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Net combined ratio</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85"/>
              </w:rPr>
              <w:t>114.3%</w:t>
            </w:r>
          </w:p>
        </w:tc>
        <w:tc>
          <w:tcPr>
            <w:tcW w:w="1240" w:type="dxa"/>
            <w:vAlign w:val="bottom"/>
          </w:tcPr>
          <w:p>
            <w:pPr>
              <w:jc w:val="right"/>
              <w:spacing w:after="0"/>
              <w:rPr>
                <w:sz w:val="20"/>
                <w:szCs w:val="20"/>
                <w:color w:val="auto"/>
              </w:rPr>
            </w:pPr>
            <w:r>
              <w:rPr>
                <w:rFonts w:ascii="Arial" w:cs="Arial" w:eastAsia="Arial" w:hAnsi="Arial"/>
                <w:sz w:val="18"/>
                <w:szCs w:val="18"/>
                <w:color w:val="auto"/>
              </w:rPr>
              <w:t>85.2%</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29.1</w:t>
            </w:r>
          </w:p>
        </w:tc>
        <w:tc>
          <w:tcPr>
            <w:tcW w:w="136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Premiums(1)</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Direct written premiums during the three months ended March 31, 2018 (“2018”) were $31,526,000 compared to $26,125,000 during the three months ended March 31, 2017 (“2017”). The increase of $5,401,000, or 20.7%, was primarily due to an increase in policies in-force during 2018 as compared to 2017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During 2017, we started writing homeowners policies in New Jersey and Rhode Island. We refer to our New York business as our “Core” business and the business outside of New York as our “Expansion” business. Direct written premiums from our Expansion business were $897,000 in 2018, compared to none in 2017. Policies in-force increased by 19.3% as of March 31, 2018 compared to March 31,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Premiums(1) and Net Premiums Earned</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following table describes the quota share reinsurance ceding rates in effect during 2018 and 2017. For purposes of the discussion herein, the change in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4360" w:type="dxa"/>
            <w:vAlign w:val="bottom"/>
            <w:gridSpan w:val="3"/>
          </w:tcPr>
          <w:p>
            <w:pPr>
              <w:ind w:left="2280"/>
              <w:spacing w:after="0"/>
              <w:rPr>
                <w:sz w:val="20"/>
                <w:szCs w:val="20"/>
                <w:color w:val="auto"/>
              </w:rPr>
            </w:pPr>
            <w:r>
              <w:rPr>
                <w:rFonts w:ascii="Arial" w:cs="Arial" w:eastAsia="Arial" w:hAnsi="Arial"/>
                <w:sz w:val="15"/>
                <w:szCs w:val="15"/>
                <w:b w:val="1"/>
                <w:bCs w:val="1"/>
                <w:color w:val="auto"/>
                <w:w w:val="93"/>
              </w:rPr>
              <w:t>Three months ended March 31,</w:t>
            </w:r>
          </w:p>
        </w:tc>
        <w:tc>
          <w:tcPr>
            <w:tcW w:w="2140" w:type="dxa"/>
            <w:vAlign w:val="bottom"/>
          </w:tcPr>
          <w:p>
            <w:pPr>
              <w:spacing w:after="0"/>
              <w:rPr>
                <w:sz w:val="16"/>
                <w:szCs w:val="16"/>
                <w:color w:val="auto"/>
              </w:rPr>
            </w:pPr>
          </w:p>
        </w:tc>
      </w:tr>
      <w:tr>
        <w:trPr>
          <w:trHeight w:val="182"/>
        </w:trPr>
        <w:tc>
          <w:tcPr>
            <w:tcW w:w="4920" w:type="dxa"/>
            <w:vAlign w:val="bottom"/>
          </w:tcPr>
          <w:p>
            <w:pPr>
              <w:spacing w:after="0"/>
              <w:rPr>
                <w:sz w:val="15"/>
                <w:szCs w:val="15"/>
                <w:color w:val="auto"/>
              </w:rPr>
            </w:pPr>
          </w:p>
        </w:tc>
        <w:tc>
          <w:tcPr>
            <w:tcW w:w="3100" w:type="dxa"/>
            <w:vAlign w:val="bottom"/>
            <w:tcBorders>
              <w:bottom w:val="single" w:sz="8" w:color="auto"/>
            </w:tcBorders>
          </w:tcPr>
          <w:p>
            <w:pPr>
              <w:jc w:val="right"/>
              <w:ind w:right="1142"/>
              <w:spacing w:after="0"/>
              <w:rPr>
                <w:sz w:val="20"/>
                <w:szCs w:val="20"/>
                <w:color w:val="auto"/>
              </w:rPr>
            </w:pPr>
            <w:r>
              <w:rPr>
                <w:rFonts w:ascii="Arial" w:cs="Arial" w:eastAsia="Arial" w:hAnsi="Arial"/>
                <w:sz w:val="15"/>
                <w:szCs w:val="15"/>
                <w:b w:val="1"/>
                <w:bCs w:val="1"/>
                <w:color w:val="auto"/>
              </w:rPr>
              <w:t>2018</w:t>
            </w:r>
          </w:p>
        </w:tc>
        <w:tc>
          <w:tcPr>
            <w:tcW w:w="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141"/>
              <w:spacing w:after="0"/>
              <w:rPr>
                <w:sz w:val="20"/>
                <w:szCs w:val="20"/>
                <w:color w:val="auto"/>
              </w:rPr>
            </w:pPr>
            <w:r>
              <w:rPr>
                <w:rFonts w:ascii="Arial" w:cs="Arial" w:eastAsia="Arial" w:hAnsi="Arial"/>
                <w:sz w:val="15"/>
                <w:szCs w:val="15"/>
                <w:b w:val="1"/>
                <w:bCs w:val="1"/>
                <w:color w:val="auto"/>
              </w:rPr>
              <w:t>2017</w:t>
            </w:r>
          </w:p>
        </w:tc>
      </w:tr>
      <w:tr>
        <w:trPr>
          <w:trHeight w:val="216"/>
        </w:trPr>
        <w:tc>
          <w:tcPr>
            <w:tcW w:w="49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060"/>
              <w:spacing w:after="0"/>
              <w:rPr>
                <w:sz w:val="20"/>
                <w:szCs w:val="20"/>
                <w:color w:val="auto"/>
              </w:rPr>
            </w:pPr>
            <w:r>
              <w:rPr>
                <w:rFonts w:ascii="Arial" w:cs="Arial" w:eastAsia="Arial" w:hAnsi="Arial"/>
                <w:sz w:val="15"/>
                <w:szCs w:val="15"/>
                <w:b w:val="1"/>
                <w:bCs w:val="1"/>
                <w:color w:val="auto"/>
              </w:rPr>
              <w:t>("2017/2019 Treaty")</w:t>
            </w:r>
          </w:p>
        </w:tc>
        <w:tc>
          <w:tcPr>
            <w:tcW w:w="214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("2016/2017 Treaty")</w:t>
            </w:r>
          </w:p>
        </w:tc>
      </w:tr>
      <w:tr>
        <w:trPr>
          <w:trHeight w:val="216"/>
        </w:trPr>
        <w:tc>
          <w:tcPr>
            <w:tcW w:w="49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Quota share reinsurance rates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2"/>
        </w:trPr>
        <w:tc>
          <w:tcPr>
            <w:tcW w:w="4920" w:type="dxa"/>
            <w:vAlign w:val="bottom"/>
          </w:tcPr>
          <w:p>
            <w:pPr>
              <w:ind w:left="220"/>
              <w:spacing w:after="0"/>
              <w:rPr>
                <w:sz w:val="20"/>
                <w:szCs w:val="20"/>
                <w:color w:val="auto"/>
              </w:rPr>
            </w:pPr>
            <w:r>
              <w:rPr>
                <w:rFonts w:ascii="Arial" w:cs="Arial" w:eastAsia="Arial" w:hAnsi="Arial"/>
                <w:sz w:val="18"/>
                <w:szCs w:val="18"/>
                <w:color w:val="auto"/>
              </w:rPr>
              <w:t>Personal lines</w:t>
            </w:r>
          </w:p>
        </w:tc>
        <w:tc>
          <w:tcPr>
            <w:tcW w:w="3100" w:type="dxa"/>
            <w:vAlign w:val="bottom"/>
          </w:tcPr>
          <w:p>
            <w:pPr>
              <w:jc w:val="right"/>
              <w:ind w:right="1142"/>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40" w:type="dxa"/>
            <w:vAlign w:val="bottom"/>
          </w:tcPr>
          <w:p>
            <w:pPr>
              <w:jc w:val="right"/>
              <w:ind w:right="1121"/>
              <w:spacing w:after="0"/>
              <w:rPr>
                <w:sz w:val="20"/>
                <w:szCs w:val="20"/>
                <w:color w:val="auto"/>
              </w:rPr>
            </w:pPr>
            <w:r>
              <w:rPr>
                <w:rFonts w:ascii="Arial" w:cs="Arial" w:eastAsia="Arial" w:hAnsi="Arial"/>
                <w:sz w:val="18"/>
                <w:szCs w:val="18"/>
                <w:color w:val="auto"/>
              </w:rPr>
              <w:t>40%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“Reinsurance” below for changes to our personal lines quota share treaty effective July 1,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5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measure is not based on GAAP and is reconciled to the most directly comparable GAAP measure of net premiums earned in the table on page 40.</w:t>
      </w:r>
    </w:p>
    <w:p>
      <w:pPr>
        <w:spacing w:after="0" w:line="39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Net written premiums increased $6,966,000, or 41.6%, to $23,700,000 in 2018 from $16,734,000 in 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 of our personal lines quota share reinsurance rate to 20% on July 1, 2017.</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An increase in written premiums will also increase the premiums ceded under our excess of loss treaties, which incrementally reduces our net written premiums. In 2018, our ceded excess of loss reinsurance premiums decreased by $23,000 over the comparable ceded premiums for 2017. The decrease was due to more favorable reinsurance rates in 2018, partially offset by an increase in premiums subject to excess of loss reinsurance.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2018, our catastrophe reinsurance premiums increased by $590,000 over the comparable ceded premiums for 2017. The increase was due to an increase in our catastrophe coverage and an increase in premiums subject to catastrophe reinsurance, partially offset by more favorable reinsurance rates in 2018. Our ceded catastrophe premiums are paid based on the total direct written premiums subject to the catastrophe reinsurance treaty.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$6,468,000, or 39.5 %, to $22,838,000 in 2018 from $16,370,000 in 2017. The increase was due to the increase in written premiums discussed above and our retaining more earned premiums effective July 1, 2017, as a result of the reduction of the quota share percentage in our personal lines quota share treaty.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2018 and 2017. This table should be referred to in conjunction with the discussion for ceding commission revenue that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6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Three months ended</w:t>
            </w:r>
          </w:p>
        </w:tc>
      </w:tr>
      <w:tr>
        <w:trPr>
          <w:trHeight w:val="182"/>
        </w:trPr>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center"/>
              <w:ind w:right="1842"/>
              <w:spacing w:after="0"/>
              <w:rPr>
                <w:sz w:val="20"/>
                <w:szCs w:val="20"/>
                <w:color w:val="auto"/>
              </w:rPr>
            </w:pPr>
            <w:r>
              <w:rPr>
                <w:rFonts w:ascii="Arial" w:cs="Arial" w:eastAsia="Arial" w:hAnsi="Arial"/>
                <w:sz w:val="15"/>
                <w:szCs w:val="15"/>
                <w:b w:val="1"/>
                <w:bCs w:val="1"/>
                <w:color w:val="auto"/>
                <w:w w:val="92"/>
              </w:rPr>
              <w:t>March 31,</w:t>
            </w:r>
          </w:p>
        </w:tc>
      </w:tr>
      <w:tr>
        <w:trPr>
          <w:trHeight w:val="196"/>
        </w:trPr>
        <w:tc>
          <w:tcPr>
            <w:tcW w:w="5000" w:type="dxa"/>
            <w:vAlign w:val="bottom"/>
          </w:tcPr>
          <w:p>
            <w:pPr>
              <w:spacing w:after="0"/>
              <w:rPr>
                <w:sz w:val="17"/>
                <w:szCs w:val="17"/>
                <w:color w:val="auto"/>
              </w:rPr>
            </w:pPr>
          </w:p>
        </w:tc>
        <w:tc>
          <w:tcPr>
            <w:tcW w:w="3660" w:type="dxa"/>
            <w:vAlign w:val="bottom"/>
            <w:gridSpan w:val="2"/>
          </w:tcPr>
          <w:p>
            <w:pPr>
              <w:jc w:val="right"/>
              <w:ind w:right="546"/>
              <w:spacing w:after="0"/>
              <w:rPr>
                <w:sz w:val="20"/>
                <w:szCs w:val="20"/>
                <w:color w:val="auto"/>
              </w:rPr>
            </w:pPr>
            <w:r>
              <w:rPr>
                <w:rFonts w:ascii="Arial" w:cs="Arial" w:eastAsia="Arial" w:hAnsi="Arial"/>
                <w:sz w:val="15"/>
                <w:szCs w:val="15"/>
                <w:b w:val="1"/>
                <w:bCs w:val="1"/>
                <w:color w:val="auto"/>
              </w:rPr>
              <w:t>2018</w:t>
            </w:r>
          </w:p>
        </w:tc>
        <w:tc>
          <w:tcPr>
            <w:tcW w:w="2760" w:type="dxa"/>
            <w:vAlign w:val="bottom"/>
          </w:tcPr>
          <w:p>
            <w:pPr>
              <w:jc w:val="right"/>
              <w:ind w:right="922"/>
              <w:spacing w:after="0"/>
              <w:rPr>
                <w:sz w:val="20"/>
                <w:szCs w:val="20"/>
                <w:color w:val="auto"/>
              </w:rPr>
            </w:pPr>
            <w:r>
              <w:rPr>
                <w:rFonts w:ascii="Arial" w:cs="Arial" w:eastAsia="Arial" w:hAnsi="Arial"/>
                <w:sz w:val="15"/>
                <w:szCs w:val="15"/>
                <w:b w:val="1"/>
                <w:bCs w:val="1"/>
                <w:color w:val="auto"/>
              </w:rPr>
              <w:t>2017</w:t>
            </w:r>
          </w:p>
        </w:tc>
      </w:tr>
      <w:tr>
        <w:trPr>
          <w:trHeight w:val="216"/>
        </w:trPr>
        <w:tc>
          <w:tcPr>
            <w:tcW w:w="5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w w:val="98"/>
              </w:rPr>
              <w:t>("2017/2019 Treaty")</w:t>
            </w:r>
          </w:p>
        </w:tc>
        <w:tc>
          <w:tcPr>
            <w:tcW w:w="27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5"/>
                <w:szCs w:val="15"/>
                <w:b w:val="1"/>
                <w:bCs w:val="1"/>
                <w:color w:val="auto"/>
              </w:rPr>
              <w:t>("2016/2017 Treaty")</w:t>
            </w:r>
          </w:p>
        </w:tc>
      </w:tr>
      <w:tr>
        <w:trPr>
          <w:trHeight w:val="216"/>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8"/>
              </w:rPr>
              <w:t>Provisional ceding commission rate on quota share treaty</w:t>
            </w:r>
          </w:p>
        </w:tc>
        <w:tc>
          <w:tcPr>
            <w:tcW w:w="1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Personal lines</w:t>
            </w:r>
          </w:p>
        </w:tc>
        <w:tc>
          <w:tcPr>
            <w:tcW w:w="3660" w:type="dxa"/>
            <w:vAlign w:val="bottom"/>
            <w:gridSpan w:val="2"/>
          </w:tcPr>
          <w:p>
            <w:pPr>
              <w:jc w:val="right"/>
              <w:ind w:right="546"/>
              <w:spacing w:after="0"/>
              <w:rPr>
                <w:sz w:val="20"/>
                <w:szCs w:val="20"/>
                <w:color w:val="auto"/>
              </w:rPr>
            </w:pPr>
            <w:r>
              <w:rPr>
                <w:rFonts w:ascii="Arial" w:cs="Arial" w:eastAsia="Arial" w:hAnsi="Arial"/>
                <w:sz w:val="18"/>
                <w:szCs w:val="18"/>
                <w:color w:val="auto"/>
              </w:rPr>
              <w:t>53%</w:t>
            </w:r>
          </w:p>
        </w:tc>
        <w:tc>
          <w:tcPr>
            <w:tcW w:w="2760" w:type="dxa"/>
            <w:vAlign w:val="bottom"/>
          </w:tcPr>
          <w:p>
            <w:pPr>
              <w:jc w:val="right"/>
              <w:ind w:right="902"/>
              <w:spacing w:after="0"/>
              <w:rPr>
                <w:sz w:val="20"/>
                <w:szCs w:val="20"/>
                <w:color w:val="auto"/>
              </w:rPr>
            </w:pPr>
            <w:r>
              <w:rPr>
                <w:rFonts w:ascii="Arial" w:cs="Arial" w:eastAsia="Arial" w:hAnsi="Arial"/>
                <w:sz w:val="18"/>
                <w:szCs w:val="18"/>
                <w:color w:val="auto"/>
              </w:rPr>
              <w:t>52%</w:t>
            </w:r>
          </w:p>
        </w:tc>
      </w:tr>
      <w:tr>
        <w:trPr>
          <w:trHeight w:val="641"/>
        </w:trPr>
        <w:tc>
          <w:tcPr>
            <w:tcW w:w="5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rPr>
              <w:t>40</w:t>
            </w:r>
          </w:p>
        </w:tc>
        <w:tc>
          <w:tcPr>
            <w:tcW w:w="1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The following table summarizes the changes in the components of ceding commission revenue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5"/>
                <w:szCs w:val="15"/>
                <w:b w:val="1"/>
                <w:bCs w:val="1"/>
                <w:color w:val="auto"/>
                <w:w w:val="92"/>
              </w:rPr>
              <w:t>Three months ended March 31,</w:t>
            </w:r>
          </w:p>
        </w:tc>
        <w:tc>
          <w:tcPr>
            <w:tcW w:w="1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4"/>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6"/>
              <w:spacing w:after="0" w:line="162"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line="162" w:lineRule="exact"/>
              <w:rPr>
                <w:sz w:val="20"/>
                <w:szCs w:val="20"/>
                <w:color w:val="auto"/>
              </w:rPr>
            </w:pPr>
            <w:r>
              <w:rPr>
                <w:rFonts w:ascii="Arial" w:cs="Arial" w:eastAsia="Arial" w:hAnsi="Arial"/>
                <w:sz w:val="15"/>
                <w:szCs w:val="15"/>
                <w:b w:val="1"/>
                <w:bCs w:val="1"/>
                <w:color w:val="auto"/>
              </w:rPr>
              <w:t>Change</w:t>
            </w:r>
          </w:p>
        </w:tc>
        <w:tc>
          <w:tcPr>
            <w:tcW w:w="1180" w:type="dxa"/>
            <w:vAlign w:val="bottom"/>
            <w:tcBorders>
              <w:bottom w:val="single" w:sz="8" w:color="auto"/>
            </w:tcBorders>
          </w:tcPr>
          <w:p>
            <w:pPr>
              <w:jc w:val="right"/>
              <w:ind w:right="334"/>
              <w:spacing w:after="0" w:line="162"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3,343</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(1,276)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ceding commissions earned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Contingent ceding commissions earned excluding</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Effect of catastrophes on ceding commissions earned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(334)</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Contingent ceding commissions earned</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(213)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ceding commission revenue</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1,695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3,184</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(1,489)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Ceding commission revenue was $1,695,000 in 2018 compared to $3,184,000 in 2017. The decrease of $1,489,000, or 46.8%, was due to a decrease in provisional ceding commissions earned as well as a decrease in contingent ceding commissions earned (see below for discussion of provisional ceding commissions earned and contingent ceding commissions earned).</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158"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We receive a provisional ceding commission based on ceded written premiums. In 2018 our provisional ceding rate was 53% effective July 1, 2017 under the 2017/2019 Treaty. In 2017 our provisional ceding rate was 52% effective July 1, 2016 ender the 2016/2017 Treaty. The $1,276,000 decrease in provisional ceding commissions earned is primarily due to the decrease in quota share ceding rate effective July 1, 2017 to 20%, from the 40% rate in effect from January 1, 2016 through June 30, 2017; thus there was less ceded premiums in 2018 available to earn ceding commissions than there was in 2017. The decrease was partially offset by an increase in personal lines direct written premiums subject to the quota share and by the increase in our provisional ceding commission rate as discussed above.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158" w:lineRule="exact"/>
        <w:rPr>
          <w:sz w:val="20"/>
          <w:szCs w:val="20"/>
          <w:color w:val="auto"/>
        </w:rPr>
      </w:pPr>
    </w:p>
    <w:p>
      <w:pPr>
        <w:jc w:val="both"/>
        <w:ind w:right="60" w:firstLine="648"/>
        <w:spacing w:after="0" w:line="323"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4"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5"/>
          <w:szCs w:val="15"/>
          <w:color w:val="auto"/>
        </w:rPr>
        <w:t>The 2017/2019 Treaty and 2016/2017 Treaty structure limits the amount of contingent ceding commissions that we can receive by setting a higher provisional commission rate.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In 2018, catastrophe losses of $1,387,000 were ceded under our personal lines quota share treaty. Such catastrophe losses resulted in the Loss Ratios for the period July 1, 2017 through March 31, 2018 (attributable to the 2017/2019 Treaty) to be higher than the contractual Loss Ratio at which provisional ceding commissions were earned. Accordingly, we incurred a negative adjustment to contingent ceding commissions of $334,000. See “Reinsurance” below for changes to our personal lines quota share treaty effective July 1, 2017.</w:t>
      </w:r>
    </w:p>
    <w:p>
      <w:pPr>
        <w:spacing w:after="0" w:line="3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Net Investment Income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investment income was $1,384,000 in 2018 compared to $858,000 in 2017. The increase of $526,000, or 61.3%, was due to an increase in average invested assets in 2018. The average yield on invested assets was 3.73% as of March 31, 2018 compared to 3.77% as of March 31, 2017. The pre-tax equivalent yield on invested assets was 3.38% and 4.03% as of March 31, 2018 and 2017, respectively.</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and invested assets were $184,242,000 as of March 31, 2018, compared to $138,921,000 as of March 31, 2017. The $45,321,000 increase in cash and invested assets resulted primarily from the net proceeds of approximately $29,122,000 that we received in December 2017 from our debt offering and increased operating cash flows for the period after March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Losses on Investments</w:t>
      </w:r>
    </w:p>
    <w:p>
      <w:pPr>
        <w:spacing w:after="0" w:line="15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Net losses on investments was $523,000 in 2018 compared to $55,000 in 2017. The increased loss of $468,000, or 850.9%, was attributable to an accounting standard change (ASU 2016-01, see Note 2) with respect to the changes in fair value of equity securities. Historically, the change in unrealized gains (losses) for equity securities would flow through other comprehensive income (loss). As a result of the new accounting standard, the change in unrealized gains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(losses) for equity securities is now recorded in the statements of operations and comprehensive income (loss). Unrealized losses on our equity securities in 2018 was $307,000. Realized losses on investments was $244,000 in 2018 compared to $55,000 in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income was $308,000 in 2018 compared to $290,000 in 2017. The increase of $18,000, or 6.2%, was primarily due to an increase in installment and other fees earned in our insurance underwriting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loss and LAE was $17,266,000 in 2018 compared to $8,293,000 in 2017. The net loss ratio was 75.6% in 2018 compared to 50.7% in 2017, an increase of 24.9 percentage points.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148590</wp:posOffset>
            </wp:positionV>
            <wp:extent cx="4476750" cy="4159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76750"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jc w:val="both"/>
        <w:ind w:firstLine="648"/>
        <w:spacing w:after="0" w:line="288" w:lineRule="auto"/>
        <w:rPr>
          <w:sz w:val="20"/>
          <w:szCs w:val="20"/>
          <w:color w:val="auto"/>
        </w:rPr>
      </w:pPr>
      <w:r>
        <w:rPr>
          <w:rFonts w:ascii="Arial" w:cs="Arial" w:eastAsia="Arial" w:hAnsi="Arial"/>
          <w:sz w:val="16"/>
          <w:szCs w:val="16"/>
          <w:color w:val="auto"/>
        </w:rPr>
        <w:t>During 2018, the net loss ratio increased compared to 2017 due primarily to the impact from catastrophe losses related to severe winter weather. We define catastrophe losses as losses from an event for which a catastrophe bulletin and related serial number has been issued by the Property Claims Services (PCS) unit of the Insurance Services Office (ISO). We will only assign claims as catastrophe-related if the PCS industry loss estimate is $25 million or greater for the applicable state in which our policies are written. The 2018 winter season endured three catastrophic events as defined. As a result of these events, we recorded a 24.3 point catastrophe impact, resulting in an increase in the overall loss ratio from 2017 to 2018 of 24.9 points. In addition, we have recorded 0.4 points of favorable prior year loss development in 2018 compared to no impact from favorable prior year development in 2017, or an increase in the favorable impact of 0.4 points year to date. Finally, the core loss ratio excluding the impact of catastrophes and prior year development was 51.8% in 2018, compared to 50.7% in 2017, an increase of 1.1 points. Loss ratio excluding the impact of catastrophes increased slightly due to higher claim severity during 2018. See table below under “Additional Financial Information” summarizing net loss ratios by line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Commission expense was $5,800,000 in 2018 or 19.0% of direct earned premiums. Commission expense was $4,889,000 in 2017 or 19.0% of direct earned premiums. The increase of $911,000 is due to the increase in direct earned premiums in 2018 as compared to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underwriting expenses were $5,031,000 in 2018 compared to $4,212,000 in 2017. The increase of $819,000, or 19.4%, was primarily due to expenses related to growth in direct written premiums. We are also incurring expenses related to expansion into the states where we are newly licensed to write business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$390,000 in 2018 compared to $230,000 in 2017. The increase of $160,000 includes the costs of salaries and employment costs, professional fees, IT and data services specifically attributable to the expansion into new states.</w:t>
      </w:r>
    </w:p>
    <w:p>
      <w:pPr>
        <w:spacing w:after="0" w:line="2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Core salaries and employment costs were $1,981,000 in 2018 compared to $1,727,000 in 2017. The increase of $254,000, or 14.7%, was less than the 20.7% increase in total direct written premiums, which is not yet materially affected by our Expansion business. The increase in employment costs was due to hiring of additional staff to service our current level of business and anticipated growth in volume as well as annual rate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6"/>
                <w:szCs w:val="16"/>
                <w:color w:val="auto"/>
              </w:rPr>
            </w:pPr>
          </w:p>
        </w:tc>
        <w:tc>
          <w:tcPr>
            <w:tcW w:w="1020" w:type="dxa"/>
            <w:vAlign w:val="bottom"/>
          </w:tcPr>
          <w:p>
            <w:pPr>
              <w:jc w:val="center"/>
              <w:ind w:right="216"/>
              <w:spacing w:after="0"/>
              <w:rPr>
                <w:sz w:val="20"/>
                <w:szCs w:val="20"/>
                <w:color w:val="auto"/>
              </w:rPr>
            </w:pPr>
            <w:r>
              <w:rPr>
                <w:rFonts w:ascii="Arial" w:cs="Arial" w:eastAsia="Arial" w:hAnsi="Arial"/>
                <w:sz w:val="15"/>
                <w:szCs w:val="15"/>
                <w:b w:val="1"/>
                <w:bCs w:val="1"/>
                <w:color w:val="auto"/>
                <w:w w:val="87"/>
              </w:rPr>
              <w:t>$ or</w:t>
            </w:r>
          </w:p>
        </w:tc>
      </w:tr>
      <w:tr>
        <w:trPr>
          <w:trHeight w:val="206"/>
        </w:trPr>
        <w:tc>
          <w:tcPr>
            <w:tcW w:w="7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236"/>
              <w:spacing w:after="0"/>
              <w:rPr>
                <w:sz w:val="20"/>
                <w:szCs w:val="20"/>
                <w:color w:val="auto"/>
              </w:rPr>
            </w:pPr>
            <w:r>
              <w:rPr>
                <w:rFonts w:ascii="Arial" w:cs="Arial" w:eastAsia="Arial" w:hAnsi="Arial"/>
                <w:sz w:val="15"/>
                <w:szCs w:val="15"/>
                <w:b w:val="1"/>
                <w:bCs w:val="1"/>
                <w:color w:val="auto"/>
                <w:w w:val="90"/>
              </w:rPr>
              <w:t>Point</w:t>
            </w:r>
          </w:p>
        </w:tc>
      </w:tr>
      <w:tr>
        <w:trPr>
          <w:trHeight w:val="223"/>
        </w:trPr>
        <w:tc>
          <w:tcPr>
            <w:tcW w:w="7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5"/>
                <w:szCs w:val="15"/>
                <w:b w:val="1"/>
                <w:bCs w:val="1"/>
                <w:color w:val="auto"/>
                <w:w w:val="87"/>
              </w:rPr>
              <w:t>Change</w:t>
            </w:r>
          </w:p>
        </w:tc>
      </w:tr>
      <w:tr>
        <w:trPr>
          <w:trHeight w:val="243"/>
        </w:trPr>
        <w:tc>
          <w:tcPr>
            <w:tcW w:w="7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Core</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22,456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16,370</w:t>
            </w:r>
          </w:p>
        </w:tc>
        <w:tc>
          <w:tcPr>
            <w:tcW w:w="6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6,086</w:t>
            </w: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382</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382</w:t>
            </w: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22,838</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16,370</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6,468</w:t>
            </w:r>
          </w:p>
        </w:tc>
      </w:tr>
      <w:tr>
        <w:trPr>
          <w:trHeight w:val="21"/>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underwriting expenses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4,642</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3,982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660</w:t>
            </w:r>
          </w:p>
        </w:tc>
      </w:tr>
      <w:tr>
        <w:trPr>
          <w:trHeight w:val="223"/>
        </w:trPr>
        <w:tc>
          <w:tcPr>
            <w:tcW w:w="7320" w:type="dxa"/>
            <w:vAlign w:val="bottom"/>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390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230</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160</w:t>
            </w:r>
          </w:p>
        </w:tc>
      </w:tr>
      <w:tr>
        <w:trPr>
          <w:trHeight w:val="25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5,032</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4,212</w:t>
            </w:r>
          </w:p>
        </w:tc>
        <w:tc>
          <w:tcPr>
            <w:tcW w:w="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820</w:t>
            </w:r>
          </w:p>
        </w:tc>
      </w:tr>
      <w:tr>
        <w:trPr>
          <w:trHeight w:val="210"/>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underwriting expenses as a percentage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of net premiums earned</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1"/>
        </w:trPr>
        <w:tc>
          <w:tcPr>
            <w:tcW w:w="7320" w:type="dxa"/>
            <w:vAlign w:val="bottom"/>
          </w:tcPr>
          <w:p>
            <w:pPr>
              <w:ind w:left="380"/>
              <w:spacing w:after="0"/>
              <w:rPr>
                <w:sz w:val="20"/>
                <w:szCs w:val="20"/>
                <w:color w:val="auto"/>
              </w:rPr>
            </w:pPr>
            <w:r>
              <w:rPr>
                <w:rFonts w:ascii="Arial" w:cs="Arial" w:eastAsia="Arial" w:hAnsi="Arial"/>
                <w:sz w:val="18"/>
                <w:szCs w:val="18"/>
                <w:color w:val="auto"/>
              </w:rPr>
              <w:t>Expansion</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na</w:t>
            </w:r>
          </w:p>
        </w:tc>
      </w:tr>
      <w:tr>
        <w:trPr>
          <w:trHeight w:val="218"/>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ratio of Core other underwriting expenses to Core net premiums earned was 20.7% in 2018 compared to 24.3% in 2017, a decrease of 3.6 percentage points.</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net underwriting expense ratio in 2018 was 38.7% compared with 34.5% in 2017. The following table shows the individual components of our net underwriting expense ratio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900" w:type="dxa"/>
            <w:vAlign w:val="bottom"/>
            <w:gridSpan w:val="3"/>
          </w:tcPr>
          <w:p>
            <w:pPr>
              <w:jc w:val="right"/>
              <w:ind w:right="860"/>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6"/>
                <w:szCs w:val="16"/>
                <w:color w:val="auto"/>
              </w:rPr>
            </w:pPr>
          </w:p>
        </w:tc>
      </w:tr>
      <w:tr>
        <w:trPr>
          <w:trHeight w:val="206"/>
        </w:trPr>
        <w:tc>
          <w:tcPr>
            <w:tcW w:w="7320" w:type="dxa"/>
            <w:vAlign w:val="bottom"/>
          </w:tcPr>
          <w:p>
            <w:pPr>
              <w:spacing w:after="0"/>
              <w:rPr>
                <w:sz w:val="17"/>
                <w:szCs w:val="17"/>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54"/>
              <w:spacing w:after="0"/>
              <w:rPr>
                <w:sz w:val="20"/>
                <w:szCs w:val="20"/>
                <w:color w:val="auto"/>
              </w:rPr>
            </w:pPr>
            <w:r>
              <w:rPr>
                <w:rFonts w:ascii="Arial" w:cs="Arial" w:eastAsia="Arial" w:hAnsi="Arial"/>
                <w:sz w:val="15"/>
                <w:szCs w:val="15"/>
                <w:b w:val="1"/>
                <w:bCs w:val="1"/>
                <w:color w:val="auto"/>
              </w:rPr>
              <w:t>Percentage</w:t>
            </w:r>
          </w:p>
        </w:tc>
      </w:tr>
      <w:tr>
        <w:trPr>
          <w:trHeight w:val="223"/>
        </w:trPr>
        <w:tc>
          <w:tcPr>
            <w:tcW w:w="7320" w:type="dxa"/>
            <w:vAlign w:val="bottom"/>
          </w:tcPr>
          <w:p>
            <w:pPr>
              <w:spacing w:after="0"/>
              <w:rPr>
                <w:sz w:val="19"/>
                <w:szCs w:val="19"/>
                <w:color w:val="auto"/>
              </w:rPr>
            </w:pPr>
          </w:p>
        </w:tc>
        <w:tc>
          <w:tcPr>
            <w:tcW w:w="1820" w:type="dxa"/>
            <w:vAlign w:val="bottom"/>
            <w:tcBorders>
              <w:bottom w:val="single" w:sz="8" w:color="auto"/>
            </w:tcBorders>
          </w:tcPr>
          <w:p>
            <w:pPr>
              <w:jc w:val="right"/>
              <w:ind w:right="875"/>
              <w:spacing w:after="0"/>
              <w:rPr>
                <w:sz w:val="20"/>
                <w:szCs w:val="20"/>
                <w:color w:val="auto"/>
              </w:rPr>
            </w:pPr>
            <w:r>
              <w:rPr>
                <w:rFonts w:ascii="Arial" w:cs="Arial" w:eastAsia="Arial" w:hAnsi="Arial"/>
                <w:sz w:val="15"/>
                <w:szCs w:val="15"/>
                <w:b w:val="1"/>
                <w:bCs w:val="1"/>
                <w:color w:val="auto"/>
              </w:rPr>
              <w:t>2018</w:t>
            </w: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w w:val="97"/>
              </w:rPr>
              <w:t>Point Change</w:t>
            </w:r>
          </w:p>
        </w:tc>
      </w:tr>
      <w:tr>
        <w:trPr>
          <w:trHeight w:val="243"/>
        </w:trPr>
        <w:tc>
          <w:tcPr>
            <w:tcW w:w="7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8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11.3</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contingent</w:t>
            </w:r>
          </w:p>
        </w:tc>
        <w:tc>
          <w:tcPr>
            <w:tcW w:w="1820" w:type="dxa"/>
            <w:vAlign w:val="bottom"/>
          </w:tcPr>
          <w:p>
            <w:pPr>
              <w:jc w:val="right"/>
              <w:ind w:right="495"/>
              <w:spacing w:after="0"/>
              <w:rPr>
                <w:sz w:val="20"/>
                <w:szCs w:val="20"/>
                <w:color w:val="auto"/>
              </w:rPr>
            </w:pPr>
            <w:r>
              <w:rPr>
                <w:rFonts w:ascii="Arial" w:cs="Arial" w:eastAsia="Arial" w:hAnsi="Arial"/>
                <w:sz w:val="18"/>
                <w:szCs w:val="18"/>
                <w:color w:val="auto"/>
              </w:rPr>
              <w:t>1.6</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0.6</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18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Acquisition costs and other underwriting expenses:</w:t>
            </w: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182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25.4</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320" w:type="dxa"/>
            <w:vAlign w:val="bottom"/>
          </w:tcPr>
          <w:p>
            <w:pPr>
              <w:spacing w:after="0"/>
              <w:rPr>
                <w:sz w:val="19"/>
                <w:szCs w:val="19"/>
                <w:color w:val="auto"/>
              </w:rPr>
            </w:pPr>
          </w:p>
        </w:tc>
        <w:tc>
          <w:tcPr>
            <w:tcW w:w="182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16.6</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7.7</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underwriting expenses</w:t>
            </w: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Core</w:t>
            </w: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Employment costs</w:t>
            </w:r>
          </w:p>
        </w:tc>
        <w:tc>
          <w:tcPr>
            <w:tcW w:w="18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8.7</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320" w:type="dxa"/>
            <w:vAlign w:val="bottom"/>
          </w:tcPr>
          <w:p>
            <w:pPr>
              <w:ind w:left="540"/>
              <w:spacing w:after="0"/>
              <w:rPr>
                <w:sz w:val="20"/>
                <w:szCs w:val="20"/>
                <w:color w:val="auto"/>
              </w:rPr>
            </w:pPr>
            <w:r>
              <w:rPr>
                <w:rFonts w:ascii="Arial" w:cs="Arial" w:eastAsia="Arial" w:hAnsi="Arial"/>
                <w:sz w:val="18"/>
                <w:szCs w:val="18"/>
                <w:color w:val="auto"/>
              </w:rPr>
              <w:t>Other Core Expenses</w:t>
            </w:r>
          </w:p>
        </w:tc>
        <w:tc>
          <w:tcPr>
            <w:tcW w:w="182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11.7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Core Expenses</w:t>
            </w:r>
          </w:p>
        </w:tc>
        <w:tc>
          <w:tcPr>
            <w:tcW w:w="18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20.4</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320" w:type="dxa"/>
            <w:vAlign w:val="bottom"/>
          </w:tcPr>
          <w:p>
            <w:pPr>
              <w:ind w:left="380"/>
              <w:spacing w:after="0"/>
              <w:rPr>
                <w:sz w:val="20"/>
                <w:szCs w:val="20"/>
                <w:color w:val="auto"/>
              </w:rPr>
            </w:pPr>
            <w:r>
              <w:rPr>
                <w:rFonts w:ascii="Arial" w:cs="Arial" w:eastAsia="Arial" w:hAnsi="Arial"/>
                <w:sz w:val="18"/>
                <w:szCs w:val="18"/>
                <w:color w:val="auto"/>
              </w:rPr>
              <w:t>Expansion Expenses</w:t>
            </w:r>
          </w:p>
        </w:tc>
        <w:tc>
          <w:tcPr>
            <w:tcW w:w="182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0.3</w:t>
            </w: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underwriting expenses</w:t>
            </w:r>
          </w:p>
        </w:tc>
        <w:tc>
          <w:tcPr>
            <w:tcW w:w="182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22.1</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underwriting expense ratio</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38.7%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our other underwriting expense ratio excluding the impact of ceding commission revenue and commission expense was driven by a decline of 3.8 points in the impact from employment costs and other expenses attributable to our growing Core business, partially offset by the impact from increased costs related to Expansion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46" w:name="page47"/>
    <w:bookmarkEnd w:id="46"/>
    <w:p>
      <w:pPr>
        <w:jc w:val="both"/>
        <w:ind w:firstLine="648"/>
        <w:spacing w:after="0" w:line="298" w:lineRule="auto"/>
        <w:rPr>
          <w:sz w:val="20"/>
          <w:szCs w:val="20"/>
          <w:color w:val="auto"/>
        </w:rPr>
      </w:pPr>
      <w:r>
        <w:rPr>
          <w:rFonts w:ascii="Arial" w:cs="Arial" w:eastAsia="Arial" w:hAnsi="Arial"/>
          <w:sz w:val="16"/>
          <w:szCs w:val="16"/>
          <w:color w:val="auto"/>
        </w:rPr>
        <w:t>The overall increase of 4.2 percentage points in the net underwriting expense ratio was impacted by the change in our quota share ceding rates and its impact on provisional ceding commission revenue as a result of the additional retention resulting from the Cut-off to our quota share treaties on July 1, 2017. The increase to the net underwriting expense ratio was impacted more by reductions in the reinsurance ceding commission revenue components than it was to changes in the commission expense and other underwriting expense components, each of which declined as a ratio to net premiums earned.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operating expenses, related to the expenses of our holding company, were $247,000 in 2018 compared to $756,000 in 2017. The decrease in 2018 of $509,000, or 67.3%, was primarily due to decreases in executive bonus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Depreciation and amortization was $409,000 in 2018 compared to $319,000 in 2017. The increase of $90,000, or 28.2%, in depreciation and amortization was primarily due to depreciation of our new system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Interest expense in 2018 was $457,000 and -0- in 2017. We incurred interest expense in connection with our $30.0 million issuance of long-term debt in December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2018 was $791,000, which resulted in an effective tax rate of 22.5%. Income tax expense in 2017 was $708,000, which resulted in an effective tax rate of 32.5%. The change in our effective tax rate includes the change in the federal tax rate from 35% to 21%. Loss before taxes was $3,509,000 in 2018 compared to income before taxes of $2,178,000 in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15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Net loss was $2,718,000 in 2018 compared to net income of $1,470,000 in 2017. The decrease in net income of $4,188,000, or (284.9%),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jc w:val="right"/>
              <w:ind w:right="373"/>
              <w:spacing w:after="0"/>
              <w:rPr>
                <w:sz w:val="20"/>
                <w:szCs w:val="20"/>
                <w:color w:val="auto"/>
              </w:rPr>
            </w:pPr>
            <w:r>
              <w:rPr>
                <w:rFonts w:ascii="Arial" w:cs="Arial" w:eastAsia="Arial" w:hAnsi="Arial"/>
                <w:sz w:val="15"/>
                <w:szCs w:val="15"/>
                <w:b w:val="1"/>
                <w:bCs w:val="1"/>
                <w:color w:val="auto"/>
                <w:w w:val="96"/>
              </w:rPr>
              <w:t>For the three months ended</w:t>
            </w:r>
          </w:p>
        </w:tc>
      </w:tr>
      <w:tr>
        <w:trPr>
          <w:trHeight w:val="233"/>
        </w:trPr>
        <w:tc>
          <w:tcPr>
            <w:tcW w:w="8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50"/>
        </w:trPr>
        <w:tc>
          <w:tcPr>
            <w:tcW w:w="8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premiums written: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Personal lines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24,825,452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19,461,972</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4,286,391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3,584,054</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2,354,070</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3,026,483</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60,706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57,386</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31,526,619</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26,129,895</w:t>
            </w: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17,443,911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0"/>
              </w:rPr>
              <w:t>10,466,368</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3,852,371</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3,202,565</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2,354,070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3,026,483</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50,032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38,889</w:t>
            </w:r>
          </w:p>
        </w:tc>
      </w:tr>
      <w:tr>
        <w:trPr>
          <w:trHeight w:val="25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23,700,384</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16,734,305</w:t>
            </w:r>
          </w:p>
        </w:tc>
      </w:tr>
      <w:tr>
        <w:trPr>
          <w:trHeight w:val="210"/>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Personal lines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17,040,256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10,690,583</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3,229,970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2,842,580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2,520,684</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2,792,347</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46,707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44,238</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22,837,617</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16,369,748</w:t>
            </w: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loss and loss adjustment expenses(2):</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12,961,206</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5,352,112</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2,449,598</w:t>
            </w:r>
          </w:p>
        </w:tc>
        <w:tc>
          <w:tcPr>
            <w:tcW w:w="3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1,528,796</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1,164,081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965,522</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Other(1)</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58,674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(52,074)</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Unallocated loss adjustment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632,771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498,640</w:t>
            </w: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17,266,330</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8,292,996</w:t>
            </w:r>
          </w:p>
        </w:tc>
      </w:tr>
      <w:tr>
        <w:trPr>
          <w:trHeight w:val="21"/>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ratio(2):</w:t>
            </w: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4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76.1%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Commercial lines</w:t>
            </w:r>
          </w:p>
        </w:tc>
        <w:tc>
          <w:tcPr>
            <w:tcW w:w="4200" w:type="dxa"/>
            <w:vAlign w:val="bottom"/>
          </w:tcPr>
          <w:p>
            <w:pPr>
              <w:jc w:val="right"/>
              <w:ind w:right="312"/>
              <w:spacing w:after="0"/>
              <w:rPr>
                <w:sz w:val="20"/>
                <w:szCs w:val="20"/>
                <w:color w:val="auto"/>
              </w:rPr>
            </w:pPr>
            <w:r>
              <w:rPr>
                <w:rFonts w:ascii="Arial" w:cs="Arial" w:eastAsia="Arial" w:hAnsi="Arial"/>
                <w:sz w:val="18"/>
                <w:szCs w:val="18"/>
                <w:color w:val="auto"/>
              </w:rPr>
              <w:t>75.8%</w:t>
            </w: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4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Other(1)</w:t>
            </w:r>
          </w:p>
        </w:tc>
        <w:tc>
          <w:tcPr>
            <w:tcW w:w="4200" w:type="dxa"/>
            <w:vAlign w:val="bottom"/>
          </w:tcPr>
          <w:p>
            <w:pPr>
              <w:jc w:val="right"/>
              <w:ind w:right="312"/>
              <w:spacing w:after="0"/>
              <w:rPr>
                <w:sz w:val="20"/>
                <w:szCs w:val="20"/>
                <w:color w:val="auto"/>
              </w:rPr>
            </w:pPr>
            <w:r>
              <w:rPr>
                <w:rFonts w:ascii="Arial" w:cs="Arial" w:eastAsia="Arial" w:hAnsi="Arial"/>
                <w:sz w:val="18"/>
                <w:szCs w:val="18"/>
                <w:color w:val="auto"/>
              </w:rPr>
              <w:t>125.6%</w:t>
            </w:r>
          </w:p>
        </w:tc>
        <w:tc>
          <w:tcPr>
            <w:tcW w:w="96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16"/>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42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34" w:lineRule="exact"/>
        <w:rPr>
          <w:sz w:val="20"/>
          <w:szCs w:val="20"/>
          <w:color w:val="auto"/>
        </w:rPr>
      </w:pPr>
    </w:p>
    <w:p>
      <w:pPr>
        <w:ind w:left="3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discussions above with regard to “Net Loss and LAE”, as to catastrophe losses in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Revenues</w:t>
            </w:r>
          </w:p>
        </w:tc>
        <w:tc>
          <w:tcPr>
            <w:tcW w:w="3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Net premiums earned</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22,837,617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16,369,748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Ceding commission revenue</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1,695,158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3,184,452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Net investment income</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1,383,989</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857,800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losses on investments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(523,127)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292,222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267,376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3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25,685,860</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20,624,870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Loss and loss adjustment expenses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17,266,330</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8,292,996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Commission expense</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5,799,948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4,888,978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Other underwriting expenses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5,031,503</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4,212,417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409,431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318,698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3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7"/>
              </w:rPr>
              <w:t>28,507,212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17,713,089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(Loss) income from operations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(2,821,353)</w:t>
            </w:r>
          </w:p>
        </w:tc>
        <w:tc>
          <w:tcPr>
            <w:tcW w:w="32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2,911,781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expense</w:t>
            </w:r>
          </w:p>
        </w:tc>
        <w:tc>
          <w:tcPr>
            <w:tcW w:w="3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(610,280)</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955,141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b w:val="1"/>
                <w:bCs w:val="1"/>
                <w:color w:val="auto"/>
              </w:rPr>
              <w:t>Net (loss) income</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(2,211,073)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1,956,640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b w:val="1"/>
                <w:bCs w:val="1"/>
                <w:color w:val="auto"/>
              </w:rPr>
              <w:t>Key Measures: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ratio</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380"/>
              <w:spacing w:after="0"/>
              <w:rPr>
                <w:sz w:val="20"/>
                <w:szCs w:val="20"/>
                <w:color w:val="auto"/>
              </w:rPr>
            </w:pPr>
            <w:r>
              <w:rPr>
                <w:rFonts w:ascii="Arial" w:cs="Arial" w:eastAsia="Arial" w:hAnsi="Arial"/>
                <w:sz w:val="18"/>
                <w:szCs w:val="18"/>
                <w:color w:val="auto"/>
              </w:rPr>
              <w:t>Net underwriting expense ratio</w:t>
            </w:r>
          </w:p>
        </w:tc>
        <w:tc>
          <w:tcPr>
            <w:tcW w:w="3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combined ratio</w:t>
            </w:r>
          </w:p>
        </w:tc>
        <w:tc>
          <w:tcPr>
            <w:tcW w:w="3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Reconciliation of net underwriting expense ratio:</w:t>
            </w:r>
          </w:p>
        </w:tc>
        <w:tc>
          <w:tcPr>
            <w:tcW w:w="3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Acquisition costs and other</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underwriting expenses</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10,831,451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9,101,395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Less: Ceding commission revenue</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(1,695,158)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(3,184,452)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Other income</w:t>
            </w:r>
          </w:p>
        </w:tc>
        <w:tc>
          <w:tcPr>
            <w:tcW w:w="3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(292,222)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Net underwriting expenses</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8,844,071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5,649,567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Net premiums earned</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22,837,617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16,369,748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Net Underwriting Expense Ratio</w:t>
            </w:r>
          </w:p>
        </w:tc>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940" w:type="dxa"/>
            <w:vAlign w:val="bottom"/>
            <w:vMerge w:val="restart"/>
          </w:tcPr>
          <w:p>
            <w:pPr>
              <w:jc w:val="right"/>
              <w:ind w:right="2812"/>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7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Arial" w:cs="Arial" w:eastAsia="Arial" w:hAnsi="Arial"/>
                <w:sz w:val="15"/>
                <w:szCs w:val="15"/>
                <w:b w:val="1"/>
                <w:bCs w:val="1"/>
                <w:color w:val="auto"/>
                <w:w w:val="97"/>
              </w:rPr>
              <w:t>Assumed</w:t>
            </w:r>
          </w:p>
        </w:tc>
        <w:tc>
          <w:tcPr>
            <w:tcW w:w="28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Arial" w:cs="Arial" w:eastAsia="Arial" w:hAnsi="Arial"/>
                <w:sz w:val="15"/>
                <w:szCs w:val="15"/>
                <w:b w:val="1"/>
                <w:bCs w:val="1"/>
                <w:color w:val="auto"/>
              </w:rPr>
              <w:t>Ceded</w:t>
            </w:r>
          </w:p>
        </w:tc>
        <w:tc>
          <w:tcPr>
            <w:tcW w:w="26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1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31,526,283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336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(7,826,235)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23,700,384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(1,008,869)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1,901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144,201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30,517,414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2,237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(7,682,034)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22,837,617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12,519,241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21,415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(821,175)</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11,719,481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10,337,730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(4,790,881)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5,546,849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22,856,971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21,415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(5,612,056)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17,266,330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26,125,467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4,428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(9,395,590)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16,734,305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(330,903)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2,981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(36,635)</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25,794,564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7,409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w w:val="99"/>
              </w:rPr>
              <w:t>(9,432,225)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16,369,748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12,518,760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8,040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(4,233,804)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12,518,760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8,040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(4,233,804)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8,292,996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4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jc w:val="right"/>
              <w:ind w:right="614"/>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8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23"/>
        </w:trPr>
        <w:tc>
          <w:tcPr>
            <w:tcW w:w="8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2017</w:t>
            </w:r>
          </w:p>
        </w:tc>
      </w:tr>
      <w:tr>
        <w:trPr>
          <w:trHeight w:val="243"/>
        </w:trPr>
        <w:tc>
          <w:tcPr>
            <w:tcW w:w="8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22,837,617</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0"/>
              </w:rPr>
              <w:t>16,369,748</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1,695,158</w:t>
            </w:r>
          </w:p>
        </w:tc>
        <w:tc>
          <w:tcPr>
            <w:tcW w:w="3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3,184,452</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292,222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267,376</w:t>
            </w:r>
          </w:p>
        </w:tc>
      </w:tr>
      <w:tr>
        <w:trPr>
          <w:trHeight w:val="216"/>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and loss adjustment expenses (1)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17,266,330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8,292,996</w:t>
            </w:r>
          </w:p>
        </w:tc>
      </w:tr>
      <w:tr>
        <w:trPr>
          <w:trHeight w:val="216"/>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costs and other underwriting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5,799,948</w:t>
            </w:r>
          </w:p>
        </w:tc>
        <w:tc>
          <w:tcPr>
            <w:tcW w:w="3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4,888,978</w:t>
            </w: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5,031,503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4,212,417</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Total acquisition costs and other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7"/>
              </w:rPr>
              <w:t>10,831,451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9,101,395</w:t>
            </w:r>
          </w:p>
        </w:tc>
      </w:tr>
      <w:tr>
        <w:trPr>
          <w:trHeight w:val="216"/>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Underwriting income</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(3,272,784)</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2,427,185</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Key Measures:</w:t>
            </w: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Net loss ratio excluding the effect of catastrophes</w:t>
            </w:r>
          </w:p>
        </w:tc>
        <w:tc>
          <w:tcPr>
            <w:tcW w:w="1820" w:type="dxa"/>
            <w:vAlign w:val="bottom"/>
          </w:tcPr>
          <w:p>
            <w:pPr>
              <w:jc w:val="right"/>
              <w:ind w:right="372"/>
              <w:spacing w:after="0"/>
              <w:rPr>
                <w:sz w:val="20"/>
                <w:szCs w:val="20"/>
                <w:color w:val="auto"/>
              </w:rPr>
            </w:pPr>
            <w:r>
              <w:rPr>
                <w:rFonts w:ascii="Arial" w:cs="Arial" w:eastAsia="Arial" w:hAnsi="Arial"/>
                <w:sz w:val="18"/>
                <w:szCs w:val="18"/>
                <w:color w:val="auto"/>
              </w:rPr>
              <w:t>51.3%</w:t>
            </w: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catastrophe loss on net loss ratio (1)</w:t>
            </w:r>
          </w:p>
        </w:tc>
        <w:tc>
          <w:tcPr>
            <w:tcW w:w="18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24.3%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3"/>
        </w:trPr>
        <w:tc>
          <w:tcPr>
            <w:tcW w:w="8700" w:type="dxa"/>
            <w:vAlign w:val="bottom"/>
          </w:tcPr>
          <w:p>
            <w:pPr>
              <w:ind w:left="380"/>
              <w:spacing w:after="0"/>
              <w:rPr>
                <w:sz w:val="20"/>
                <w:szCs w:val="20"/>
                <w:color w:val="auto"/>
              </w:rPr>
            </w:pPr>
            <w:r>
              <w:rPr>
                <w:rFonts w:ascii="Arial" w:cs="Arial" w:eastAsia="Arial" w:hAnsi="Arial"/>
                <w:sz w:val="18"/>
                <w:szCs w:val="18"/>
                <w:color w:val="auto"/>
              </w:rPr>
              <w:t>Net loss ratio</w:t>
            </w:r>
          </w:p>
        </w:tc>
        <w:tc>
          <w:tcPr>
            <w:tcW w:w="1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75.6%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63" w:right="239" w:bottom="1440" w:gutter="0" w:footer="0" w:header="0"/>
        </w:sectPr>
      </w:pPr>
    </w:p>
    <w:p>
      <w:pPr>
        <w:ind w:left="380"/>
        <w:spacing w:after="0"/>
        <w:rPr>
          <w:sz w:val="20"/>
          <w:szCs w:val="20"/>
          <w:color w:val="auto"/>
        </w:rPr>
      </w:pPr>
      <w:r>
        <w:rPr>
          <w:rFonts w:ascii="Arial" w:cs="Arial" w:eastAsia="Arial" w:hAnsi="Arial"/>
          <w:sz w:val="16"/>
          <w:szCs w:val="16"/>
          <w:color w:val="auto"/>
        </w:rPr>
        <w:t>Net underwriting expense ratio excluding the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Effect of catastrophe loss on net underwriting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expense ratio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combined ratio excluding the effect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Effect of catastrophe loss on net combined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ratio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Reconciliation of net underwriting expense ratio:</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Acquisition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underwriting expenses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 Ceding commission revenue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Less: Other income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37.4%</w:t>
      </w:r>
      <w:r>
        <w:rPr>
          <w:sz w:val="20"/>
          <w:szCs w:val="20"/>
          <w:color w:val="auto"/>
        </w:rPr>
        <w:tab/>
      </w:r>
      <w:r>
        <w:rPr>
          <w:rFonts w:ascii="Arial" w:cs="Arial" w:eastAsia="Arial" w:hAnsi="Arial"/>
          <w:sz w:val="15"/>
          <w:szCs w:val="15"/>
          <w:color w:val="auto"/>
        </w:rPr>
        <w:t>34.5%</w:t>
      </w:r>
    </w:p>
    <w:p>
      <w:pPr>
        <w:spacing w:after="0" w:line="225"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0.0%</w:t>
      </w:r>
    </w:p>
    <w:p>
      <w:pPr>
        <w:spacing w:after="0" w:line="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5"/>
          <w:szCs w:val="15"/>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88.7%</w:t>
      </w:r>
      <w:r>
        <w:rPr>
          <w:sz w:val="20"/>
          <w:szCs w:val="20"/>
          <w:color w:val="auto"/>
        </w:rPr>
        <w:tab/>
      </w:r>
      <w:r>
        <w:rPr>
          <w:rFonts w:ascii="Arial" w:cs="Arial" w:eastAsia="Arial" w:hAnsi="Arial"/>
          <w:sz w:val="15"/>
          <w:szCs w:val="15"/>
          <w:color w:val="auto"/>
        </w:rPr>
        <w:t>85.2%</w:t>
      </w:r>
    </w:p>
    <w:p>
      <w:pPr>
        <w:spacing w:after="0" w:line="225"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color w:val="auto"/>
        </w:rPr>
        <w:t>0.0%</w:t>
      </w:r>
    </w:p>
    <w:p>
      <w:pPr>
        <w:spacing w:after="0" w:line="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5"/>
          <w:szCs w:val="15"/>
          <w:color w:val="auto"/>
        </w:rPr>
        <w:t>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36830</wp:posOffset>
            </wp:positionV>
            <wp:extent cx="17322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80" w:val="left"/>
          <w:tab w:leader="none" w:pos="1360" w:val="left"/>
          <w:tab w:leader="none" w:pos="1740" w:val="left"/>
        </w:tabs>
        <w:rPr>
          <w:sz w:val="20"/>
          <w:szCs w:val="20"/>
          <w:color w:val="auto"/>
        </w:rPr>
      </w:pPr>
      <w:r>
        <w:rPr>
          <w:rFonts w:ascii="Arial" w:cs="Arial" w:eastAsia="Arial" w:hAnsi="Arial"/>
          <w:sz w:val="18"/>
          <w:szCs w:val="18"/>
          <w:color w:val="auto"/>
        </w:rPr>
        <w:t>$</w:t>
        <w:tab/>
        <w:t>10,831,451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9,101,395</w:t>
      </w:r>
    </w:p>
    <w:p>
      <w:pPr>
        <w:spacing w:after="0" w:line="15"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6"/>
          <w:szCs w:val="16"/>
          <w:color w:val="auto"/>
        </w:rPr>
        <w:t>(1,695,158)</w:t>
      </w:r>
      <w:r>
        <w:rPr>
          <w:sz w:val="20"/>
          <w:szCs w:val="20"/>
          <w:color w:val="auto"/>
        </w:rPr>
        <w:tab/>
      </w:r>
      <w:r>
        <w:rPr>
          <w:rFonts w:ascii="Arial" w:cs="Arial" w:eastAsia="Arial" w:hAnsi="Arial"/>
          <w:sz w:val="16"/>
          <w:szCs w:val="16"/>
          <w:color w:val="auto"/>
        </w:rPr>
        <w:t>(3,184,452)</w:t>
      </w:r>
    </w:p>
    <w:p>
      <w:pPr>
        <w:spacing w:after="0" w:line="32"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6"/>
          <w:szCs w:val="16"/>
          <w:color w:val="auto"/>
        </w:rPr>
        <w:t>(292,222)</w:t>
      </w:r>
      <w:r>
        <w:rPr>
          <w:sz w:val="20"/>
          <w:szCs w:val="20"/>
          <w:color w:val="auto"/>
        </w:rPr>
        <w:tab/>
      </w:r>
      <w:r>
        <w:rPr>
          <w:rFonts w:ascii="Arial" w:cs="Arial" w:eastAsia="Arial" w:hAnsi="Arial"/>
          <w:sz w:val="16"/>
          <w:szCs w:val="16"/>
          <w:color w:val="auto"/>
        </w:rPr>
        <w:t>(267,376)</w:t>
      </w:r>
    </w:p>
    <w:p>
      <w:pPr>
        <w:spacing w:after="0" w:line="31" w:lineRule="exact"/>
        <w:rPr>
          <w:sz w:val="20"/>
          <w:szCs w:val="20"/>
          <w:color w:val="auto"/>
        </w:rPr>
      </w:pPr>
    </w:p>
    <w:p>
      <w:pPr>
        <w:sectPr>
          <w:pgSz w:w="11900" w:h="16838" w:orient="portrait"/>
          <w:cols w:equalWidth="0" w:num="2">
            <w:col w:w="8100" w:space="720"/>
            <w:col w:w="2600"/>
          </w:cols>
          <w:pgMar w:left="240" w:top="563"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8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8,844,071</w:t>
            </w:r>
          </w:p>
        </w:tc>
        <w:tc>
          <w:tcPr>
            <w:tcW w:w="2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5,649,567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earned premium</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7"/>
              </w:rPr>
              <w:t>22,837,617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16,369,748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Underwriting Expense Ratio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March 31, 2018, includes the sum of net catastrophe losses and loss adjustment expenses of $5,546,849 resulting from severe winter weather.</w:t>
      </w:r>
    </w:p>
    <w:p>
      <w:pPr>
        <w:spacing w:after="0" w:line="118" w:lineRule="exact"/>
        <w:rPr>
          <w:rFonts w:ascii="Arial" w:cs="Arial" w:eastAsia="Arial" w:hAnsi="Arial"/>
          <w:sz w:val="18"/>
          <w:szCs w:val="18"/>
          <w:color w:val="auto"/>
        </w:rPr>
      </w:pPr>
    </w:p>
    <w:p>
      <w:pPr>
        <w:jc w:val="both"/>
        <w:ind w:left="340" w:hanging="321"/>
        <w:spacing w:after="0" w:line="259" w:lineRule="auto"/>
        <w:tabs>
          <w:tab w:leader="none" w:pos="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three months ended March 31, 2018, the effect of catastrophe loss from severe winter weather on our net underwriting expense ratio includes the direct effect of reduced contingent ceding commission revenue by $334,139 and does not include the indirect effects of a $29,167decrease in other underwriting expenses.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Investments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 Maturity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breakdown of the amortized cost, fair value and unrealized gains and losses by investment type as of March 31, 2018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2"/>
                <w:szCs w:val="12"/>
                <w:b w:val="1"/>
                <w:bCs w:val="1"/>
                <w:color w:val="auto"/>
              </w:rPr>
              <w:t>March 31, 2018</w:t>
            </w: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71"/>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92"/>
              </w:rPr>
              <w:t>Net</w:t>
            </w:r>
          </w:p>
        </w:tc>
      </w:tr>
      <w:tr>
        <w:trPr>
          <w:trHeight w:val="160"/>
        </w:trPr>
        <w:tc>
          <w:tcPr>
            <w:tcW w:w="45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13"/>
                <w:szCs w:val="13"/>
                <w:color w:val="auto"/>
              </w:rPr>
            </w:pPr>
          </w:p>
        </w:tc>
        <w:tc>
          <w:tcPr>
            <w:tcW w:w="900" w:type="dxa"/>
            <w:vAlign w:val="bottom"/>
          </w:tcPr>
          <w:p>
            <w:pPr>
              <w:jc w:val="center"/>
              <w:ind w:right="122"/>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rPr>
              <w:t>Gross Unrealized Losses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95"/>
              </w:rPr>
              <w:t>Unrealized</w:t>
            </w:r>
          </w:p>
        </w:tc>
      </w:tr>
      <w:tr>
        <w:trPr>
          <w:trHeight w:val="171"/>
        </w:trPr>
        <w:tc>
          <w:tcPr>
            <w:tcW w:w="4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4"/>
                <w:szCs w:val="14"/>
                <w:color w:val="auto"/>
              </w:rPr>
            </w:pPr>
          </w:p>
        </w:tc>
        <w:tc>
          <w:tcPr>
            <w:tcW w:w="900" w:type="dxa"/>
            <w:vAlign w:val="bottom"/>
          </w:tcPr>
          <w:p>
            <w:pPr>
              <w:jc w:val="center"/>
              <w:ind w:right="142"/>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4"/>
                <w:szCs w:val="14"/>
                <w:color w:val="auto"/>
              </w:rPr>
            </w:pPr>
          </w:p>
        </w:tc>
        <w:tc>
          <w:tcPr>
            <w:tcW w:w="920" w:type="dxa"/>
            <w:vAlign w:val="bottom"/>
          </w:tcPr>
          <w:p>
            <w:pPr>
              <w:jc w:val="right"/>
              <w:ind w:right="184"/>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2"/>
                <w:szCs w:val="12"/>
                <w:b w:val="1"/>
                <w:bCs w:val="1"/>
                <w:color w:val="auto"/>
                <w:w w:val="91"/>
              </w:rPr>
              <w:t>More than 12</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Fair</w:t>
            </w:r>
          </w:p>
        </w:tc>
        <w:tc>
          <w:tcPr>
            <w:tcW w:w="22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92"/>
              </w:rPr>
              <w:t>Gains/</w:t>
            </w:r>
          </w:p>
        </w:tc>
      </w:tr>
      <w:tr>
        <w:trPr>
          <w:trHeight w:val="16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w w:val="85"/>
              </w:rPr>
              <w:t>(Losses)</w:t>
            </w:r>
          </w:p>
        </w:tc>
      </w:tr>
      <w:tr>
        <w:trPr>
          <w:trHeight w:val="243"/>
        </w:trPr>
        <w:tc>
          <w:tcPr>
            <w:tcW w:w="4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2"/>
        </w:trPr>
        <w:tc>
          <w:tcPr>
            <w:tcW w:w="4580" w:type="dxa"/>
            <w:vAlign w:val="bottom"/>
          </w:tcPr>
          <w:p>
            <w:pPr>
              <w:ind w:left="60"/>
              <w:spacing w:after="0"/>
              <w:rPr>
                <w:sz w:val="20"/>
                <w:szCs w:val="20"/>
                <w:color w:val="auto"/>
              </w:rPr>
            </w:pPr>
            <w:r>
              <w:rPr>
                <w:rFonts w:ascii="Arial" w:cs="Arial" w:eastAsia="Arial" w:hAnsi="Arial"/>
                <w:sz w:val="18"/>
                <w:szCs w:val="18"/>
                <w:color w:val="auto"/>
              </w:rPr>
              <w:t>U.S. Treasury securities and</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obligations of U.S. government</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corporations and agencies</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  4,964,012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
              <w:spacing w:after="0"/>
              <w:rPr>
                <w:sz w:val="20"/>
                <w:szCs w:val="20"/>
                <w:color w:val="auto"/>
              </w:rPr>
            </w:pPr>
            <w:r>
              <w:rPr>
                <w:rFonts w:ascii="Arial" w:cs="Arial" w:eastAsia="Arial" w:hAnsi="Arial"/>
                <w:sz w:val="18"/>
                <w:szCs w:val="18"/>
                <w:color w:val="auto"/>
              </w:rPr>
              <w:t>(20,282)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w w:val="99"/>
              </w:rPr>
              <w:t>$  4,943,730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(20,282)</w:t>
            </w:r>
          </w:p>
        </w:tc>
      </w:tr>
      <w:tr>
        <w:trPr>
          <w:trHeight w:val="216"/>
        </w:trPr>
        <w:tc>
          <w:tcPr>
            <w:tcW w:w="4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6,591,252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48,955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(84,282)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6,555,925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w:t>
            </w:r>
          </w:p>
        </w:tc>
      </w:tr>
      <w:tr>
        <w:trPr>
          <w:trHeight w:val="216"/>
        </w:trPr>
        <w:tc>
          <w:tcPr>
            <w:tcW w:w="4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96,910,715</w:t>
            </w:r>
          </w:p>
        </w:tc>
        <w:tc>
          <w:tcPr>
            <w:tcW w:w="24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189,515</w:t>
            </w:r>
          </w:p>
        </w:tc>
        <w:tc>
          <w:tcPr>
            <w:tcW w:w="2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8"/>
                <w:szCs w:val="18"/>
                <w:color w:val="auto"/>
                <w:w w:val="89"/>
              </w:rPr>
              <w:t>(1,436,598)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(369,216)</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95,294,416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(1,616,299)</w:t>
            </w:r>
          </w:p>
        </w:tc>
      </w:tr>
      <w:tr>
        <w:trPr>
          <w:trHeight w:val="216"/>
        </w:trPr>
        <w:tc>
          <w:tcPr>
            <w:tcW w:w="4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Residential mortgage and other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 backed securities (1)</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22,446,778</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325,807</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(104,872)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(312,583)</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22,355,130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(91,648)</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130,912,757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564,277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w w:val="89"/>
              </w:rPr>
              <w:t>(1,646,034)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(681,799)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129,149,201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(1,763,556)</w:t>
            </w:r>
          </w:p>
        </w:tc>
      </w:tr>
      <w:tr>
        <w:trPr>
          <w:trHeight w:val="21"/>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34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the FHBLNY credit line. As of March 31, 2018, the fair value of the eligible investments was $6,224,685. KICO will retain all rights regarding all securities if pledged as collateral. As of March 31, 2018, there was no outstanding balance on the credit 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December 31, 2017</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21"/>
        </w:trPr>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44"/>
              <w:spacing w:after="0" w:line="121" w:lineRule="exact"/>
              <w:rPr>
                <w:sz w:val="20"/>
                <w:szCs w:val="20"/>
                <w:color w:val="auto"/>
              </w:rPr>
            </w:pPr>
            <w:r>
              <w:rPr>
                <w:rFonts w:ascii="Arial" w:cs="Arial" w:eastAsia="Arial" w:hAnsi="Arial"/>
                <w:sz w:val="12"/>
                <w:szCs w:val="12"/>
                <w:b w:val="1"/>
                <w:bCs w:val="1"/>
                <w:color w:val="auto"/>
                <w:w w:val="92"/>
              </w:rPr>
              <w:t>Net</w:t>
            </w:r>
          </w:p>
        </w:tc>
      </w:tr>
      <w:tr>
        <w:trPr>
          <w:trHeight w:val="156"/>
        </w:trPr>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4"/>
              <w:spacing w:after="0"/>
              <w:rPr>
                <w:sz w:val="20"/>
                <w:szCs w:val="20"/>
                <w:color w:val="auto"/>
              </w:rPr>
            </w:pPr>
            <w:r>
              <w:rPr>
                <w:rFonts w:ascii="Arial" w:cs="Arial" w:eastAsia="Arial" w:hAnsi="Arial"/>
                <w:sz w:val="12"/>
                <w:szCs w:val="12"/>
                <w:b w:val="1"/>
                <w:bCs w:val="1"/>
                <w:color w:val="auto"/>
                <w:w w:val="90"/>
              </w:rPr>
              <w:t>Cost or</w:t>
            </w:r>
          </w:p>
        </w:tc>
        <w:tc>
          <w:tcPr>
            <w:tcW w:w="240" w:type="dxa"/>
            <w:vAlign w:val="bottom"/>
          </w:tcPr>
          <w:p>
            <w:pPr>
              <w:spacing w:after="0"/>
              <w:rPr>
                <w:sz w:val="13"/>
                <w:szCs w:val="13"/>
                <w:color w:val="auto"/>
              </w:rPr>
            </w:pPr>
          </w:p>
        </w:tc>
        <w:tc>
          <w:tcPr>
            <w:tcW w:w="900" w:type="dxa"/>
            <w:vAlign w:val="bottom"/>
          </w:tcPr>
          <w:p>
            <w:pPr>
              <w:jc w:val="center"/>
              <w:ind w:right="122"/>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5"/>
              </w:rPr>
              <w:t>Unrealized</w:t>
            </w:r>
          </w:p>
        </w:tc>
      </w:tr>
      <w:tr>
        <w:trPr>
          <w:trHeight w:val="121"/>
        </w:trPr>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24"/>
              <w:spacing w:after="0" w:line="121" w:lineRule="exact"/>
              <w:rPr>
                <w:sz w:val="20"/>
                <w:szCs w:val="20"/>
                <w:color w:val="auto"/>
              </w:rPr>
            </w:pPr>
            <w:r>
              <w:rPr>
                <w:rFonts w:ascii="Arial" w:cs="Arial" w:eastAsia="Arial" w:hAnsi="Arial"/>
                <w:sz w:val="12"/>
                <w:szCs w:val="12"/>
                <w:b w:val="1"/>
                <w:bCs w:val="1"/>
                <w:color w:val="auto"/>
                <w:w w:val="91"/>
              </w:rPr>
              <w:t>Amortized</w:t>
            </w:r>
          </w:p>
        </w:tc>
        <w:tc>
          <w:tcPr>
            <w:tcW w:w="240" w:type="dxa"/>
            <w:vAlign w:val="bottom"/>
          </w:tcPr>
          <w:p>
            <w:pPr>
              <w:spacing w:after="0"/>
              <w:rPr>
                <w:sz w:val="10"/>
                <w:szCs w:val="10"/>
                <w:color w:val="auto"/>
              </w:rPr>
            </w:pPr>
          </w:p>
        </w:tc>
        <w:tc>
          <w:tcPr>
            <w:tcW w:w="900" w:type="dxa"/>
            <w:vAlign w:val="bottom"/>
          </w:tcPr>
          <w:p>
            <w:pPr>
              <w:jc w:val="center"/>
              <w:ind w:right="142"/>
              <w:spacing w:after="0" w:line="121" w:lineRule="exact"/>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0"/>
                <w:szCs w:val="10"/>
                <w:color w:val="auto"/>
              </w:rPr>
            </w:pPr>
          </w:p>
        </w:tc>
        <w:tc>
          <w:tcPr>
            <w:tcW w:w="920" w:type="dxa"/>
            <w:vAlign w:val="bottom"/>
          </w:tcPr>
          <w:p>
            <w:pPr>
              <w:jc w:val="right"/>
              <w:ind w:right="184"/>
              <w:spacing w:after="0" w:line="121" w:lineRule="exact"/>
              <w:rPr>
                <w:sz w:val="20"/>
                <w:szCs w:val="20"/>
                <w:color w:val="auto"/>
              </w:rPr>
            </w:pPr>
            <w:r>
              <w:rPr>
                <w:rFonts w:ascii="Arial" w:cs="Arial" w:eastAsia="Arial" w:hAnsi="Arial"/>
                <w:sz w:val="12"/>
                <w:szCs w:val="12"/>
                <w:b w:val="1"/>
                <w:bCs w:val="1"/>
                <w:color w:val="auto"/>
                <w:w w:val="87"/>
              </w:rPr>
              <w:t>Less than 12</w:t>
            </w:r>
          </w:p>
        </w:tc>
        <w:tc>
          <w:tcPr>
            <w:tcW w:w="180" w:type="dxa"/>
            <w:vAlign w:val="bottom"/>
          </w:tcPr>
          <w:p>
            <w:pPr>
              <w:spacing w:after="0"/>
              <w:rPr>
                <w:sz w:val="10"/>
                <w:szCs w:val="10"/>
                <w:color w:val="auto"/>
              </w:rPr>
            </w:pPr>
          </w:p>
        </w:tc>
        <w:tc>
          <w:tcPr>
            <w:tcW w:w="940" w:type="dxa"/>
            <w:vAlign w:val="bottom"/>
          </w:tcPr>
          <w:p>
            <w:pPr>
              <w:jc w:val="right"/>
              <w:ind w:right="140"/>
              <w:spacing w:after="0" w:line="121" w:lineRule="exact"/>
              <w:rPr>
                <w:sz w:val="20"/>
                <w:szCs w:val="20"/>
                <w:color w:val="auto"/>
              </w:rPr>
            </w:pPr>
            <w:r>
              <w:rPr>
                <w:rFonts w:ascii="Arial" w:cs="Arial" w:eastAsia="Arial" w:hAnsi="Arial"/>
                <w:sz w:val="12"/>
                <w:szCs w:val="12"/>
                <w:b w:val="1"/>
                <w:bCs w:val="1"/>
                <w:color w:val="auto"/>
                <w:w w:val="94"/>
              </w:rPr>
              <w:t>More than 12</w:t>
            </w:r>
          </w:p>
        </w:tc>
        <w:tc>
          <w:tcPr>
            <w:tcW w:w="200" w:type="dxa"/>
            <w:vAlign w:val="bottom"/>
          </w:tcPr>
          <w:p>
            <w:pPr>
              <w:spacing w:after="0"/>
              <w:rPr>
                <w:sz w:val="10"/>
                <w:szCs w:val="10"/>
                <w:color w:val="auto"/>
              </w:rPr>
            </w:pPr>
          </w:p>
        </w:tc>
        <w:tc>
          <w:tcPr>
            <w:tcW w:w="940" w:type="dxa"/>
            <w:vAlign w:val="bottom"/>
          </w:tcPr>
          <w:p>
            <w:pPr>
              <w:jc w:val="right"/>
              <w:ind w:right="381"/>
              <w:spacing w:after="0" w:line="121" w:lineRule="exact"/>
              <w:rPr>
                <w:sz w:val="20"/>
                <w:szCs w:val="20"/>
                <w:color w:val="auto"/>
              </w:rPr>
            </w:pPr>
            <w:r>
              <w:rPr>
                <w:rFonts w:ascii="Arial" w:cs="Arial" w:eastAsia="Arial" w:hAnsi="Arial"/>
                <w:sz w:val="12"/>
                <w:szCs w:val="12"/>
                <w:b w:val="1"/>
                <w:bCs w:val="1"/>
                <w:color w:val="auto"/>
              </w:rPr>
              <w:t>Fair</w:t>
            </w:r>
          </w:p>
        </w:tc>
        <w:tc>
          <w:tcPr>
            <w:tcW w:w="240" w:type="dxa"/>
            <w:vAlign w:val="bottom"/>
          </w:tcPr>
          <w:p>
            <w:pPr>
              <w:spacing w:after="0"/>
              <w:rPr>
                <w:sz w:val="10"/>
                <w:szCs w:val="10"/>
                <w:color w:val="auto"/>
              </w:rPr>
            </w:pPr>
          </w:p>
        </w:tc>
        <w:tc>
          <w:tcPr>
            <w:tcW w:w="880" w:type="dxa"/>
            <w:vAlign w:val="bottom"/>
          </w:tcPr>
          <w:p>
            <w:pPr>
              <w:jc w:val="center"/>
              <w:ind w:right="104"/>
              <w:spacing w:after="0" w:line="121" w:lineRule="exact"/>
              <w:rPr>
                <w:sz w:val="20"/>
                <w:szCs w:val="20"/>
                <w:color w:val="auto"/>
              </w:rPr>
            </w:pPr>
            <w:r>
              <w:rPr>
                <w:rFonts w:ascii="Arial" w:cs="Arial" w:eastAsia="Arial" w:hAnsi="Arial"/>
                <w:sz w:val="12"/>
                <w:szCs w:val="12"/>
                <w:b w:val="1"/>
                <w:bCs w:val="1"/>
                <w:color w:val="auto"/>
                <w:w w:val="92"/>
              </w:rPr>
              <w:t>Gains/</w:t>
            </w:r>
          </w:p>
        </w:tc>
      </w:tr>
      <w:tr>
        <w:trPr>
          <w:trHeight w:val="156"/>
        </w:trPr>
        <w:tc>
          <w:tcPr>
            <w:tcW w:w="4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Category</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w w:val="89"/>
              </w:rPr>
              <w:t>Cost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b w:val="1"/>
                <w:bCs w:val="1"/>
                <w:color w:val="auto"/>
              </w:rPr>
              <w:t>Months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Value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4"/>
              <w:spacing w:after="0"/>
              <w:rPr>
                <w:sz w:val="20"/>
                <w:szCs w:val="20"/>
                <w:color w:val="auto"/>
              </w:rPr>
            </w:pPr>
            <w:r>
              <w:rPr>
                <w:rFonts w:ascii="Arial" w:cs="Arial" w:eastAsia="Arial" w:hAnsi="Arial"/>
                <w:sz w:val="12"/>
                <w:szCs w:val="12"/>
                <w:b w:val="1"/>
                <w:bCs w:val="1"/>
                <w:color w:val="auto"/>
                <w:w w:val="85"/>
              </w:rPr>
              <w:t>(Losses)</w:t>
            </w:r>
          </w:p>
        </w:tc>
      </w:tr>
      <w:tr>
        <w:trPr>
          <w:trHeight w:val="484"/>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4580" w:type="dxa"/>
            <w:vAlign w:val="bottom"/>
          </w:tcPr>
          <w:p>
            <w:pPr>
              <w:ind w:left="60"/>
              <w:spacing w:after="0"/>
              <w:rPr>
                <w:sz w:val="20"/>
                <w:szCs w:val="20"/>
                <w:color w:val="auto"/>
              </w:rPr>
            </w:pPr>
            <w:r>
              <w:rPr>
                <w:rFonts w:ascii="Arial" w:cs="Arial" w:eastAsia="Arial" w:hAnsi="Arial"/>
                <w:sz w:val="18"/>
                <w:szCs w:val="18"/>
                <w:color w:val="auto"/>
              </w:rPr>
              <w:t>U.S. Treasury securities and</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4"/>
        </w:trPr>
        <w:tc>
          <w:tcPr>
            <w:tcW w:w="458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7"/>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8"/>
                <w:szCs w:val="18"/>
                <w:color w:val="auto"/>
                <w:w w:val="88"/>
              </w:rPr>
              <w:t>11,096,122</w:t>
            </w:r>
          </w:p>
        </w:tc>
        <w:tc>
          <w:tcPr>
            <w:tcW w:w="24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8"/>
                <w:szCs w:val="18"/>
                <w:color w:val="auto"/>
              </w:rPr>
              <w:t>250,135</w:t>
            </w:r>
          </w:p>
        </w:tc>
        <w:tc>
          <w:tcPr>
            <w:tcW w:w="2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8"/>
                <w:szCs w:val="18"/>
                <w:color w:val="auto"/>
              </w:rPr>
              <w:t>(30,814)</w:t>
            </w:r>
          </w:p>
        </w:tc>
        <w:tc>
          <w:tcPr>
            <w:tcW w:w="18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8"/>
                <w:szCs w:val="18"/>
                <w:color w:val="auto"/>
                <w:w w:val="88"/>
              </w:rPr>
              <w:t>11,315,443</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219,321</w:t>
            </w: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8"/>
              </w:rPr>
              <w:t>87,562,631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4"/>
              </w:rPr>
              <w:t>1,189,207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(269,857)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88"/>
              </w:rPr>
              <w:t>88,141,465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578,834</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asset backed securities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w w:val="88"/>
              </w:rPr>
              <w:t>20,463,353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305,499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(48,482)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88"/>
              </w:rPr>
              <w:t>20,531,348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67,995</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2"/>
              </w:rPr>
              <w:t>$119,122,106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94"/>
              </w:rPr>
              <w:t>1,744,841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(349,153)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(529,538)</w:t>
            </w:r>
          </w:p>
        </w:tc>
        <w:tc>
          <w:tcPr>
            <w:tcW w:w="11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2"/>
              </w:rPr>
              <w:t>$119,988,256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866,150</w:t>
            </w:r>
          </w:p>
        </w:tc>
      </w:tr>
    </w:tbl>
    <w:p>
      <w:pPr>
        <w:spacing w:after="0" w:line="208" w:lineRule="exact"/>
        <w:rPr>
          <w:sz w:val="20"/>
          <w:szCs w:val="20"/>
          <w:color w:val="auto"/>
        </w:rPr>
      </w:pPr>
    </w:p>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FHLBNY. The eligible collateral would be pledged to FHLBNY if KICO draws an advance from the FHBLNY credit line. As of December 31, 2017, the fair value of the eligible investments was $6,702,538. KICO will retain all rights regarding all securities if pledged as collateral. As of December 31, 2017, there was no outstanding balance on the credit line.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cost, fair value and unrealized gains and losses by investment type as of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2"/>
                <w:szCs w:val="12"/>
                <w:b w:val="1"/>
                <w:bCs w:val="1"/>
                <w:color w:val="auto"/>
              </w:rPr>
              <w:t>March 31, 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52"/>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Net</w:t>
            </w:r>
          </w:p>
        </w:tc>
      </w:tr>
      <w:tr>
        <w:trPr>
          <w:trHeight w:val="241"/>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center"/>
              <w:ind w:right="246"/>
              <w:spacing w:after="0"/>
              <w:rPr>
                <w:sz w:val="20"/>
                <w:szCs w:val="20"/>
                <w:color w:val="auto"/>
              </w:rPr>
            </w:pPr>
            <w:r>
              <w:rPr>
                <w:rFonts w:ascii="Arial" w:cs="Arial" w:eastAsia="Arial" w:hAnsi="Arial"/>
                <w:sz w:val="12"/>
                <w:szCs w:val="12"/>
                <w:b w:val="1"/>
                <w:bCs w:val="1"/>
                <w:color w:val="auto"/>
                <w:w w:val="86"/>
              </w:rPr>
              <w:t>Gross</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Unrealized</w:t>
            </w:r>
          </w:p>
        </w:tc>
      </w:tr>
      <w:tr>
        <w:trPr>
          <w:trHeight w:val="252"/>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center"/>
              <w:ind w:right="266"/>
              <w:spacing w:after="0"/>
              <w:rPr>
                <w:sz w:val="20"/>
                <w:szCs w:val="20"/>
                <w:color w:val="auto"/>
              </w:rPr>
            </w:pPr>
            <w:r>
              <w:rPr>
                <w:rFonts w:ascii="Arial" w:cs="Arial" w:eastAsia="Arial" w:hAnsi="Arial"/>
                <w:sz w:val="12"/>
                <w:szCs w:val="12"/>
                <w:b w:val="1"/>
                <w:bCs w:val="1"/>
                <w:color w:val="auto"/>
                <w:w w:val="92"/>
              </w:rPr>
              <w:t>Unrealized</w:t>
            </w:r>
          </w:p>
        </w:tc>
        <w:tc>
          <w:tcPr>
            <w:tcW w:w="120" w:type="dxa"/>
            <w:vAlign w:val="bottom"/>
          </w:tcPr>
          <w:p>
            <w:pPr>
              <w:spacing w:after="0"/>
              <w:rPr>
                <w:sz w:val="21"/>
                <w:szCs w:val="21"/>
                <w:color w:val="auto"/>
              </w:rPr>
            </w:pPr>
          </w:p>
        </w:tc>
        <w:tc>
          <w:tcPr>
            <w:tcW w:w="920" w:type="dxa"/>
            <w:vAlign w:val="bottom"/>
          </w:tcPr>
          <w:p>
            <w:pPr>
              <w:jc w:val="right"/>
              <w:ind w:right="188"/>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21"/>
                <w:szCs w:val="21"/>
                <w:color w:val="auto"/>
              </w:rPr>
            </w:pPr>
          </w:p>
        </w:tc>
        <w:tc>
          <w:tcPr>
            <w:tcW w:w="920" w:type="dxa"/>
            <w:vAlign w:val="bottom"/>
          </w:tcPr>
          <w:p>
            <w:pPr>
              <w:jc w:val="right"/>
              <w:ind w:right="143"/>
              <w:spacing w:after="0"/>
              <w:rPr>
                <w:sz w:val="20"/>
                <w:szCs w:val="20"/>
                <w:color w:val="auto"/>
              </w:rPr>
            </w:pPr>
            <w:r>
              <w:rPr>
                <w:rFonts w:ascii="Arial" w:cs="Arial" w:eastAsia="Arial" w:hAnsi="Arial"/>
                <w:sz w:val="12"/>
                <w:szCs w:val="12"/>
                <w:b w:val="1"/>
                <w:bCs w:val="1"/>
                <w:color w:val="auto"/>
                <w:w w:val="91"/>
              </w:rPr>
              <w:t>More than 12</w:t>
            </w:r>
          </w:p>
        </w:tc>
        <w:tc>
          <w:tcPr>
            <w:tcW w:w="200" w:type="dxa"/>
            <w:vAlign w:val="bottom"/>
          </w:tcPr>
          <w:p>
            <w:pPr>
              <w:spacing w:after="0"/>
              <w:rPr>
                <w:sz w:val="21"/>
                <w:szCs w:val="21"/>
                <w:color w:val="auto"/>
              </w:rPr>
            </w:pPr>
          </w:p>
        </w:tc>
        <w:tc>
          <w:tcPr>
            <w:tcW w:w="920" w:type="dxa"/>
            <w:vAlign w:val="bottom"/>
          </w:tcPr>
          <w:p>
            <w:pPr>
              <w:jc w:val="right"/>
              <w:ind w:right="363"/>
              <w:spacing w:after="0"/>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21"/>
                <w:szCs w:val="21"/>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Gains/</w:t>
            </w:r>
          </w:p>
        </w:tc>
      </w:tr>
      <w:tr>
        <w:trPr>
          <w:trHeight w:val="241"/>
        </w:trPr>
        <w:tc>
          <w:tcPr>
            <w:tcW w:w="46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Category</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Cost</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46"/>
              <w:spacing w:after="0"/>
              <w:rPr>
                <w:sz w:val="20"/>
                <w:szCs w:val="20"/>
                <w:color w:val="auto"/>
              </w:rPr>
            </w:pPr>
            <w:r>
              <w:rPr>
                <w:rFonts w:ascii="Arial" w:cs="Arial" w:eastAsia="Arial" w:hAnsi="Arial"/>
                <w:sz w:val="12"/>
                <w:szCs w:val="12"/>
                <w:b w:val="1"/>
                <w:bCs w:val="1"/>
                <w:color w:val="auto"/>
                <w:w w:val="89"/>
              </w:rPr>
              <w:t>Gains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Value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2"/>
                <w:szCs w:val="12"/>
                <w:b w:val="1"/>
                <w:bCs w:val="1"/>
                <w:color w:val="auto"/>
                <w:w w:val="85"/>
              </w:rPr>
              <w:t>(Losses)</w:t>
            </w:r>
          </w:p>
        </w:tc>
      </w:tr>
      <w:tr>
        <w:trPr>
          <w:trHeight w:val="243"/>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6"/>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Preferred stocks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7,301,491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6"/>
              <w:spacing w:after="0"/>
              <w:rPr>
                <w:sz w:val="20"/>
                <w:szCs w:val="20"/>
                <w:color w:val="auto"/>
              </w:rPr>
            </w:pPr>
            <w:r>
              <w:rPr>
                <w:rFonts w:ascii="Arial" w:cs="Arial" w:eastAsia="Arial" w:hAnsi="Arial"/>
                <w:sz w:val="18"/>
                <w:szCs w:val="18"/>
                <w:color w:val="auto"/>
              </w:rPr>
              <w:t>25,807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8"/>
              <w:spacing w:after="0"/>
              <w:rPr>
                <w:sz w:val="20"/>
                <w:szCs w:val="20"/>
                <w:color w:val="auto"/>
              </w:rPr>
            </w:pPr>
            <w:r>
              <w:rPr>
                <w:rFonts w:ascii="Arial" w:cs="Arial" w:eastAsia="Arial" w:hAnsi="Arial"/>
                <w:sz w:val="18"/>
                <w:szCs w:val="18"/>
                <w:color w:val="auto"/>
              </w:rPr>
              <w:t>(97,834)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(116,287)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
              <w:spacing w:after="0"/>
              <w:rPr>
                <w:sz w:val="20"/>
                <w:szCs w:val="20"/>
                <w:color w:val="auto"/>
              </w:rPr>
            </w:pPr>
            <w:r>
              <w:rPr>
                <w:rFonts w:ascii="Arial" w:cs="Arial" w:eastAsia="Arial" w:hAnsi="Arial"/>
                <w:sz w:val="18"/>
                <w:szCs w:val="18"/>
                <w:color w:val="auto"/>
                <w:w w:val="99"/>
              </w:rPr>
              <w:t>7,113,177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(188,314)</w:t>
            </w: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Common stocks and exchange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traded mutual funds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9,081,851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color w:val="auto"/>
              </w:rPr>
              <w:t>683,494</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(278,037)</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w w:val="99"/>
              </w:rPr>
              <w:t>9,487,308</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405,457</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16,383,342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709,301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(375,871)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88"/>
              </w:rPr>
              <w:t>16,600,485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8"/>
                <w:szCs w:val="18"/>
                <w:color w:val="auto"/>
              </w:rPr>
              <w:t>217,143</w:t>
            </w:r>
          </w:p>
        </w:tc>
      </w:tr>
      <w:tr>
        <w:trPr>
          <w:trHeight w:val="641"/>
        </w:trPr>
        <w:tc>
          <w:tcPr>
            <w:tcW w:w="45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51</w:t>
            </w: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2"/>
                <w:szCs w:val="12"/>
                <w:b w:val="1"/>
                <w:bCs w:val="1"/>
                <w:color w:val="auto"/>
              </w:rPr>
              <w:t>December 31, 2017</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52"/>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Net</w:t>
            </w:r>
          </w:p>
        </w:tc>
      </w:tr>
      <w:tr>
        <w:trPr>
          <w:trHeight w:val="241"/>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246"/>
              <w:spacing w:after="0"/>
              <w:rPr>
                <w:sz w:val="20"/>
                <w:szCs w:val="20"/>
                <w:color w:val="auto"/>
              </w:rPr>
            </w:pPr>
            <w:r>
              <w:rPr>
                <w:rFonts w:ascii="Arial" w:cs="Arial" w:eastAsia="Arial" w:hAnsi="Arial"/>
                <w:sz w:val="12"/>
                <w:szCs w:val="12"/>
                <w:b w:val="1"/>
                <w:bCs w:val="1"/>
                <w:color w:val="auto"/>
                <w:w w:val="86"/>
              </w:rPr>
              <w:t>Gross</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Unrealized</w:t>
            </w:r>
          </w:p>
        </w:tc>
      </w:tr>
      <w:tr>
        <w:trPr>
          <w:trHeight w:val="252"/>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center"/>
              <w:ind w:right="266"/>
              <w:spacing w:after="0"/>
              <w:rPr>
                <w:sz w:val="20"/>
                <w:szCs w:val="20"/>
                <w:color w:val="auto"/>
              </w:rPr>
            </w:pPr>
            <w:r>
              <w:rPr>
                <w:rFonts w:ascii="Arial" w:cs="Arial" w:eastAsia="Arial" w:hAnsi="Arial"/>
                <w:sz w:val="12"/>
                <w:szCs w:val="12"/>
                <w:b w:val="1"/>
                <w:bCs w:val="1"/>
                <w:color w:val="auto"/>
                <w:w w:val="92"/>
              </w:rPr>
              <w:t>Unrealized</w:t>
            </w:r>
          </w:p>
        </w:tc>
        <w:tc>
          <w:tcPr>
            <w:tcW w:w="120" w:type="dxa"/>
            <w:vAlign w:val="bottom"/>
          </w:tcPr>
          <w:p>
            <w:pPr>
              <w:spacing w:after="0"/>
              <w:rPr>
                <w:sz w:val="21"/>
                <w:szCs w:val="21"/>
                <w:color w:val="auto"/>
              </w:rPr>
            </w:pPr>
          </w:p>
        </w:tc>
        <w:tc>
          <w:tcPr>
            <w:tcW w:w="920" w:type="dxa"/>
            <w:vAlign w:val="bottom"/>
          </w:tcPr>
          <w:p>
            <w:pPr>
              <w:jc w:val="right"/>
              <w:ind w:right="188"/>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21"/>
                <w:szCs w:val="21"/>
                <w:color w:val="auto"/>
              </w:rPr>
            </w:pPr>
          </w:p>
        </w:tc>
        <w:tc>
          <w:tcPr>
            <w:tcW w:w="920" w:type="dxa"/>
            <w:vAlign w:val="bottom"/>
          </w:tcPr>
          <w:p>
            <w:pPr>
              <w:jc w:val="right"/>
              <w:ind w:right="143"/>
              <w:spacing w:after="0"/>
              <w:rPr>
                <w:sz w:val="20"/>
                <w:szCs w:val="20"/>
                <w:color w:val="auto"/>
              </w:rPr>
            </w:pPr>
            <w:r>
              <w:rPr>
                <w:rFonts w:ascii="Arial" w:cs="Arial" w:eastAsia="Arial" w:hAnsi="Arial"/>
                <w:sz w:val="12"/>
                <w:szCs w:val="12"/>
                <w:b w:val="1"/>
                <w:bCs w:val="1"/>
                <w:color w:val="auto"/>
                <w:w w:val="91"/>
              </w:rPr>
              <w:t>More than 12</w:t>
            </w:r>
          </w:p>
        </w:tc>
        <w:tc>
          <w:tcPr>
            <w:tcW w:w="200" w:type="dxa"/>
            <w:vAlign w:val="bottom"/>
          </w:tcPr>
          <w:p>
            <w:pPr>
              <w:spacing w:after="0"/>
              <w:rPr>
                <w:sz w:val="21"/>
                <w:szCs w:val="21"/>
                <w:color w:val="auto"/>
              </w:rPr>
            </w:pPr>
          </w:p>
        </w:tc>
        <w:tc>
          <w:tcPr>
            <w:tcW w:w="920" w:type="dxa"/>
            <w:vAlign w:val="bottom"/>
          </w:tcPr>
          <w:p>
            <w:pPr>
              <w:jc w:val="right"/>
              <w:ind w:right="363"/>
              <w:spacing w:after="0"/>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21"/>
                <w:szCs w:val="21"/>
                <w:color w:val="auto"/>
              </w:rPr>
            </w:pPr>
          </w:p>
        </w:tc>
        <w:tc>
          <w:tcPr>
            <w:tcW w:w="880" w:type="dxa"/>
            <w:vAlign w:val="bottom"/>
          </w:tcPr>
          <w:p>
            <w:pPr>
              <w:jc w:val="center"/>
              <w:ind w:right="148"/>
              <w:spacing w:after="0"/>
              <w:rPr>
                <w:sz w:val="20"/>
                <w:szCs w:val="20"/>
                <w:color w:val="auto"/>
              </w:rPr>
            </w:pPr>
            <w:r>
              <w:rPr>
                <w:rFonts w:ascii="Arial" w:cs="Arial" w:eastAsia="Arial" w:hAnsi="Arial"/>
                <w:sz w:val="12"/>
                <w:szCs w:val="12"/>
                <w:b w:val="1"/>
                <w:bCs w:val="1"/>
                <w:color w:val="auto"/>
                <w:w w:val="92"/>
              </w:rPr>
              <w:t>Gains/</w:t>
            </w:r>
          </w:p>
        </w:tc>
      </w:tr>
      <w:tr>
        <w:trPr>
          <w:trHeight w:val="241"/>
        </w:trPr>
        <w:tc>
          <w:tcPr>
            <w:tcW w:w="46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Category</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46"/>
              <w:spacing w:after="0"/>
              <w:rPr>
                <w:sz w:val="20"/>
                <w:szCs w:val="20"/>
                <w:color w:val="auto"/>
              </w:rPr>
            </w:pPr>
            <w:r>
              <w:rPr>
                <w:rFonts w:ascii="Arial" w:cs="Arial" w:eastAsia="Arial" w:hAnsi="Arial"/>
                <w:sz w:val="12"/>
                <w:szCs w:val="12"/>
                <w:b w:val="1"/>
                <w:bCs w:val="1"/>
                <w:color w:val="auto"/>
                <w:w w:val="89"/>
              </w:rPr>
              <w:t>Gains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Value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2"/>
                <w:szCs w:val="12"/>
                <w:b w:val="1"/>
                <w:bCs w:val="1"/>
                <w:color w:val="auto"/>
                <w:w w:val="85"/>
              </w:rPr>
              <w:t>(Losses)</w:t>
            </w:r>
          </w:p>
        </w:tc>
      </w:tr>
      <w:tr>
        <w:trPr>
          <w:trHeight w:val="243"/>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6"/>
        </w:trPr>
        <w:tc>
          <w:tcPr>
            <w:tcW w:w="4660" w:type="dxa"/>
            <w:vAlign w:val="bottom"/>
            <w:gridSpan w:val="2"/>
          </w:tcPr>
          <w:p>
            <w:pPr>
              <w:ind w:left="60"/>
              <w:spacing w:after="0"/>
              <w:rPr>
                <w:sz w:val="20"/>
                <w:szCs w:val="20"/>
                <w:color w:val="auto"/>
              </w:rPr>
            </w:pPr>
            <w:r>
              <w:rPr>
                <w:rFonts w:ascii="Arial" w:cs="Arial" w:eastAsia="Arial" w:hAnsi="Arial"/>
                <w:sz w:val="18"/>
                <w:szCs w:val="18"/>
                <w:color w:val="auto"/>
              </w:rPr>
              <w:t>Preferred stocks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w w:val="99"/>
              </w:rPr>
              <w:t>7,081,099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6"/>
              <w:spacing w:after="0"/>
              <w:rPr>
                <w:sz w:val="20"/>
                <w:szCs w:val="20"/>
                <w:color w:val="auto"/>
              </w:rPr>
            </w:pPr>
            <w:r>
              <w:rPr>
                <w:rFonts w:ascii="Arial" w:cs="Arial" w:eastAsia="Arial" w:hAnsi="Arial"/>
                <w:sz w:val="18"/>
                <w:szCs w:val="18"/>
                <w:color w:val="auto"/>
              </w:rPr>
              <w:t>60,867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8"/>
              <w:spacing w:after="0"/>
              <w:rPr>
                <w:sz w:val="20"/>
                <w:szCs w:val="20"/>
                <w:color w:val="auto"/>
              </w:rPr>
            </w:pPr>
            <w:r>
              <w:rPr>
                <w:rFonts w:ascii="Arial" w:cs="Arial" w:eastAsia="Arial" w:hAnsi="Arial"/>
                <w:sz w:val="18"/>
                <w:szCs w:val="18"/>
                <w:color w:val="auto"/>
              </w:rPr>
              <w:t>(20,313)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(120,712)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
              <w:spacing w:after="0"/>
              <w:rPr>
                <w:sz w:val="20"/>
                <w:szCs w:val="20"/>
                <w:color w:val="auto"/>
              </w:rPr>
            </w:pPr>
            <w:r>
              <w:rPr>
                <w:rFonts w:ascii="Arial" w:cs="Arial" w:eastAsia="Arial" w:hAnsi="Arial"/>
                <w:sz w:val="18"/>
                <w:szCs w:val="18"/>
                <w:color w:val="auto"/>
                <w:w w:val="99"/>
              </w:rPr>
              <w:t>7,000,941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(80,158)</w:t>
            </w:r>
          </w:p>
        </w:tc>
      </w:tr>
      <w:tr>
        <w:trPr>
          <w:trHeight w:val="216"/>
        </w:trPr>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Common stocks and exchange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traded mutual funds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6,680,742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color w:val="auto"/>
              </w:rPr>
              <w:t>841,250</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(222,205)</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w w:val="99"/>
              </w:rPr>
              <w:t>7,285,257</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604,515</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88"/>
              </w:rPr>
              <w:t>13,761,841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8"/>
                <w:szCs w:val="18"/>
                <w:color w:val="auto"/>
              </w:rPr>
              <w:t>902,117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(242,518)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88"/>
              </w:rPr>
              <w:t>14,286,198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8"/>
                <w:szCs w:val="18"/>
                <w:color w:val="auto"/>
              </w:rPr>
              <w:t>524,357</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table presents a breakdown of the cost, fair value and unrealized gains by investment type as of March 31, 2018 and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2"/>
                <w:szCs w:val="12"/>
                <w:b w:val="1"/>
                <w:bCs w:val="1"/>
                <w:color w:val="auto"/>
              </w:rPr>
              <w:t>March 31, 2018</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December 31, 2017</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333"/>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24"/>
                <w:szCs w:val="24"/>
                <w:color w:val="auto"/>
              </w:rPr>
            </w:pPr>
          </w:p>
        </w:tc>
        <w:tc>
          <w:tcPr>
            <w:tcW w:w="880" w:type="dxa"/>
            <w:vAlign w:val="bottom"/>
          </w:tcPr>
          <w:p>
            <w:pPr>
              <w:jc w:val="right"/>
              <w:ind w:right="206"/>
              <w:spacing w:after="0"/>
              <w:rPr>
                <w:sz w:val="20"/>
                <w:szCs w:val="20"/>
                <w:color w:val="auto"/>
              </w:rPr>
            </w:pPr>
            <w:r>
              <w:rPr>
                <w:rFonts w:ascii="Arial" w:cs="Arial" w:eastAsia="Arial" w:hAnsi="Arial"/>
                <w:sz w:val="12"/>
                <w:szCs w:val="12"/>
                <w:b w:val="1"/>
                <w:bCs w:val="1"/>
                <w:color w:val="auto"/>
                <w:w w:val="95"/>
              </w:rPr>
              <w:t>Unrealized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center"/>
              <w:ind w:right="226"/>
              <w:spacing w:after="0"/>
              <w:rPr>
                <w:sz w:val="20"/>
                <w:szCs w:val="20"/>
                <w:color w:val="auto"/>
              </w:rPr>
            </w:pPr>
            <w:r>
              <w:rPr>
                <w:rFonts w:ascii="Arial" w:cs="Arial" w:eastAsia="Arial" w:hAnsi="Arial"/>
                <w:sz w:val="12"/>
                <w:szCs w:val="12"/>
                <w:b w:val="1"/>
                <w:bCs w:val="1"/>
                <w:color w:val="auto"/>
                <w:w w:val="99"/>
              </w:rPr>
              <w:t>Fair</w:t>
            </w:r>
          </w:p>
        </w:tc>
        <w:tc>
          <w:tcPr>
            <w:tcW w:w="24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Arial" w:cs="Arial" w:eastAsia="Arial" w:hAnsi="Arial"/>
                <w:sz w:val="12"/>
                <w:szCs w:val="12"/>
                <w:b w:val="1"/>
                <w:bCs w:val="1"/>
                <w:color w:val="auto"/>
                <w:w w:val="98"/>
              </w:rPr>
              <w:t>Unrealized</w:t>
            </w:r>
          </w:p>
        </w:tc>
      </w:tr>
      <w:tr>
        <w:trPr>
          <w:trHeight w:val="16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Cost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Value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Gain</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Cost</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Gain</w:t>
            </w:r>
          </w:p>
        </w:tc>
      </w:tr>
      <w:tr>
        <w:trPr>
          <w:trHeight w:val="243"/>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Investments: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3"/>
        </w:trPr>
        <w:tc>
          <w:tcPr>
            <w:tcW w:w="4580" w:type="dxa"/>
            <w:vAlign w:val="bottom"/>
          </w:tcPr>
          <w:p>
            <w:pPr>
              <w:ind w:left="60"/>
              <w:spacing w:after="0"/>
              <w:rPr>
                <w:sz w:val="20"/>
                <w:szCs w:val="20"/>
                <w:color w:val="auto"/>
              </w:rPr>
            </w:pPr>
            <w:r>
              <w:rPr>
                <w:rFonts w:ascii="Arial" w:cs="Arial" w:eastAsia="Arial" w:hAnsi="Arial"/>
                <w:sz w:val="18"/>
                <w:szCs w:val="18"/>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92"/>
              </w:rPr>
              <w:t>2,000,000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w w:val="92"/>
              </w:rPr>
              <w:t>2,027,860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27,860</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92"/>
              </w:rPr>
              <w:t>2,000,000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w w:val="92"/>
              </w:rPr>
              <w:t>2,027,860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27,860</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breakdown of the amortized cost, fair value and unrealized gains and losses by investment type as of March 31, 2018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2"/>
                <w:szCs w:val="12"/>
                <w:b w:val="1"/>
                <w:bCs w:val="1"/>
                <w:color w:val="auto"/>
              </w:rPr>
              <w:t>March 31, 2018</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331"/>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center"/>
              <w:ind w:right="44"/>
              <w:spacing w:after="0"/>
              <w:rPr>
                <w:sz w:val="20"/>
                <w:szCs w:val="20"/>
                <w:color w:val="auto"/>
              </w:rPr>
            </w:pPr>
            <w:r>
              <w:rPr>
                <w:rFonts w:ascii="Arial" w:cs="Arial" w:eastAsia="Arial" w:hAnsi="Arial"/>
                <w:sz w:val="12"/>
                <w:szCs w:val="12"/>
                <w:b w:val="1"/>
                <w:bCs w:val="1"/>
                <w:color w:val="auto"/>
                <w:w w:val="90"/>
              </w:rPr>
              <w:t>Cost or</w:t>
            </w:r>
          </w:p>
        </w:tc>
        <w:tc>
          <w:tcPr>
            <w:tcW w:w="360" w:type="dxa"/>
            <w:vAlign w:val="bottom"/>
          </w:tcPr>
          <w:p>
            <w:pPr>
              <w:spacing w:after="0"/>
              <w:rPr>
                <w:sz w:val="24"/>
                <w:szCs w:val="24"/>
                <w:color w:val="auto"/>
              </w:rPr>
            </w:pPr>
          </w:p>
        </w:tc>
        <w:tc>
          <w:tcPr>
            <w:tcW w:w="90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Gross</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2"/>
                <w:szCs w:val="12"/>
                <w:b w:val="1"/>
                <w:bCs w:val="1"/>
                <w:color w:val="auto"/>
              </w:rPr>
              <w:t>Gross Unrealized Losses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Net</w:t>
            </w:r>
          </w:p>
        </w:tc>
      </w:tr>
      <w:tr>
        <w:trPr>
          <w:trHeight w:val="17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44"/>
              <w:spacing w:after="0"/>
              <w:rPr>
                <w:sz w:val="20"/>
                <w:szCs w:val="20"/>
                <w:color w:val="auto"/>
              </w:rPr>
            </w:pPr>
            <w:r>
              <w:rPr>
                <w:rFonts w:ascii="Arial" w:cs="Arial" w:eastAsia="Arial" w:hAnsi="Arial"/>
                <w:sz w:val="12"/>
                <w:szCs w:val="12"/>
                <w:b w:val="1"/>
                <w:bCs w:val="1"/>
                <w:color w:val="auto"/>
                <w:w w:val="91"/>
              </w:rPr>
              <w:t>Amortized</w:t>
            </w:r>
          </w:p>
        </w:tc>
        <w:tc>
          <w:tcPr>
            <w:tcW w:w="360" w:type="dxa"/>
            <w:vAlign w:val="bottom"/>
          </w:tcPr>
          <w:p>
            <w:pPr>
              <w:spacing w:after="0"/>
              <w:rPr>
                <w:sz w:val="14"/>
                <w:szCs w:val="14"/>
                <w:color w:val="auto"/>
              </w:rPr>
            </w:pPr>
          </w:p>
        </w:tc>
        <w:tc>
          <w:tcPr>
            <w:tcW w:w="900" w:type="dxa"/>
            <w:vAlign w:val="bottom"/>
          </w:tcPr>
          <w:p>
            <w:pPr>
              <w:jc w:val="center"/>
              <w:ind w:right="144"/>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Arial" w:cs="Arial" w:eastAsia="Arial" w:hAnsi="Arial"/>
                <w:sz w:val="12"/>
                <w:szCs w:val="12"/>
                <w:b w:val="1"/>
                <w:bCs w:val="1"/>
                <w:color w:val="auto"/>
                <w:w w:val="87"/>
              </w:rPr>
              <w:t>Less than 12</w:t>
            </w:r>
          </w:p>
        </w:tc>
        <w:tc>
          <w:tcPr>
            <w:tcW w:w="200" w:type="dxa"/>
            <w:vAlign w:val="bottom"/>
          </w:tcPr>
          <w:p>
            <w:pPr>
              <w:spacing w:after="0"/>
              <w:rPr>
                <w:sz w:val="14"/>
                <w:szCs w:val="14"/>
                <w:color w:val="auto"/>
              </w:rPr>
            </w:pPr>
          </w:p>
        </w:tc>
        <w:tc>
          <w:tcPr>
            <w:tcW w:w="920" w:type="dxa"/>
            <w:vAlign w:val="bottom"/>
          </w:tcPr>
          <w:p>
            <w:pPr>
              <w:jc w:val="right"/>
              <w:ind w:right="141"/>
              <w:spacing w:after="0"/>
              <w:rPr>
                <w:sz w:val="20"/>
                <w:szCs w:val="20"/>
                <w:color w:val="auto"/>
              </w:rPr>
            </w:pPr>
            <w:r>
              <w:rPr>
                <w:rFonts w:ascii="Arial" w:cs="Arial" w:eastAsia="Arial" w:hAnsi="Arial"/>
                <w:sz w:val="12"/>
                <w:szCs w:val="12"/>
                <w:b w:val="1"/>
                <w:bCs w:val="1"/>
                <w:color w:val="auto"/>
                <w:w w:val="91"/>
              </w:rPr>
              <w:t>More than 12</w:t>
            </w:r>
          </w:p>
        </w:tc>
        <w:tc>
          <w:tcPr>
            <w:tcW w:w="260" w:type="dxa"/>
            <w:vAlign w:val="bottom"/>
          </w:tcPr>
          <w:p>
            <w:pPr>
              <w:spacing w:after="0"/>
              <w:rPr>
                <w:sz w:val="14"/>
                <w:szCs w:val="14"/>
                <w:color w:val="auto"/>
              </w:rPr>
            </w:pPr>
          </w:p>
        </w:tc>
        <w:tc>
          <w:tcPr>
            <w:tcW w:w="860" w:type="dxa"/>
            <w:vAlign w:val="bottom"/>
          </w:tcPr>
          <w:p>
            <w:pPr>
              <w:jc w:val="right"/>
              <w:ind w:right="361"/>
              <w:spacing w:after="0"/>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14"/>
                <w:szCs w:val="14"/>
                <w:color w:val="auto"/>
              </w:rPr>
            </w:pPr>
          </w:p>
        </w:tc>
        <w:tc>
          <w:tcPr>
            <w:tcW w:w="880" w:type="dxa"/>
            <w:vAlign w:val="bottom"/>
          </w:tcPr>
          <w:p>
            <w:pPr>
              <w:jc w:val="center"/>
              <w:ind w:right="144"/>
              <w:spacing w:after="0"/>
              <w:rPr>
                <w:sz w:val="20"/>
                <w:szCs w:val="20"/>
                <w:color w:val="auto"/>
              </w:rPr>
            </w:pPr>
            <w:r>
              <w:rPr>
                <w:rFonts w:ascii="Arial" w:cs="Arial" w:eastAsia="Arial" w:hAnsi="Arial"/>
                <w:sz w:val="12"/>
                <w:szCs w:val="12"/>
                <w:b w:val="1"/>
                <w:bCs w:val="1"/>
                <w:color w:val="auto"/>
                <w:w w:val="95"/>
              </w:rPr>
              <w:t>Unrealized</w:t>
            </w:r>
          </w:p>
        </w:tc>
      </w:tr>
      <w:tr>
        <w:trPr>
          <w:trHeight w:val="16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4"/>
              <w:spacing w:after="0"/>
              <w:rPr>
                <w:sz w:val="20"/>
                <w:szCs w:val="20"/>
                <w:color w:val="auto"/>
              </w:rPr>
            </w:pPr>
            <w:r>
              <w:rPr>
                <w:rFonts w:ascii="Arial" w:cs="Arial" w:eastAsia="Arial" w:hAnsi="Arial"/>
                <w:sz w:val="12"/>
                <w:szCs w:val="12"/>
                <w:b w:val="1"/>
                <w:bCs w:val="1"/>
                <w:color w:val="auto"/>
                <w:w w:val="89"/>
              </w:rPr>
              <w:t>Cost</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w w:val="89"/>
              </w:rPr>
              <w:t>Gains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Months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Months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Value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4"/>
              <w:spacing w:after="0"/>
              <w:rPr>
                <w:sz w:val="20"/>
                <w:szCs w:val="20"/>
                <w:color w:val="auto"/>
              </w:rPr>
            </w:pPr>
            <w:r>
              <w:rPr>
                <w:rFonts w:ascii="Arial" w:cs="Arial" w:eastAsia="Arial" w:hAnsi="Arial"/>
                <w:sz w:val="12"/>
                <w:szCs w:val="12"/>
                <w:b w:val="1"/>
                <w:bCs w:val="1"/>
                <w:color w:val="auto"/>
                <w:w w:val="89"/>
              </w:rPr>
              <w:t>Gains</w:t>
            </w:r>
          </w:p>
        </w:tc>
      </w:tr>
      <w:tr>
        <w:trPr>
          <w:trHeight w:val="243"/>
        </w:trPr>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729,476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147,563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871,975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142,499</w:t>
            </w:r>
          </w:p>
        </w:tc>
      </w:t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998,941</w:t>
            </w:r>
          </w:p>
        </w:tc>
        <w:tc>
          <w:tcPr>
            <w:tcW w:w="3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32,014</w:t>
            </w:r>
          </w:p>
        </w:tc>
        <w:tc>
          <w:tcPr>
            <w:tcW w:w="240" w:type="dxa"/>
            <w:vAlign w:val="bottom"/>
          </w:tcPr>
          <w:p>
            <w:pPr>
              <w:spacing w:after="0"/>
              <w:rPr>
                <w:sz w:val="18"/>
                <w:szCs w:val="18"/>
                <w:color w:val="auto"/>
              </w:rPr>
            </w:pPr>
          </w:p>
        </w:tc>
        <w:tc>
          <w:tcPr>
            <w:tcW w:w="92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w w:val="92"/>
              </w:rPr>
              <w:t>1,030,955</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32,014</w:t>
            </w:r>
          </w:p>
        </w:tc>
      </w:tr>
      <w:tr>
        <w:trPr>
          <w:trHeight w:val="216"/>
        </w:trPr>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3,141,854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43,177</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(15,741)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3,159,135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17,281</w:t>
            </w:r>
          </w:p>
        </w:tc>
      </w:t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4,870,271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222,754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(20,805)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2"/>
              </w:rPr>
              <w:t>5,062,065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191,794</w:t>
            </w:r>
          </w:p>
        </w:tc>
      </w:tr>
      <w:tr>
        <w:trPr>
          <w:trHeight w:val="641"/>
        </w:trPr>
        <w:tc>
          <w:tcPr>
            <w:tcW w:w="4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52</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6"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ind w:left="640"/>
              <w:spacing w:after="0"/>
              <w:rPr>
                <w:sz w:val="20"/>
                <w:szCs w:val="20"/>
                <w:color w:val="auto"/>
              </w:rPr>
            </w:pPr>
            <w:r>
              <w:rPr>
                <w:rFonts w:ascii="Arial" w:cs="Arial" w:eastAsia="Arial" w:hAnsi="Arial"/>
                <w:sz w:val="12"/>
                <w:szCs w:val="12"/>
                <w:b w:val="1"/>
                <w:bCs w:val="1"/>
                <w:color w:val="auto"/>
              </w:rPr>
              <w:t>December 31, 2017</w:t>
            </w:r>
          </w:p>
        </w:tc>
        <w:tc>
          <w:tcPr>
            <w:tcW w:w="10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31"/>
        </w:trPr>
        <w:tc>
          <w:tcPr>
            <w:tcW w:w="45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0"/>
              </w:rPr>
              <w:t>Cost or</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6"/>
              </w:rPr>
              <w:t>Gross</w:t>
            </w:r>
          </w:p>
        </w:tc>
        <w:tc>
          <w:tcPr>
            <w:tcW w:w="228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Gross Unrealized Losses</w:t>
            </w:r>
          </w:p>
        </w:tc>
        <w:tc>
          <w:tcPr>
            <w:tcW w:w="1080" w:type="dxa"/>
            <w:vAlign w:val="bottom"/>
          </w:tcPr>
          <w:p>
            <w:pPr>
              <w:spacing w:after="0"/>
              <w:rPr>
                <w:sz w:val="24"/>
                <w:szCs w:val="24"/>
                <w:color w:val="auto"/>
              </w:rPr>
            </w:pPr>
          </w:p>
        </w:tc>
        <w:tc>
          <w:tcPr>
            <w:tcW w:w="1180" w:type="dxa"/>
            <w:vAlign w:val="bottom"/>
          </w:tcPr>
          <w:p>
            <w:pPr>
              <w:jc w:val="center"/>
              <w:ind w:left="19"/>
              <w:spacing w:after="0"/>
              <w:rPr>
                <w:sz w:val="20"/>
                <w:szCs w:val="20"/>
                <w:color w:val="auto"/>
              </w:rPr>
            </w:pPr>
            <w:r>
              <w:rPr>
                <w:rFonts w:ascii="Arial" w:cs="Arial" w:eastAsia="Arial" w:hAnsi="Arial"/>
                <w:sz w:val="12"/>
                <w:szCs w:val="12"/>
                <w:b w:val="1"/>
                <w:bCs w:val="1"/>
                <w:color w:val="auto"/>
                <w:w w:val="92"/>
              </w:rPr>
              <w:t>Net</w:t>
            </w:r>
          </w:p>
        </w:tc>
      </w:tr>
      <w:tr>
        <w:trPr>
          <w:trHeight w:val="171"/>
        </w:trPr>
        <w:tc>
          <w:tcPr>
            <w:tcW w:w="4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1"/>
              </w:rPr>
              <w:t>Amortized</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2"/>
              </w:rPr>
              <w:t>Unrealized</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7"/>
              </w:rPr>
              <w:t>Less than 12</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4"/>
              </w:rPr>
              <w:t>More than 12</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Fair</w:t>
            </w:r>
          </w:p>
        </w:tc>
        <w:tc>
          <w:tcPr>
            <w:tcW w:w="1180" w:type="dxa"/>
            <w:vAlign w:val="bottom"/>
          </w:tcPr>
          <w:p>
            <w:pPr>
              <w:jc w:val="center"/>
              <w:ind w:left="19"/>
              <w:spacing w:after="0"/>
              <w:rPr>
                <w:sz w:val="20"/>
                <w:szCs w:val="20"/>
                <w:color w:val="auto"/>
              </w:rPr>
            </w:pPr>
            <w:r>
              <w:rPr>
                <w:rFonts w:ascii="Arial" w:cs="Arial" w:eastAsia="Arial" w:hAnsi="Arial"/>
                <w:sz w:val="12"/>
                <w:szCs w:val="12"/>
                <w:b w:val="1"/>
                <w:bCs w:val="1"/>
                <w:color w:val="auto"/>
                <w:w w:val="95"/>
              </w:rPr>
              <w:t>Unrealized</w:t>
            </w:r>
          </w:p>
        </w:tc>
      </w:tr>
      <w:tr>
        <w:trPr>
          <w:trHeight w:val="160"/>
        </w:trPr>
        <w:tc>
          <w:tcPr>
            <w:tcW w:w="4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Cost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Gains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Months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Gains</w:t>
            </w: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729,466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147,573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875,310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145,844</w:t>
            </w:r>
          </w:p>
        </w:tc>
      </w:t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998,984</w:t>
            </w:r>
          </w:p>
        </w:tc>
        <w:tc>
          <w:tcPr>
            <w:tcW w:w="3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50,366</w:t>
            </w:r>
          </w:p>
        </w:tc>
        <w:tc>
          <w:tcPr>
            <w:tcW w:w="3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1,049,350</w:t>
            </w:r>
          </w:p>
        </w:tc>
        <w:tc>
          <w:tcPr>
            <w:tcW w:w="3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50,366</w:t>
            </w:r>
          </w:p>
        </w:tc>
      </w:tr>
      <w:tr>
        <w:trPr>
          <w:trHeight w:val="216"/>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3,141,358</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90,358</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3,225,416</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84,058</w:t>
            </w:r>
          </w:p>
        </w:tc>
      </w:t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4,869,808</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288,297</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5,150,076</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280,268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Borders>
              <w:bottom w:val="single" w:sz="8" w:color="auto"/>
            </w:tcBorders>
            <w:gridSpan w:val="2"/>
          </w:tcPr>
          <w:p>
            <w:pPr>
              <w:ind w:left="860"/>
              <w:spacing w:after="0"/>
              <w:rPr>
                <w:sz w:val="20"/>
                <w:szCs w:val="20"/>
                <w:color w:val="auto"/>
              </w:rPr>
            </w:pPr>
            <w:r>
              <w:rPr>
                <w:rFonts w:ascii="Arial" w:cs="Arial" w:eastAsia="Arial" w:hAnsi="Arial"/>
                <w:sz w:val="15"/>
                <w:szCs w:val="15"/>
                <w:b w:val="1"/>
                <w:bCs w:val="1"/>
                <w:color w:val="auto"/>
              </w:rPr>
              <w:t>March 31, 2018</w:t>
            </w:r>
          </w:p>
        </w:tc>
        <w:tc>
          <w:tcPr>
            <w:tcW w:w="274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b w:val="1"/>
                <w:bCs w:val="1"/>
                <w:color w:val="auto"/>
              </w:rPr>
              <w:t>December 31, 2017</w:t>
            </w:r>
          </w:p>
        </w:tc>
      </w:tr>
      <w:tr>
        <w:trPr>
          <w:trHeight w:val="149"/>
        </w:trPr>
        <w:tc>
          <w:tcPr>
            <w:tcW w:w="5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80" w:type="dxa"/>
            <w:vAlign w:val="bottom"/>
          </w:tcPr>
          <w:p>
            <w:pPr>
              <w:spacing w:after="0"/>
              <w:rPr>
                <w:sz w:val="12"/>
                <w:szCs w:val="12"/>
                <w:color w:val="auto"/>
              </w:rPr>
            </w:pP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Fair Value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35" w:lineRule="exact"/>
        <w:rPr>
          <w:sz w:val="20"/>
          <w:szCs w:val="20"/>
          <w:color w:val="auto"/>
        </w:rPr>
      </w:pPr>
    </w:p>
    <w:p>
      <w:pPr>
        <w:ind w:left="60"/>
        <w:spacing w:after="0"/>
        <w:rPr>
          <w:sz w:val="20"/>
          <w:szCs w:val="20"/>
          <w:color w:val="auto"/>
        </w:rPr>
      </w:pPr>
      <w:r>
        <w:rPr>
          <w:rFonts w:ascii="Arial" w:cs="Arial" w:eastAsia="Arial" w:hAnsi="Arial"/>
          <w:sz w:val="15"/>
          <w:szCs w:val="15"/>
          <w:color w:val="auto"/>
        </w:rPr>
        <w:t>Less than one year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One to five years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color w:val="auto"/>
        </w:rPr>
        <w:t>More than 10 years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123,000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117,936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2,546,338</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2,549,597</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2,546,459</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2,601,898</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1,594,457</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1,640,493</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1,716,884</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1,794,139</w:t>
            </w:r>
          </w:p>
        </w:tc>
      </w:tr>
      <w:tr>
        <w:trPr>
          <w:trHeight w:val="231"/>
        </w:trPr>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606,476</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606,466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r>
      <w:tr>
        <w:trPr>
          <w:trHeight w:val="216"/>
        </w:trPr>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4,870,271</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5,062,065</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4,869,808</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5,150,076</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-736600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-462280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584" w:right="2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5" w:name="page56"/>
    <w:bookmarkEnd w:id="55"/>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March 31, 2018 and December 31, 2017 as rated by Standard &amp; Poor’s (or, if unavailable from Standard &amp; Poor’s, then Moody’s or Fitch):</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2"/>
          </w:tcPr>
          <w:p>
            <w:pPr>
              <w:jc w:val="right"/>
              <w:ind w:right="1074"/>
              <w:spacing w:after="0"/>
              <w:rPr>
                <w:sz w:val="20"/>
                <w:szCs w:val="20"/>
                <w:color w:val="auto"/>
              </w:rPr>
            </w:pPr>
            <w:r>
              <w:rPr>
                <w:rFonts w:ascii="Arial" w:cs="Arial" w:eastAsia="Arial" w:hAnsi="Arial"/>
                <w:sz w:val="15"/>
                <w:szCs w:val="15"/>
                <w:b w:val="1"/>
                <w:bCs w:val="1"/>
                <w:color w:val="auto"/>
              </w:rPr>
              <w:t>March 31, 2018</w:t>
            </w: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5"/>
                <w:szCs w:val="15"/>
                <w:b w:val="1"/>
                <w:bCs w:val="1"/>
                <w:color w:val="auto"/>
              </w:rPr>
              <w:t>December 31, 2017</w:t>
            </w:r>
          </w:p>
        </w:tc>
      </w:tr>
      <w:tr>
        <w:trPr>
          <w:trHeight w:val="233"/>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jc w:val="center"/>
              <w:ind w:right="74"/>
              <w:spacing w:after="0"/>
              <w:rPr>
                <w:sz w:val="20"/>
                <w:szCs w:val="20"/>
                <w:color w:val="auto"/>
              </w:rPr>
            </w:pPr>
            <w:r>
              <w:rPr>
                <w:rFonts w:ascii="Arial" w:cs="Arial" w:eastAsia="Arial" w:hAnsi="Arial"/>
                <w:sz w:val="15"/>
                <w:szCs w:val="15"/>
                <w:b w:val="1"/>
                <w:bCs w:val="1"/>
                <w:color w:val="auto"/>
                <w:w w:val="86"/>
              </w:rPr>
              <w:t>Percentage of</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5"/>
                <w:szCs w:val="15"/>
                <w:b w:val="1"/>
                <w:bCs w:val="1"/>
                <w:color w:val="auto"/>
              </w:rPr>
              <w:t>Fair Market</w:t>
            </w:r>
          </w:p>
        </w:tc>
        <w:tc>
          <w:tcPr>
            <w:tcW w:w="1540" w:type="dxa"/>
            <w:vAlign w:val="bottom"/>
          </w:tcPr>
          <w:p>
            <w:pPr>
              <w:jc w:val="center"/>
              <w:ind w:right="74"/>
              <w:spacing w:after="0"/>
              <w:rPr>
                <w:sz w:val="20"/>
                <w:szCs w:val="20"/>
                <w:color w:val="auto"/>
              </w:rPr>
            </w:pPr>
            <w:r>
              <w:rPr>
                <w:rFonts w:ascii="Arial" w:cs="Arial" w:eastAsia="Arial" w:hAnsi="Arial"/>
                <w:sz w:val="15"/>
                <w:szCs w:val="15"/>
                <w:b w:val="1"/>
                <w:bCs w:val="1"/>
                <w:color w:val="auto"/>
                <w:w w:val="97"/>
              </w:rPr>
              <w:t>Fair Market</w:t>
            </w:r>
          </w:p>
        </w:tc>
        <w:tc>
          <w:tcPr>
            <w:tcW w:w="260" w:type="dxa"/>
            <w:vAlign w:val="bottom"/>
          </w:tcPr>
          <w:p>
            <w:pPr>
              <w:spacing w:after="0"/>
              <w:rPr>
                <w:sz w:val="16"/>
                <w:szCs w:val="16"/>
                <w:color w:val="auto"/>
              </w:rPr>
            </w:pPr>
          </w:p>
        </w:tc>
        <w:tc>
          <w:tcPr>
            <w:tcW w:w="1380" w:type="dxa"/>
            <w:vAlign w:val="bottom"/>
          </w:tcPr>
          <w:p>
            <w:pPr>
              <w:jc w:val="right"/>
              <w:ind w:right="414"/>
              <w:spacing w:after="0"/>
              <w:rPr>
                <w:sz w:val="20"/>
                <w:szCs w:val="20"/>
                <w:color w:val="auto"/>
              </w:rPr>
            </w:pPr>
            <w:r>
              <w:rPr>
                <w:rFonts w:ascii="Arial" w:cs="Arial" w:eastAsia="Arial" w:hAnsi="Arial"/>
                <w:sz w:val="15"/>
                <w:szCs w:val="15"/>
                <w:b w:val="1"/>
                <w:bCs w:val="1"/>
                <w:color w:val="auto"/>
              </w:rPr>
              <w:t>Fair Market</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Fair Market</w:t>
            </w:r>
          </w:p>
        </w:tc>
      </w:t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5"/>
                <w:szCs w:val="15"/>
                <w:b w:val="1"/>
                <w:bCs w:val="1"/>
                <w:color w:val="auto"/>
              </w:rPr>
              <w:t>Value</w:t>
            </w:r>
          </w:p>
        </w:tc>
        <w:tc>
          <w:tcPr>
            <w:tcW w:w="1540" w:type="dxa"/>
            <w:vAlign w:val="bottom"/>
            <w:tcBorders>
              <w:bottom w:val="single" w:sz="8" w:color="auto"/>
            </w:tcBorders>
          </w:tcPr>
          <w:p>
            <w:pPr>
              <w:jc w:val="center"/>
              <w:ind w:right="54"/>
              <w:spacing w:after="0"/>
              <w:rPr>
                <w:sz w:val="20"/>
                <w:szCs w:val="20"/>
                <w:color w:val="auto"/>
              </w:rPr>
            </w:pPr>
            <w:r>
              <w:rPr>
                <w:rFonts w:ascii="Arial" w:cs="Arial" w:eastAsia="Arial" w:hAnsi="Arial"/>
                <w:sz w:val="15"/>
                <w:szCs w:val="15"/>
                <w:b w:val="1"/>
                <w:bCs w:val="1"/>
                <w:color w:val="auto"/>
                <w:w w:val="89"/>
              </w:rPr>
              <w:t>Value</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5"/>
                <w:szCs w:val="15"/>
                <w:b w:val="1"/>
                <w:bCs w:val="1"/>
                <w:color w:val="auto"/>
              </w:rPr>
              <w:t>Value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r>
      <w:tr>
        <w:trPr>
          <w:trHeight w:val="378"/>
        </w:trPr>
        <w:tc>
          <w:tcPr>
            <w:tcW w:w="5040" w:type="dxa"/>
            <w:vAlign w:val="bottom"/>
          </w:tcPr>
          <w:p>
            <w:pPr>
              <w:ind w:left="2320"/>
              <w:spacing w:after="0"/>
              <w:rPr>
                <w:sz w:val="20"/>
                <w:szCs w:val="20"/>
                <w:color w:val="auto"/>
              </w:rPr>
            </w:pPr>
            <w:r>
              <w:rPr>
                <w:rFonts w:ascii="Arial" w:cs="Arial" w:eastAsia="Arial" w:hAnsi="Arial"/>
                <w:sz w:val="15"/>
                <w:szCs w:val="15"/>
                <w:b w:val="1"/>
                <w:bCs w:val="1"/>
                <w:color w:val="auto"/>
              </w:rPr>
              <w:t>Rating</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4,943,730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municipal bonds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AAA</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990,443</w:t>
            </w: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1,358,143</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AA</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7,873,523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11,319,057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17,384,332</w:t>
            </w:r>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17,199,631</w:t>
            </w:r>
          </w:p>
        </w:tc>
        <w:tc>
          <w:tcPr>
            <w:tcW w:w="14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BBB</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75,602,043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68,704,768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5040" w:type="dxa"/>
            <w:vAlign w:val="bottom"/>
          </w:tcPr>
          <w:p>
            <w:pPr>
              <w:ind w:left="100"/>
              <w:spacing w:after="0"/>
              <w:rPr>
                <w:sz w:val="20"/>
                <w:szCs w:val="20"/>
                <w:color w:val="auto"/>
              </w:rPr>
            </w:pPr>
            <w:r>
              <w:rPr>
                <w:rFonts w:ascii="Arial" w:cs="Arial" w:eastAsia="Arial" w:hAnsi="Arial"/>
                <w:sz w:val="18"/>
                <w:szCs w:val="18"/>
                <w:color w:val="auto"/>
              </w:rPr>
              <w:t>BB</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875,310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municipal bonds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101,850,341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99,456,909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AAA</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2,009,760</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2,013,010</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AA</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13,007,328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11,021,144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040" w:type="dxa"/>
            <w:vAlign w:val="bottom"/>
          </w:tcPr>
          <w:p>
            <w:pPr>
              <w:ind w:left="8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3,890,193</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3,902,768</w:t>
            </w: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CCC</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2,217,654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1,420,296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CC</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120,742</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28,963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D</w:t>
            </w:r>
          </w:p>
        </w:tc>
        <w:tc>
          <w:tcPr>
            <w:tcW w:w="34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886,918</w:t>
            </w:r>
          </w:p>
        </w:tc>
        <w:tc>
          <w:tcPr>
            <w:tcW w:w="154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1,659,479</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Non rated</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343,277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364,945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 residential mortgage backed securities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22,355,130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20,531,347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129,149,201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119,988,256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41"/>
        </w:trPr>
        <w:tc>
          <w:tcPr>
            <w:tcW w:w="5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rPr>
              <w:t>54</w:t>
            </w: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March 31, 2018 and December 31, 2017: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80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March 31, 2018</w:t>
            </w: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380" w:type="dxa"/>
            <w:vAlign w:val="bottom"/>
          </w:tcPr>
          <w:p>
            <w:pPr>
              <w:ind w:left="60"/>
              <w:spacing w:after="0"/>
              <w:rPr>
                <w:sz w:val="20"/>
                <w:szCs w:val="20"/>
                <w:color w:val="auto"/>
              </w:rPr>
            </w:pPr>
            <w:r>
              <w:rPr>
                <w:rFonts w:ascii="Arial" w:cs="Arial" w:eastAsia="Arial" w:hAnsi="Arial"/>
                <w:sz w:val="18"/>
                <w:szCs w:val="18"/>
                <w:color w:val="auto"/>
              </w:rPr>
              <w:t>U.S. Treasury securities and</w:t>
            </w:r>
          </w:p>
        </w:tc>
        <w:tc>
          <w:tcPr>
            <w:tcW w:w="3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3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3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800" w:type="dxa"/>
            <w:vAlign w:val="bottom"/>
          </w:tcPr>
          <w:p>
            <w:pPr>
              <w:jc w:val="right"/>
              <w:ind w:right="34"/>
              <w:spacing w:after="0"/>
              <w:rPr>
                <w:sz w:val="20"/>
                <w:szCs w:val="20"/>
                <w:color w:val="auto"/>
              </w:rPr>
            </w:pPr>
            <w:r>
              <w:rPr>
                <w:rFonts w:ascii="Arial" w:cs="Arial" w:eastAsia="Arial" w:hAnsi="Arial"/>
                <w:sz w:val="18"/>
                <w:szCs w:val="18"/>
                <w:color w:val="auto"/>
              </w:rPr>
              <w:t>3.63%</w:t>
            </w: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 backed securities</w:t>
            </w:r>
          </w:p>
        </w:tc>
        <w:tc>
          <w:tcPr>
            <w:tcW w:w="3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The table below lists the weighted average maturity and effective duration in years on our fixed-maturity securities as of March 31, 2018 and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574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March 31, 2018</w:t>
            </w: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2017</w:t>
            </w:r>
          </w:p>
        </w:tc>
      </w:tr>
      <w:tr>
        <w:trPr>
          <w:trHeight w:val="216"/>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effective maturity</w:t>
            </w:r>
          </w:p>
        </w:tc>
        <w:tc>
          <w:tcPr>
            <w:tcW w:w="4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6.2</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5.7</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final maturity</w:t>
            </w:r>
          </w:p>
        </w:tc>
        <w:tc>
          <w:tcPr>
            <w:tcW w:w="4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8.0</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7.8</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Effective duration</w:t>
            </w:r>
          </w:p>
        </w:tc>
        <w:tc>
          <w:tcPr>
            <w:tcW w:w="4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5.1</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2018 and December 31, 2017, 77% and 73%, respectively, of the investment portfolio recorded at fair value was priced based upon quoted market prices.</w:t>
      </w:r>
    </w:p>
    <w:p>
      <w:pPr>
        <w:spacing w:after="0" w:line="106"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March 31, 2018 and December 31, 2017: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5"/>
                <w:szCs w:val="15"/>
                <w:b w:val="1"/>
                <w:bCs w:val="1"/>
                <w:color w:val="auto"/>
              </w:rPr>
              <w:t>March 31, 2018</w:t>
            </w: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2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3"/>
          </w:tcPr>
          <w:p>
            <w:pPr>
              <w:jc w:val="right"/>
              <w:ind w:right="680"/>
              <w:spacing w:after="0" w:line="135" w:lineRule="exact"/>
              <w:rPr>
                <w:sz w:val="20"/>
                <w:szCs w:val="20"/>
                <w:color w:val="auto"/>
              </w:rPr>
            </w:pPr>
            <w:r>
              <w:rPr>
                <w:rFonts w:ascii="Arial" w:cs="Arial" w:eastAsia="Arial" w:hAnsi="Arial"/>
                <w:sz w:val="12"/>
                <w:szCs w:val="12"/>
                <w:b w:val="1"/>
                <w:bCs w:val="1"/>
                <w:color w:val="auto"/>
              </w:rPr>
              <w:t>Less than 12 months</w:t>
            </w: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tcPr>
          <w:p>
            <w:pPr>
              <w:jc w:val="right"/>
              <w:ind w:right="700"/>
              <w:spacing w:after="0" w:line="135" w:lineRule="exact"/>
              <w:rPr>
                <w:sz w:val="20"/>
                <w:szCs w:val="20"/>
                <w:color w:val="auto"/>
              </w:rPr>
            </w:pPr>
            <w:r>
              <w:rPr>
                <w:rFonts w:ascii="Arial" w:cs="Arial" w:eastAsia="Arial" w:hAnsi="Arial"/>
                <w:sz w:val="12"/>
                <w:szCs w:val="12"/>
                <w:b w:val="1"/>
                <w:bCs w:val="1"/>
                <w:color w:val="auto"/>
              </w:rPr>
              <w:t>12 months or more</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2"/>
              <w:spacing w:after="0" w:line="135" w:lineRule="exact"/>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auto"/>
            </w:tcBorders>
          </w:tcPr>
          <w:p>
            <w:pPr>
              <w:spacing w:after="0"/>
              <w:rPr>
                <w:sz w:val="12"/>
                <w:szCs w:val="12"/>
                <w:color w:val="auto"/>
              </w:rPr>
            </w:pPr>
          </w:p>
        </w:tc>
      </w:tr>
      <w:tr>
        <w:trPr>
          <w:trHeight w:val="121"/>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jc w:val="center"/>
              <w:ind w:left="42"/>
              <w:spacing w:after="0" w:line="121" w:lineRule="exact"/>
              <w:rPr>
                <w:sz w:val="20"/>
                <w:szCs w:val="20"/>
                <w:color w:val="auto"/>
              </w:rPr>
            </w:pPr>
            <w:r>
              <w:rPr>
                <w:rFonts w:ascii="Arial" w:cs="Arial" w:eastAsia="Arial" w:hAnsi="Arial"/>
                <w:sz w:val="12"/>
                <w:szCs w:val="12"/>
                <w:b w:val="1"/>
                <w:bCs w:val="1"/>
                <w:color w:val="auto"/>
                <w:w w:val="88"/>
              </w:rPr>
              <w:t>No.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No. of</w:t>
            </w:r>
          </w:p>
        </w:tc>
        <w:tc>
          <w:tcPr>
            <w:tcW w:w="6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Aggregate</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382"/>
              <w:spacing w:after="0" w:line="135" w:lineRule="exact"/>
              <w:rPr>
                <w:sz w:val="20"/>
                <w:szCs w:val="20"/>
                <w:color w:val="auto"/>
              </w:rPr>
            </w:pPr>
            <w:r>
              <w:rPr>
                <w:rFonts w:ascii="Arial" w:cs="Arial" w:eastAsia="Arial" w:hAnsi="Arial"/>
                <w:sz w:val="12"/>
                <w:szCs w:val="12"/>
                <w:b w:val="1"/>
                <w:bCs w:val="1"/>
                <w:color w:val="auto"/>
              </w:rPr>
              <w:t>Fair</w:t>
            </w:r>
          </w:p>
        </w:tc>
        <w:tc>
          <w:tcPr>
            <w:tcW w:w="220" w:type="dxa"/>
            <w:vAlign w:val="bottom"/>
          </w:tcPr>
          <w:p>
            <w:pPr>
              <w:spacing w:after="0"/>
              <w:rPr>
                <w:sz w:val="11"/>
                <w:szCs w:val="11"/>
                <w:color w:val="auto"/>
              </w:rPr>
            </w:pPr>
          </w:p>
        </w:tc>
        <w:tc>
          <w:tcPr>
            <w:tcW w:w="1060" w:type="dxa"/>
            <w:vAlign w:val="bottom"/>
          </w:tcPr>
          <w:p>
            <w:pPr>
              <w:jc w:val="right"/>
              <w:ind w:right="340"/>
              <w:spacing w:after="0" w:line="135" w:lineRule="exact"/>
              <w:rPr>
                <w:sz w:val="20"/>
                <w:szCs w:val="20"/>
                <w:color w:val="auto"/>
              </w:rPr>
            </w:pPr>
            <w:r>
              <w:rPr>
                <w:rFonts w:ascii="Arial" w:cs="Arial" w:eastAsia="Arial" w:hAnsi="Arial"/>
                <w:sz w:val="12"/>
                <w:szCs w:val="12"/>
                <w:b w:val="1"/>
                <w:bCs w:val="1"/>
                <w:color w:val="auto"/>
              </w:rPr>
              <w:t>Unrealized</w:t>
            </w:r>
          </w:p>
        </w:tc>
        <w:tc>
          <w:tcPr>
            <w:tcW w:w="780" w:type="dxa"/>
            <w:vAlign w:val="bottom"/>
          </w:tcPr>
          <w:p>
            <w:pPr>
              <w:jc w:val="center"/>
              <w:ind w:left="42"/>
              <w:spacing w:after="0" w:line="135" w:lineRule="exact"/>
              <w:rPr>
                <w:sz w:val="20"/>
                <w:szCs w:val="20"/>
                <w:color w:val="auto"/>
              </w:rPr>
            </w:pPr>
            <w:r>
              <w:rPr>
                <w:rFonts w:ascii="Arial" w:cs="Arial" w:eastAsia="Arial" w:hAnsi="Arial"/>
                <w:sz w:val="12"/>
                <w:szCs w:val="12"/>
                <w:b w:val="1"/>
                <w:bCs w:val="1"/>
                <w:color w:val="auto"/>
                <w:w w:val="85"/>
              </w:rPr>
              <w:t>Positions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63"/>
              <w:spacing w:after="0" w:line="135" w:lineRule="exact"/>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11"/>
                <w:szCs w:val="11"/>
                <w:color w:val="auto"/>
              </w:rPr>
            </w:pPr>
          </w:p>
        </w:tc>
        <w:tc>
          <w:tcPr>
            <w:tcW w:w="1020" w:type="dxa"/>
            <w:vAlign w:val="bottom"/>
          </w:tcPr>
          <w:p>
            <w:pPr>
              <w:jc w:val="right"/>
              <w:ind w:right="340"/>
              <w:spacing w:after="0" w:line="135" w:lineRule="exact"/>
              <w:rPr>
                <w:sz w:val="20"/>
                <w:szCs w:val="20"/>
                <w:color w:val="auto"/>
              </w:rPr>
            </w:pPr>
            <w:r>
              <w:rPr>
                <w:rFonts w:ascii="Arial" w:cs="Arial" w:eastAsia="Arial" w:hAnsi="Arial"/>
                <w:sz w:val="12"/>
                <w:szCs w:val="12"/>
                <w:b w:val="1"/>
                <w:bCs w:val="1"/>
                <w:color w:val="auto"/>
                <w:w w:val="95"/>
              </w:rPr>
              <w:t>Unrealized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Positions</w:t>
            </w:r>
          </w:p>
        </w:tc>
        <w:tc>
          <w:tcPr>
            <w:tcW w:w="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Fair</w:t>
            </w:r>
          </w:p>
        </w:tc>
        <w:tc>
          <w:tcPr>
            <w:tcW w:w="220" w:type="dxa"/>
            <w:vAlign w:val="bottom"/>
          </w:tcPr>
          <w:p>
            <w:pPr>
              <w:spacing w:after="0"/>
              <w:rPr>
                <w:sz w:val="11"/>
                <w:szCs w:val="11"/>
                <w:color w:val="auto"/>
              </w:rPr>
            </w:pPr>
          </w:p>
        </w:tc>
        <w:tc>
          <w:tcPr>
            <w:tcW w:w="900" w:type="dxa"/>
            <w:vAlign w:val="bottom"/>
          </w:tcPr>
          <w:p>
            <w:pPr>
              <w:jc w:val="right"/>
              <w:ind w:right="180"/>
              <w:spacing w:after="0" w:line="135" w:lineRule="exact"/>
              <w:rPr>
                <w:sz w:val="20"/>
                <w:szCs w:val="20"/>
                <w:color w:val="auto"/>
              </w:rPr>
            </w:pPr>
            <w:r>
              <w:rPr>
                <w:rFonts w:ascii="Arial" w:cs="Arial" w:eastAsia="Arial" w:hAnsi="Arial"/>
                <w:sz w:val="12"/>
                <w:szCs w:val="12"/>
                <w:b w:val="1"/>
                <w:bCs w:val="1"/>
                <w:color w:val="auto"/>
              </w:rPr>
              <w:t>Unrealized</w:t>
            </w:r>
          </w:p>
        </w:tc>
      </w:tr>
      <w:tr>
        <w:trPr>
          <w:trHeight w:val="156"/>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w:t>
            </w:r>
            <w:r>
              <w:rPr>
                <w:rFonts w:ascii="Arial" w:cs="Arial" w:eastAsia="Arial" w:hAnsi="Arial"/>
                <w:sz w:val="12"/>
                <w:szCs w:val="12"/>
                <w:color w:val="auto"/>
              </w:rPr>
              <w:t>y</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Value</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Losses</w:t>
            </w:r>
          </w:p>
        </w:tc>
        <w:tc>
          <w:tcPr>
            <w:tcW w:w="78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b w:val="1"/>
                <w:bCs w:val="1"/>
                <w:color w:val="auto"/>
                <w:w w:val="99"/>
              </w:rPr>
              <w:t>Held</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Value</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Held</w:t>
            </w: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Losses</w:t>
            </w:r>
          </w:p>
        </w:tc>
      </w:tr>
      <w:tr>
        <w:trPr>
          <w:trHeight w:val="484"/>
        </w:trPr>
        <w:tc>
          <w:tcPr>
            <w:tcW w:w="2300" w:type="dxa"/>
            <w:vAlign w:val="bottom"/>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23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2300" w:type="dxa"/>
            <w:vAlign w:val="bottom"/>
          </w:tcPr>
          <w:p>
            <w:pPr>
              <w:ind w:left="60"/>
              <w:spacing w:after="0"/>
              <w:rPr>
                <w:sz w:val="20"/>
                <w:szCs w:val="20"/>
                <w:color w:val="auto"/>
              </w:rPr>
            </w:pPr>
            <w:r>
              <w:rPr>
                <w:rFonts w:ascii="Arial" w:cs="Arial" w:eastAsia="Arial" w:hAnsi="Arial"/>
                <w:sz w:val="18"/>
                <w:szCs w:val="18"/>
                <w:color w:val="auto"/>
              </w:rPr>
              <w:t>and obligations of U.S.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2300" w:type="dxa"/>
            <w:vAlign w:val="bottom"/>
          </w:tcPr>
          <w:p>
            <w:pPr>
              <w:ind w:left="60"/>
              <w:spacing w:after="0"/>
              <w:rPr>
                <w:sz w:val="20"/>
                <w:szCs w:val="20"/>
                <w:color w:val="auto"/>
              </w:rPr>
            </w:pPr>
            <w:r>
              <w:rPr>
                <w:rFonts w:ascii="Arial" w:cs="Arial" w:eastAsia="Arial" w:hAnsi="Arial"/>
                <w:sz w:val="18"/>
                <w:szCs w:val="18"/>
                <w:color w:val="auto"/>
              </w:rPr>
              <w:t>government corporations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4,943,730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(20,282)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  4,943,730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(20,282)</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States, Territories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Possessions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3,716,760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(84,282)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3,716,760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(84,282)</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bonds industrial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88"/>
              </w:rPr>
              <w:t>67,818,785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91"/>
              </w:rPr>
              <w:t>(1,436,598)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97"/>
              </w:rPr>
              <w:t>8,059,700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(369,216)</w:t>
            </w:r>
          </w:p>
        </w:tc>
        <w:tc>
          <w:tcPr>
            <w:tcW w:w="94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w w:val="89"/>
              </w:rPr>
              <w:t>16</w:t>
            </w:r>
          </w:p>
        </w:tc>
        <w:tc>
          <w:tcPr>
            <w:tcW w:w="12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75,878,485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(1,805,814)</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2300" w:type="dxa"/>
            <w:vAlign w:val="bottom"/>
          </w:tcPr>
          <w:p>
            <w:pPr>
              <w:ind w:left="60"/>
              <w:spacing w:after="0"/>
              <w:rPr>
                <w:sz w:val="20"/>
                <w:szCs w:val="20"/>
                <w:color w:val="auto"/>
              </w:rPr>
            </w:pPr>
            <w:r>
              <w:rPr>
                <w:rFonts w:ascii="Arial" w:cs="Arial" w:eastAsia="Arial" w:hAnsi="Arial"/>
                <w:sz w:val="18"/>
                <w:szCs w:val="18"/>
                <w:color w:val="auto"/>
              </w:rPr>
              <w:t>asset backed securities</w:t>
            </w:r>
          </w:p>
        </w:tc>
        <w:tc>
          <w:tcPr>
            <w:tcW w:w="22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8"/>
                <w:szCs w:val="18"/>
                <w:color w:val="auto"/>
                <w:w w:val="99"/>
              </w:rPr>
              <w:t>8,791,842</w:t>
            </w:r>
          </w:p>
        </w:tc>
        <w:tc>
          <w:tcPr>
            <w:tcW w:w="220" w:type="dxa"/>
            <w:vAlign w:val="bottom"/>
          </w:tcPr>
          <w:p>
            <w:pPr>
              <w:spacing w:after="0"/>
              <w:rPr>
                <w:sz w:val="19"/>
                <w:szCs w:val="19"/>
                <w:color w:val="auto"/>
              </w:rPr>
            </w:pPr>
          </w:p>
        </w:tc>
        <w:tc>
          <w:tcPr>
            <w:tcW w:w="1060" w:type="dxa"/>
            <w:vAlign w:val="bottom"/>
          </w:tcPr>
          <w:p>
            <w:pPr>
              <w:jc w:val="right"/>
              <w:ind w:right="120"/>
              <w:spacing w:after="0"/>
              <w:rPr>
                <w:sz w:val="20"/>
                <w:szCs w:val="20"/>
                <w:color w:val="auto"/>
              </w:rPr>
            </w:pPr>
            <w:r>
              <w:rPr>
                <w:rFonts w:ascii="Arial" w:cs="Arial" w:eastAsia="Arial" w:hAnsi="Arial"/>
                <w:sz w:val="18"/>
                <w:szCs w:val="18"/>
                <w:color w:val="auto"/>
              </w:rPr>
              <w:t>(104,872)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43"/>
              <w:spacing w:after="0"/>
              <w:rPr>
                <w:sz w:val="20"/>
                <w:szCs w:val="20"/>
                <w:color w:val="auto"/>
              </w:rPr>
            </w:pPr>
            <w:r>
              <w:rPr>
                <w:rFonts w:ascii="Arial" w:cs="Arial" w:eastAsia="Arial" w:hAnsi="Arial"/>
                <w:sz w:val="18"/>
                <w:szCs w:val="18"/>
                <w:color w:val="auto"/>
                <w:w w:val="97"/>
              </w:rPr>
              <w:t>9,776,165</w:t>
            </w:r>
          </w:p>
        </w:tc>
        <w:tc>
          <w:tcPr>
            <w:tcW w:w="260" w:type="dxa"/>
            <w:vAlign w:val="bottom"/>
          </w:tcPr>
          <w:p>
            <w:pPr>
              <w:spacing w:after="0"/>
              <w:rPr>
                <w:sz w:val="19"/>
                <w:szCs w:val="19"/>
                <w:color w:val="auto"/>
              </w:rPr>
            </w:pPr>
          </w:p>
        </w:tc>
        <w:tc>
          <w:tcPr>
            <w:tcW w:w="1020" w:type="dxa"/>
            <w:vAlign w:val="bottom"/>
          </w:tcPr>
          <w:p>
            <w:pPr>
              <w:jc w:val="right"/>
              <w:ind w:right="120"/>
              <w:spacing w:after="0"/>
              <w:rPr>
                <w:sz w:val="20"/>
                <w:szCs w:val="20"/>
                <w:color w:val="auto"/>
              </w:rPr>
            </w:pPr>
            <w:r>
              <w:rPr>
                <w:rFonts w:ascii="Arial" w:cs="Arial" w:eastAsia="Arial" w:hAnsi="Arial"/>
                <w:sz w:val="18"/>
                <w:szCs w:val="18"/>
                <w:color w:val="auto"/>
              </w:rPr>
              <w:t>(312,583)</w:t>
            </w:r>
          </w:p>
        </w:tc>
        <w:tc>
          <w:tcPr>
            <w:tcW w:w="940" w:type="dxa"/>
            <w:vAlign w:val="bottom"/>
          </w:tcPr>
          <w:p>
            <w:pPr>
              <w:jc w:val="center"/>
              <w:ind w:right="82"/>
              <w:spacing w:after="0"/>
              <w:rPr>
                <w:sz w:val="20"/>
                <w:szCs w:val="20"/>
                <w:color w:val="auto"/>
              </w:rPr>
            </w:pPr>
            <w:r>
              <w:rPr>
                <w:rFonts w:ascii="Arial" w:cs="Arial" w:eastAsia="Arial" w:hAnsi="Arial"/>
                <w:sz w:val="18"/>
                <w:szCs w:val="18"/>
                <w:color w:val="auto"/>
                <w:w w:val="89"/>
              </w:rPr>
              <w:t>15</w:t>
            </w:r>
          </w:p>
        </w:tc>
        <w:tc>
          <w:tcPr>
            <w:tcW w:w="1200" w:type="dxa"/>
            <w:vAlign w:val="bottom"/>
            <w:gridSpan w:val="2"/>
          </w:tcPr>
          <w:p>
            <w:pPr>
              <w:jc w:val="right"/>
              <w:ind w:right="54"/>
              <w:spacing w:after="0"/>
              <w:rPr>
                <w:sz w:val="20"/>
                <w:szCs w:val="20"/>
                <w:color w:val="auto"/>
              </w:rPr>
            </w:pPr>
            <w:r>
              <w:rPr>
                <w:rFonts w:ascii="Arial" w:cs="Arial" w:eastAsia="Arial" w:hAnsi="Arial"/>
                <w:sz w:val="18"/>
                <w:szCs w:val="18"/>
                <w:color w:val="auto"/>
              </w:rPr>
              <w:t>18,568,007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(417,455)</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Total fixed-maturity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88"/>
              </w:rPr>
              <w:t>85,271,117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1"/>
              </w:rPr>
              <w:t>(1,646,034)</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103</w:t>
            </w:r>
          </w:p>
        </w:tc>
        <w:tc>
          <w:tcPr>
            <w:tcW w:w="1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86"/>
              </w:rPr>
              <w:t>17,835,865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(681,799)</w:t>
            </w:r>
          </w:p>
        </w:tc>
        <w:tc>
          <w:tcPr>
            <w:tcW w:w="940" w:type="dxa"/>
            <w:vAlign w:val="bottom"/>
            <w:tcBorders>
              <w:bottom w:val="single" w:sz="8" w:color="auto"/>
            </w:tcBorders>
            <w:shd w:val="clear" w:color="auto" w:fill="CCEEFF"/>
          </w:tcPr>
          <w:p>
            <w:pPr>
              <w:jc w:val="center"/>
              <w:ind w:right="82"/>
              <w:spacing w:after="0"/>
              <w:rPr>
                <w:sz w:val="20"/>
                <w:szCs w:val="20"/>
                <w:color w:val="auto"/>
              </w:rPr>
            </w:pPr>
            <w:r>
              <w:rPr>
                <w:rFonts w:ascii="Arial" w:cs="Arial" w:eastAsia="Arial" w:hAnsi="Arial"/>
                <w:sz w:val="18"/>
                <w:szCs w:val="18"/>
                <w:color w:val="auto"/>
                <w:w w:val="89"/>
              </w:rPr>
              <w:t>31</w:t>
            </w:r>
          </w:p>
        </w:tc>
        <w:tc>
          <w:tcPr>
            <w:tcW w:w="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103,106,982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(2,327,833)</w:t>
            </w:r>
          </w:p>
        </w:tc>
      </w:tr>
      <w:tr>
        <w:trPr>
          <w:trHeight w:val="789"/>
        </w:trPr>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color w:val="auto"/>
              </w:rPr>
              <w:t>56</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5"/>
                <w:szCs w:val="15"/>
                <w:b w:val="1"/>
                <w:bCs w:val="1"/>
                <w:color w:val="auto"/>
              </w:rPr>
              <w:t>December 31, 2017</w:t>
            </w: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5"/>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88"/>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35"/>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center"/>
              <w:ind w:right="315"/>
              <w:spacing w:after="0" w:line="162" w:lineRule="exact"/>
              <w:rPr>
                <w:sz w:val="20"/>
                <w:szCs w:val="20"/>
                <w:color w:val="auto"/>
              </w:rPr>
            </w:pPr>
            <w:r>
              <w:rPr>
                <w:rFonts w:ascii="Arial" w:cs="Arial" w:eastAsia="Arial" w:hAnsi="Arial"/>
                <w:sz w:val="15"/>
                <w:szCs w:val="15"/>
                <w:b w:val="1"/>
                <w:bCs w:val="1"/>
                <w:color w:val="auto"/>
                <w:w w:val="89"/>
              </w:rPr>
              <w:t>Unrealized</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center"/>
              <w:ind w:right="255"/>
              <w:spacing w:after="0" w:line="162" w:lineRule="exact"/>
              <w:rPr>
                <w:sz w:val="20"/>
                <w:szCs w:val="20"/>
                <w:color w:val="auto"/>
              </w:rPr>
            </w:pPr>
            <w:r>
              <w:rPr>
                <w:rFonts w:ascii="Arial" w:cs="Arial" w:eastAsia="Arial" w:hAnsi="Arial"/>
                <w:sz w:val="15"/>
                <w:szCs w:val="15"/>
                <w:b w:val="1"/>
                <w:bCs w:val="1"/>
                <w:color w:val="auto"/>
                <w:w w:val="92"/>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Positions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77"/>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5"/>
              <w:spacing w:after="0"/>
              <w:rPr>
                <w:sz w:val="20"/>
                <w:szCs w:val="20"/>
                <w:color w:val="auto"/>
              </w:rPr>
            </w:pPr>
            <w:r>
              <w:rPr>
                <w:rFonts w:ascii="Arial" w:cs="Arial" w:eastAsia="Arial" w:hAnsi="Arial"/>
                <w:sz w:val="15"/>
                <w:szCs w:val="15"/>
                <w:b w:val="1"/>
                <w:bCs w:val="1"/>
                <w:color w:val="auto"/>
                <w:w w:val="81"/>
              </w:rPr>
              <w:t>Losses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55"/>
              <w:spacing w:after="0"/>
              <w:rPr>
                <w:sz w:val="20"/>
                <w:szCs w:val="20"/>
                <w:color w:val="auto"/>
              </w:rPr>
            </w:pPr>
            <w:r>
              <w:rPr>
                <w:rFonts w:ascii="Arial" w:cs="Arial" w:eastAsia="Arial" w:hAnsi="Arial"/>
                <w:sz w:val="15"/>
                <w:szCs w:val="15"/>
                <w:b w:val="1"/>
                <w:bCs w:val="1"/>
                <w:color w:val="auto"/>
                <w:w w:val="81"/>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Held</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Losses</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2"/>
        </w:trPr>
        <w:tc>
          <w:tcPr>
            <w:tcW w:w="2300" w:type="dxa"/>
            <w:vAlign w:val="bottom"/>
          </w:tcPr>
          <w:p>
            <w:pPr>
              <w:ind w:left="60"/>
              <w:spacing w:after="0"/>
              <w:rPr>
                <w:sz w:val="20"/>
                <w:szCs w:val="20"/>
                <w:color w:val="auto"/>
              </w:rPr>
            </w:pPr>
            <w:r>
              <w:rPr>
                <w:rFonts w:ascii="Arial" w:cs="Arial" w:eastAsia="Arial" w:hAnsi="Arial"/>
                <w:sz w:val="18"/>
                <w:szCs w:val="18"/>
                <w:color w:val="auto"/>
              </w:rPr>
              <w:t>Political subdivisions of</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4"/>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States, Territories and</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Possessions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1,549,839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(30,814)</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1,549,839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(30,814)</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15,036,462</w:t>
            </w:r>
          </w:p>
        </w:tc>
        <w:tc>
          <w:tcPr>
            <w:tcW w:w="32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(269,857)</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9,113,924</w:t>
            </w:r>
          </w:p>
        </w:tc>
        <w:tc>
          <w:tcPr>
            <w:tcW w:w="30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(340,516)</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24,150,386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(610,373)</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w w:val="88"/>
              </w:rPr>
              <w:t>Residential mortgage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6,956,371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(48,482)</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7,867,572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(189,022)</w:t>
            </w:r>
          </w:p>
        </w:tc>
        <w:tc>
          <w:tcPr>
            <w:tcW w:w="9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9"/>
              </w:rPr>
              <w:t>15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14,823,943</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(237,504)</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2300" w:type="dxa"/>
            <w:vAlign w:val="bottom"/>
          </w:tcPr>
          <w:p>
            <w:pPr>
              <w:ind w:left="6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23,542,672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(349,153)</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16,981,496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(529,538)</w:t>
            </w:r>
          </w:p>
        </w:tc>
        <w:tc>
          <w:tcPr>
            <w:tcW w:w="920" w:type="dxa"/>
            <w:vAlign w:val="bottom"/>
          </w:tcPr>
          <w:p>
            <w:pPr>
              <w:jc w:val="center"/>
              <w:ind w:right="96"/>
              <w:spacing w:after="0"/>
              <w:rPr>
                <w:sz w:val="20"/>
                <w:szCs w:val="20"/>
                <w:color w:val="auto"/>
              </w:rPr>
            </w:pPr>
            <w:r>
              <w:rPr>
                <w:rFonts w:ascii="Arial" w:cs="Arial" w:eastAsia="Arial" w:hAnsi="Arial"/>
                <w:sz w:val="18"/>
                <w:szCs w:val="18"/>
                <w:color w:val="auto"/>
                <w:w w:val="89"/>
              </w:rPr>
              <w:t>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88"/>
              </w:rPr>
              <w:t>40,524,168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(878,691)</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1,605,217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(20,313)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1,776,675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(120,712)</w:t>
            </w:r>
          </w:p>
        </w:tc>
        <w:tc>
          <w:tcPr>
            <w:tcW w:w="920" w:type="dxa"/>
            <w:vAlign w:val="bottom"/>
            <w:shd w:val="clear" w:color="auto" w:fill="CCEEFF"/>
          </w:tcPr>
          <w:p>
            <w:pPr>
              <w:jc w:val="center"/>
              <w:ind w:right="76"/>
              <w:spacing w:after="0"/>
              <w:rPr>
                <w:sz w:val="20"/>
                <w:szCs w:val="20"/>
                <w:color w:val="auto"/>
              </w:rPr>
            </w:pPr>
            <w:r>
              <w:rPr>
                <w:rFonts w:ascii="Arial" w:cs="Arial" w:eastAsia="Arial" w:hAnsi="Arial"/>
                <w:sz w:val="18"/>
                <w:szCs w:val="18"/>
                <w:color w:val="auto"/>
                <w:w w:val="79"/>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3,381,892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(141,025)</w:t>
            </w: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traded mutual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1"/>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1,446,375</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(222,205)</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124,900</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(14,530)</w:t>
            </w: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1,571,275</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(236,735)</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3,051,592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(242,518)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1,901,575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(135,242)</w:t>
            </w:r>
          </w:p>
        </w:tc>
        <w:tc>
          <w:tcPr>
            <w:tcW w:w="920" w:type="dxa"/>
            <w:vAlign w:val="bottom"/>
            <w:shd w:val="clear" w:color="auto" w:fill="CCEEFF"/>
          </w:tcPr>
          <w:p>
            <w:pPr>
              <w:jc w:val="center"/>
              <w:ind w:right="76"/>
              <w:spacing w:after="0"/>
              <w:rPr>
                <w:sz w:val="20"/>
                <w:szCs w:val="20"/>
                <w:color w:val="auto"/>
              </w:rPr>
            </w:pPr>
            <w:r>
              <w:rPr>
                <w:rFonts w:ascii="Arial" w:cs="Arial" w:eastAsia="Arial" w:hAnsi="Arial"/>
                <w:sz w:val="18"/>
                <w:szCs w:val="18"/>
                <w:color w:val="auto"/>
                <w:w w:val="79"/>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4,953,167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(377,760)</w:t>
            </w:r>
          </w:p>
        </w:tc>
      </w:tr>
      <w:tr>
        <w:trPr>
          <w:trHeight w:val="216"/>
        </w:trPr>
        <w:tc>
          <w:tcPr>
            <w:tcW w:w="2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26,594,264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(591,671)</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18,883,071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(664,780)</w:t>
            </w:r>
          </w:p>
        </w:tc>
        <w:tc>
          <w:tcPr>
            <w:tcW w:w="9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9"/>
              </w:rPr>
              <w:t>36</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8"/>
              </w:rPr>
              <w:t>45,477,335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(1,256,451)</w:t>
            </w:r>
          </w:p>
        </w:tc>
      </w:tr>
      <w:tr>
        <w:trPr>
          <w:trHeight w:val="641"/>
        </w:trPr>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color w:val="auto"/>
              </w:rPr>
              <w:t>57</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59" w:name="page60"/>
    <w:bookmarkEnd w:id="59"/>
    <w:p>
      <w:pPr>
        <w:jc w:val="both"/>
        <w:ind w:firstLine="648"/>
        <w:spacing w:after="0" w:line="294" w:lineRule="auto"/>
        <w:rPr>
          <w:sz w:val="20"/>
          <w:szCs w:val="20"/>
          <w:color w:val="auto"/>
        </w:rPr>
      </w:pPr>
      <w:r>
        <w:rPr>
          <w:rFonts w:ascii="Arial" w:cs="Arial" w:eastAsia="Arial" w:hAnsi="Arial"/>
          <w:sz w:val="16"/>
          <w:szCs w:val="16"/>
          <w:color w:val="auto"/>
        </w:rPr>
        <w:t>There were 134 securities at March 31, 2018 that accounted for the gross unrealized loss, none of which were deemed by us to be other than temporarily impaired. There were 75 securities at December 31, 2017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12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December 19, 2017, we issued $30 million of our 5.50% Senior Unsecured Notes due December 30, 2022 pursuant to an underwritten public offering. The net proceeds to us were approximately $29,121,000.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beginning on June 30 2018 at the rate of 5.50% per year from December 19, 2017.</w:t>
      </w:r>
    </w:p>
    <w:p>
      <w:pPr>
        <w:spacing w:after="0" w:line="9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For the three months ended March 31, 2018, the primary source of cash flow for our holding company were the dividends received from KICO, subject to statutory restrictions. For the three months ended March 31, 2018, KICO paid dividends of $800,000 to us.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December 31, 2017 and are due and payable within one year of borrowing. The maximum allowable advance as of March 31, 2018, based on the net admitted assets as of December 31, 2017 was approximately $9,849,000. Advances are limited to the amount of available collateral, which was approximately $6,225,000 as of March 31, 2018. There were no borrowings under this facility during the three months ended March 31,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0" w:name="page61"/>
    <w:bookmarkEnd w:id="60"/>
    <w:p>
      <w:pPr>
        <w:jc w:val="both"/>
        <w:ind w:firstLine="648"/>
        <w:spacing w:after="0" w:line="268" w:lineRule="auto"/>
        <w:rPr>
          <w:sz w:val="20"/>
          <w:szCs w:val="20"/>
          <w:color w:val="auto"/>
        </w:rPr>
      </w:pPr>
      <w:r>
        <w:rPr>
          <w:rFonts w:ascii="Arial" w:cs="Arial" w:eastAsia="Arial" w:hAnsi="Arial"/>
          <w:sz w:val="18"/>
          <w:szCs w:val="18"/>
          <w:color w:val="auto"/>
        </w:rPr>
        <w:t>As of March 31, 2018, the cash balance in our holding company was approximately $8,745,000. If the aforementioned sources of cash flow currently available are insufficient to cover our holding company cash requirements, we will seek to obtain additional financing.</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Three Months Ended March 31,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2017</w:t>
            </w:r>
          </w:p>
        </w:tc>
      </w:tr>
      <w:tr>
        <w:trPr>
          <w:trHeight w:val="485"/>
        </w:trPr>
        <w:tc>
          <w:tcPr>
            <w:tcW w:w="8700" w:type="dxa"/>
            <w:vAlign w:val="bottom"/>
          </w:tcPr>
          <w:p>
            <w:pPr>
              <w:ind w:left="60"/>
              <w:spacing w:after="0"/>
              <w:rPr>
                <w:sz w:val="20"/>
                <w:szCs w:val="20"/>
                <w:color w:val="auto"/>
              </w:rPr>
            </w:pPr>
            <w:r>
              <w:rPr>
                <w:rFonts w:ascii="Arial" w:cs="Arial" w:eastAsia="Arial" w:hAnsi="Arial"/>
                <w:sz w:val="18"/>
                <w:szCs w:val="18"/>
                <w:color w:val="auto"/>
              </w:rPr>
              <w:t>Cash flows provided by (used in):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7"/>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380,373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2,056,143</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(15,438,163)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(20,370,870)</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(1,729,676)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29,505,862</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(16,787,466)</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11,191,135</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48,381,633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12,044,520</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31,594,167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23,235,655</w:t>
            </w:r>
          </w:p>
        </w:tc>
      </w:tr>
      <w:tr>
        <w:trPr>
          <w:trHeight w:val="21"/>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Net cash provided by operating activities was $380,000 in 2018 as compared to $2,056,000 in 2017. The $1,676,000 decrease in cash flows provided by operating activities in 2018 was primarily a result of an decrease in cash arising from net fluctuations in assets and liabilities relating to operating activities of KICO as affected by the growth in its operations which are described above, and by a decrease in net income (adjusted for non-cash items) of $3,552,000.</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$15,438,000 in 2018 compared to $20,371,000 in 2017. The $4,933,000 decrease in net cash used in investing activities was the result of an $8,231,000 increase in sales or maturities of invested assets, which offset the $3,212,000 increase in acquisitions of invested assets and the $87,000 increase in fixed asset acquisitions in 2018.</w:t>
      </w:r>
    </w:p>
    <w:p>
      <w:pPr>
        <w:spacing w:after="0" w:line="127" w:lineRule="exact"/>
        <w:rPr>
          <w:sz w:val="20"/>
          <w:szCs w:val="20"/>
          <w:color w:val="auto"/>
        </w:rPr>
      </w:pPr>
    </w:p>
    <w:p>
      <w:pPr>
        <w:jc w:val="both"/>
        <w:ind w:firstLine="648"/>
        <w:spacing w:after="0" w:line="370" w:lineRule="auto"/>
        <w:rPr>
          <w:sz w:val="20"/>
          <w:szCs w:val="20"/>
          <w:color w:val="auto"/>
        </w:rPr>
      </w:pPr>
      <w:r>
        <w:rPr>
          <w:rFonts w:ascii="Arial" w:cs="Arial" w:eastAsia="Arial" w:hAnsi="Arial"/>
          <w:sz w:val="15"/>
          <w:szCs w:val="15"/>
          <w:color w:val="auto"/>
        </w:rPr>
        <w:t>Net cash used in financing activities was $1,730,000 in 2018 compared to $29,506,000 provided in 2017. The $31,236,000 decrease in net cash provided by financing activities was the result of the $30,137,000 net proceeds we received from the public offering of our common stock in January/February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quota share reinsurance treaty in effect for 2018 for our personal lines business, which primarily consists of homeowners policies, was covered under the 2017/2019 Treaty. Our quota share reinsurance treaty in effect for 2017 for our personal lines business, which primarily consists of homeowners policies, was covered under the 2016/2017 Treaty.</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2017, we bound our personal lines quota share reinsurance treaty effective July 1, 2017. The treaty provides for a reduction in the quota share ceding rate to 20%, from the 40% in the 2016/2017 Treaty, and an increase in the provisional ceding commission rate to 53%, from the 52% in the 2016/2017 Treaty. The new treaty covers a two year period from July 1, 2017 through June 30, 2019 (“2017/2019 Treaty”).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Our 2017/2019 Treaty and 2016/2017 Treaty provide for the following material terms: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4"/>
          </w:tcPr>
          <w:p>
            <w:pPr>
              <w:ind w:left="780"/>
              <w:spacing w:after="0"/>
              <w:rPr>
                <w:sz w:val="20"/>
                <w:szCs w:val="20"/>
                <w:color w:val="auto"/>
              </w:rPr>
            </w:pPr>
            <w:r>
              <w:rPr>
                <w:rFonts w:ascii="Arial" w:cs="Arial" w:eastAsia="Arial" w:hAnsi="Arial"/>
                <w:sz w:val="15"/>
                <w:szCs w:val="15"/>
                <w:b w:val="1"/>
                <w:bCs w:val="1"/>
                <w:color w:val="auto"/>
              </w:rPr>
              <w:t>Treaty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94"/>
              <w:spacing w:after="0" w:line="149" w:lineRule="exact"/>
              <w:rPr>
                <w:sz w:val="20"/>
                <w:szCs w:val="20"/>
                <w:color w:val="auto"/>
              </w:rPr>
            </w:pPr>
            <w:r>
              <w:rPr>
                <w:rFonts w:ascii="Arial" w:cs="Arial" w:eastAsia="Arial" w:hAnsi="Arial"/>
                <w:sz w:val="15"/>
                <w:szCs w:val="15"/>
                <w:b w:val="1"/>
                <w:bCs w:val="1"/>
                <w:color w:val="auto"/>
                <w:w w:val="90"/>
              </w:rPr>
              <w:t>July 1, 2017</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53"/>
              <w:spacing w:after="0" w:line="149" w:lineRule="exact"/>
              <w:rPr>
                <w:sz w:val="20"/>
                <w:szCs w:val="20"/>
                <w:color w:val="auto"/>
              </w:rPr>
            </w:pPr>
            <w:r>
              <w:rPr>
                <w:rFonts w:ascii="Arial" w:cs="Arial" w:eastAsia="Arial" w:hAnsi="Arial"/>
                <w:sz w:val="15"/>
                <w:szCs w:val="15"/>
                <w:b w:val="1"/>
                <w:bCs w:val="1"/>
                <w:color w:val="auto"/>
                <w:w w:val="90"/>
              </w:rPr>
              <w:t>July 1, 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94"/>
              <w:spacing w:after="0" w:line="162"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gridSpan w:val="4"/>
          </w:tcPr>
          <w:p>
            <w:pPr>
              <w:ind w:left="20"/>
              <w:spacing w:after="0"/>
              <w:rPr>
                <w:sz w:val="20"/>
                <w:szCs w:val="20"/>
                <w:color w:val="auto"/>
              </w:rPr>
            </w:pPr>
            <w:r>
              <w:rPr>
                <w:rFonts w:ascii="Arial" w:cs="Arial" w:eastAsia="Arial" w:hAnsi="Arial"/>
                <w:sz w:val="15"/>
                <w:szCs w:val="15"/>
                <w:b w:val="1"/>
                <w:bCs w:val="1"/>
                <w:color w:val="auto"/>
              </w:rPr>
              <w:t>Line of Business</w:t>
            </w:r>
          </w:p>
        </w:tc>
        <w:tc>
          <w:tcPr>
            <w:tcW w:w="220" w:type="dxa"/>
            <w:vAlign w:val="bottom"/>
          </w:tcPr>
          <w:p>
            <w:pPr>
              <w:spacing w:after="0"/>
              <w:rPr>
                <w:sz w:val="15"/>
                <w:szCs w:val="15"/>
                <w:color w:val="auto"/>
              </w:rPr>
            </w:pPr>
          </w:p>
        </w:tc>
        <w:tc>
          <w:tcPr>
            <w:tcW w:w="1200" w:type="dxa"/>
            <w:vAlign w:val="bottom"/>
          </w:tcPr>
          <w:p>
            <w:pPr>
              <w:jc w:val="center"/>
              <w:ind w:right="214"/>
              <w:spacing w:after="0"/>
              <w:rPr>
                <w:sz w:val="20"/>
                <w:szCs w:val="20"/>
                <w:color w:val="auto"/>
              </w:rPr>
            </w:pPr>
            <w:r>
              <w:rPr>
                <w:rFonts w:ascii="Arial" w:cs="Arial" w:eastAsia="Arial" w:hAnsi="Arial"/>
                <w:sz w:val="15"/>
                <w:szCs w:val="15"/>
                <w:b w:val="1"/>
                <w:bCs w:val="1"/>
                <w:color w:val="auto"/>
                <w:w w:val="88"/>
              </w:rPr>
              <w:t>June 30, 2018</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June 30,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9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Personal Lines: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70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Percent ceded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of loss coverage and facultative facility above quota share coverage (1)</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14"/>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9,200,000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Expiration date</w:t>
            </w:r>
          </w:p>
        </w:tc>
        <w:tc>
          <w:tcPr>
            <w:tcW w:w="1420" w:type="dxa"/>
            <w:vAlign w:val="bottom"/>
            <w:gridSpan w:val="2"/>
          </w:tcPr>
          <w:p>
            <w:pPr>
              <w:jc w:val="right"/>
              <w:ind w:right="194"/>
              <w:spacing w:after="0"/>
              <w:rPr>
                <w:sz w:val="20"/>
                <w:szCs w:val="20"/>
                <w:color w:val="auto"/>
              </w:rPr>
            </w:pPr>
            <w:r>
              <w:rPr>
                <w:rFonts w:ascii="Arial" w:cs="Arial" w:eastAsia="Arial" w:hAnsi="Arial"/>
                <w:sz w:val="18"/>
                <w:szCs w:val="18"/>
                <w:color w:val="auto"/>
                <w:w w:val="98"/>
              </w:rPr>
              <w:t>June 30, 2019</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40"/>
              <w:spacing w:after="0"/>
              <w:rPr>
                <w:sz w:val="20"/>
                <w:szCs w:val="20"/>
                <w:color w:val="auto"/>
              </w:rPr>
            </w:pPr>
            <w:r>
              <w:rPr>
                <w:rFonts w:ascii="Arial" w:cs="Arial" w:eastAsia="Arial" w:hAnsi="Arial"/>
                <w:sz w:val="18"/>
                <w:szCs w:val="18"/>
                <w:color w:val="auto"/>
              </w:rPr>
              <w:t>Personal Umbrella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Risk retained</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2018</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40"/>
              <w:spacing w:after="0"/>
              <w:rPr>
                <w:sz w:val="20"/>
                <w:szCs w:val="20"/>
                <w:color w:val="auto"/>
              </w:rPr>
            </w:pPr>
            <w:r>
              <w:rPr>
                <w:rFonts w:ascii="Arial" w:cs="Arial" w:eastAsia="Arial" w:hAnsi="Arial"/>
                <w:sz w:val="18"/>
                <w:szCs w:val="18"/>
                <w:color w:val="auto"/>
              </w:rPr>
              <w:t>General liability commercial policies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Percent ceded</w:t>
            </w:r>
          </w:p>
        </w:tc>
        <w:tc>
          <w:tcPr>
            <w:tcW w:w="220" w:type="dxa"/>
            <w:vAlign w:val="bottom"/>
          </w:tcPr>
          <w:p>
            <w:pPr>
              <w:spacing w:after="0"/>
              <w:rPr>
                <w:sz w:val="21"/>
                <w:szCs w:val="21"/>
                <w:color w:val="auto"/>
              </w:rPr>
            </w:pPr>
          </w:p>
        </w:tc>
        <w:tc>
          <w:tcPr>
            <w:tcW w:w="1200" w:type="dxa"/>
            <w:vAlign w:val="bottom"/>
          </w:tcPr>
          <w:p>
            <w:pPr>
              <w:jc w:val="center"/>
              <w:ind w:right="334"/>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20" w:type="dxa"/>
            <w:vAlign w:val="bottom"/>
          </w:tcPr>
          <w:p>
            <w:pPr>
              <w:spacing w:after="0"/>
              <w:rPr>
                <w:sz w:val="21"/>
                <w:szCs w:val="21"/>
                <w:color w:val="auto"/>
              </w:rPr>
            </w:pPr>
          </w:p>
        </w:tc>
        <w:tc>
          <w:tcPr>
            <w:tcW w:w="1200" w:type="dxa"/>
            <w:vAlign w:val="bottom"/>
          </w:tcPr>
          <w:p>
            <w:pPr>
              <w:jc w:val="center"/>
              <w:ind w:right="334"/>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74"/>
              <w:spacing w:after="0"/>
              <w:rPr>
                <w:sz w:val="20"/>
                <w:szCs w:val="20"/>
                <w:color w:val="auto"/>
              </w:rPr>
            </w:pPr>
            <w:r>
              <w:rPr>
                <w:rFonts w:ascii="Arial" w:cs="Arial" w:eastAsia="Arial" w:hAnsi="Arial"/>
                <w:sz w:val="18"/>
                <w:szCs w:val="18"/>
                <w:color w:val="auto"/>
                <w:w w:val="96"/>
              </w:rPr>
              <w:t>in excess of</w:t>
            </w:r>
          </w:p>
        </w:tc>
        <w:tc>
          <w:tcPr>
            <w:tcW w:w="18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3,750,000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Commercial Umbrella</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Quota share treaty: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Percent ceded - first $1,000,000 of coverage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Percent ceded - excess of $1,000,000 of coverage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Risk retained</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520"/>
              <w:spacing w:after="0"/>
              <w:rPr>
                <w:sz w:val="20"/>
                <w:szCs w:val="20"/>
                <w:color w:val="auto"/>
              </w:rPr>
            </w:pPr>
            <w:r>
              <w:rPr>
                <w:rFonts w:ascii="Arial" w:cs="Arial" w:eastAsia="Arial" w:hAnsi="Arial"/>
                <w:sz w:val="18"/>
                <w:szCs w:val="18"/>
                <w:color w:val="auto"/>
              </w:rPr>
              <w:t>Total reinsurance coverage per occurrence</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4,900,000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Expiration date</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gridSpan w:val="4"/>
          </w:tcPr>
          <w:p>
            <w:pPr>
              <w:spacing w:after="0" w:line="176" w:lineRule="exact"/>
              <w:rPr>
                <w:sz w:val="20"/>
                <w:szCs w:val="20"/>
                <w:color w:val="auto"/>
              </w:rPr>
            </w:pPr>
            <w:r>
              <w:rPr>
                <w:rFonts w:ascii="Arial" w:cs="Arial" w:eastAsia="Arial" w:hAnsi="Arial"/>
                <w:sz w:val="18"/>
                <w:szCs w:val="18"/>
                <w:color w:val="auto"/>
              </w:rPr>
              <w:t>Catastrophe Reinsurance: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Risk retained per catastrophe occurrence (2)</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Catastrophe loss coverage in excess of quota share coverage (3)</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315,000,000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247,000,000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gridSpan w:val="4"/>
          </w:tcPr>
          <w:p>
            <w:pPr>
              <w:ind w:left="200"/>
              <w:spacing w:after="0"/>
              <w:rPr>
                <w:sz w:val="20"/>
                <w:szCs w:val="20"/>
                <w:color w:val="auto"/>
              </w:rPr>
            </w:pPr>
            <w:r>
              <w:rPr>
                <w:rFonts w:ascii="Arial" w:cs="Arial" w:eastAsia="Arial" w:hAnsi="Arial"/>
                <w:sz w:val="18"/>
                <w:szCs w:val="18"/>
                <w:color w:val="auto"/>
              </w:rPr>
              <w:t>Reinstatement premium protection (4)</w:t>
            </w:r>
          </w:p>
        </w:tc>
        <w:tc>
          <w:tcPr>
            <w:tcW w:w="220" w:type="dxa"/>
            <w:vAlign w:val="bottom"/>
          </w:tcPr>
          <w:p>
            <w:pPr>
              <w:spacing w:after="0"/>
              <w:rPr>
                <w:sz w:val="20"/>
                <w:szCs w:val="20"/>
                <w:color w:val="auto"/>
              </w:rPr>
            </w:pPr>
          </w:p>
        </w:tc>
        <w:tc>
          <w:tcPr>
            <w:tcW w:w="1200" w:type="dxa"/>
            <w:vAlign w:val="bottom"/>
          </w:tcPr>
          <w:p>
            <w:pPr>
              <w:jc w:val="center"/>
              <w:ind w:right="274"/>
              <w:spacing w:after="0"/>
              <w:rPr>
                <w:sz w:val="20"/>
                <w:szCs w:val="20"/>
                <w:color w:val="auto"/>
              </w:rPr>
            </w:pPr>
            <w:r>
              <w:rPr>
                <w:rFonts w:ascii="Arial" w:cs="Arial" w:eastAsia="Arial" w:hAnsi="Arial"/>
                <w:sz w:val="18"/>
                <w:szCs w:val="18"/>
                <w:color w:val="auto"/>
                <w:w w:val="77"/>
              </w:rPr>
              <w:t>Yes</w:t>
            </w: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8680" w:type="dxa"/>
            <w:vAlign w:val="bottom"/>
            <w:tcBorders>
              <w:bottom w:val="single" w:sz="8" w:color="auto"/>
            </w:tcBorders>
            <w:gridSpan w:val="4"/>
          </w:tcPr>
          <w:p>
            <w:pPr>
              <w:ind w:left="560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62" w:name="page63"/>
    <w:bookmarkEnd w:id="62"/>
    <w:p>
      <w:pPr>
        <w:ind w:left="340" w:hanging="332"/>
        <w:spacing w:after="0" w:line="25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July 1, 2016, reinstatement premium protection for $20,000,000 of catastrophe coverage in excess of $5,000,000. Effective July 1, 2017, reinstatement premium protection for $145,000,000 of catastrophe coverage in excess of $5,000,000.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the Company is subject under the new treaties effective July 1, 2017 and under the treaties that expired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120" w:type="dxa"/>
            <w:vAlign w:val="bottom"/>
            <w:vMerge w:val="restart"/>
          </w:tcPr>
          <w:p>
            <w:pPr>
              <w:spacing w:after="0"/>
              <w:rPr>
                <w:sz w:val="15"/>
                <w:szCs w:val="15"/>
                <w:color w:val="auto"/>
              </w:rPr>
            </w:pPr>
          </w:p>
        </w:tc>
        <w:tc>
          <w:tcPr>
            <w:tcW w:w="3320" w:type="dxa"/>
            <w:vAlign w:val="bottom"/>
            <w:tcBorders>
              <w:bottom w:val="single" w:sz="8" w:color="auto"/>
            </w:tcBorders>
            <w:gridSpan w:val="3"/>
          </w:tcPr>
          <w:p>
            <w:pPr>
              <w:ind w:left="1480"/>
              <w:spacing w:after="0"/>
              <w:rPr>
                <w:sz w:val="20"/>
                <w:szCs w:val="20"/>
                <w:color w:val="auto"/>
              </w:rPr>
            </w:pPr>
            <w:r>
              <w:rPr>
                <w:rFonts w:ascii="Arial" w:cs="Arial" w:eastAsia="Arial" w:hAnsi="Arial"/>
                <w:sz w:val="15"/>
                <w:szCs w:val="15"/>
                <w:b w:val="1"/>
                <w:bCs w:val="1"/>
                <w:color w:val="auto"/>
                <w:w w:val="93"/>
              </w:rPr>
              <w:t>July 1, 2017 - June 30, 2018</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Borders>
              <w:bottom w:val="single" w:sz="8" w:color="auto"/>
            </w:tcBorders>
            <w:gridSpan w:val="3"/>
          </w:tcPr>
          <w:p>
            <w:pPr>
              <w:ind w:left="1280"/>
              <w:spacing w:after="0"/>
              <w:rPr>
                <w:sz w:val="20"/>
                <w:szCs w:val="20"/>
                <w:color w:val="auto"/>
              </w:rPr>
            </w:pPr>
            <w:r>
              <w:rPr>
                <w:rFonts w:ascii="Arial" w:cs="Arial" w:eastAsia="Arial" w:hAnsi="Arial"/>
                <w:sz w:val="15"/>
                <w:szCs w:val="15"/>
                <w:b w:val="1"/>
                <w:bCs w:val="1"/>
                <w:color w:val="auto"/>
                <w:w w:val="93"/>
              </w:rPr>
              <w:t>July 1, 2016 - June 30, 2017</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7"/>
              </w:rPr>
              <w:t>Range of Loss</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3"/>
              <w:spacing w:after="0" w:line="162" w:lineRule="exact"/>
              <w:rPr>
                <w:sz w:val="20"/>
                <w:szCs w:val="20"/>
                <w:color w:val="auto"/>
              </w:rPr>
            </w:pPr>
            <w:r>
              <w:rPr>
                <w:rFonts w:ascii="Arial" w:cs="Arial" w:eastAsia="Arial" w:hAnsi="Arial"/>
                <w:sz w:val="15"/>
                <w:szCs w:val="15"/>
                <w:b w:val="1"/>
                <w:bCs w:val="1"/>
                <w:color w:val="auto"/>
                <w:w w:val="88"/>
              </w:rPr>
              <w:t>Risk Retained</w:t>
            </w:r>
          </w:p>
        </w:tc>
        <w:tc>
          <w:tcPr>
            <w:tcW w:w="100" w:type="dxa"/>
            <w:vAlign w:val="bottom"/>
          </w:tcPr>
          <w:p>
            <w:pPr>
              <w:spacing w:after="0"/>
              <w:rPr>
                <w:sz w:val="14"/>
                <w:szCs w:val="14"/>
                <w:color w:val="auto"/>
              </w:rPr>
            </w:pPr>
          </w:p>
        </w:tc>
        <w:tc>
          <w:tcPr>
            <w:tcW w:w="28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5"/>
              </w:rPr>
              <w:t>Range of 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3"/>
              <w:spacing w:after="0" w:line="162" w:lineRule="exact"/>
              <w:rPr>
                <w:sz w:val="20"/>
                <w:szCs w:val="20"/>
                <w:color w:val="auto"/>
              </w:rPr>
            </w:pPr>
            <w:r>
              <w:rPr>
                <w:rFonts w:ascii="Arial" w:cs="Arial" w:eastAsia="Arial" w:hAnsi="Arial"/>
                <w:sz w:val="15"/>
                <w:szCs w:val="15"/>
                <w:b w:val="1"/>
                <w:bCs w:val="1"/>
                <w:color w:val="auto"/>
                <w:w w:val="90"/>
              </w:rPr>
              <w:t>Risk Retained</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Personal Lines (1)</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$800,000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Initial $833,333</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$10,000,000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213"/>
              <w:spacing w:after="0"/>
              <w:rPr>
                <w:sz w:val="20"/>
                <w:szCs w:val="20"/>
                <w:color w:val="auto"/>
              </w:rPr>
            </w:pPr>
            <w:r>
              <w:rPr>
                <w:rFonts w:ascii="Arial" w:cs="Arial" w:eastAsia="Arial" w:hAnsi="Arial"/>
                <w:sz w:val="18"/>
                <w:szCs w:val="18"/>
                <w:color w:val="auto"/>
                <w:w w:val="92"/>
              </w:rPr>
              <w:t>None(2)</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$833,333 - $4,500,000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Over $10,000,000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$4,500,000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Personal Umbrella</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$100,000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Commercial Lines</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1"/>
              </w:rPr>
              <w:t>Initial $750,000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$750,000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Initial $500,000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$500,000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$750,000 - $4,500,000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213"/>
              <w:spacing w:after="0"/>
              <w:rPr>
                <w:sz w:val="20"/>
                <w:szCs w:val="20"/>
                <w:color w:val="auto"/>
              </w:rPr>
            </w:pPr>
            <w:r>
              <w:rPr>
                <w:rFonts w:ascii="Arial" w:cs="Arial" w:eastAsia="Arial" w:hAnsi="Arial"/>
                <w:sz w:val="18"/>
                <w:szCs w:val="18"/>
                <w:color w:val="auto"/>
                <w:w w:val="92"/>
              </w:rPr>
              <w:t>None(3)</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$500,000 - $4,500,000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3"/>
              <w:spacing w:after="0"/>
              <w:rPr>
                <w:sz w:val="20"/>
                <w:szCs w:val="20"/>
                <w:color w:val="auto"/>
              </w:rPr>
            </w:pPr>
            <w:r>
              <w:rPr>
                <w:rFonts w:ascii="Arial" w:cs="Arial" w:eastAsia="Arial" w:hAnsi="Arial"/>
                <w:sz w:val="18"/>
                <w:szCs w:val="18"/>
                <w:color w:val="auto"/>
                <w:w w:val="92"/>
              </w:rPr>
              <w:t>None(3)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$4,500,000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$4,500,000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Umbrella</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$1,000,000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$100,000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$1,000,000</w:t>
            </w:r>
          </w:p>
        </w:tc>
        <w:tc>
          <w:tcPr>
            <w:tcW w:w="12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$1,000,000 - $5,000,000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Over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Over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Catastrophe (4)</w:t>
            </w: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Initial $5,000,000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8"/>
              </w:rPr>
              <w:t>$4,000,000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Initial $5,000,000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8"/>
              </w:rPr>
              <w:t>$3,000,000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right"/>
              <w:ind w:right="314"/>
              <w:spacing w:after="0"/>
              <w:rPr>
                <w:sz w:val="20"/>
                <w:szCs w:val="20"/>
                <w:color w:val="auto"/>
              </w:rPr>
            </w:pPr>
            <w:r>
              <w:rPr>
                <w:rFonts w:ascii="Arial" w:cs="Arial" w:eastAsia="Arial" w:hAnsi="Arial"/>
                <w:sz w:val="18"/>
                <w:szCs w:val="18"/>
                <w:color w:val="auto"/>
              </w:rPr>
              <w:t>$5,000,000 - $320,000,000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ind w:right="193"/>
              <w:spacing w:after="0"/>
              <w:rPr>
                <w:sz w:val="20"/>
                <w:szCs w:val="20"/>
                <w:color w:val="auto"/>
              </w:rPr>
            </w:pPr>
            <w:r>
              <w:rPr>
                <w:rFonts w:ascii="Arial" w:cs="Arial" w:eastAsia="Arial" w:hAnsi="Arial"/>
                <w:sz w:val="18"/>
                <w:szCs w:val="18"/>
                <w:color w:val="auto"/>
                <w:w w:val="88"/>
              </w:rPr>
              <w:t>None</w:t>
            </w:r>
          </w:p>
        </w:tc>
        <w:tc>
          <w:tcPr>
            <w:tcW w:w="2940" w:type="dxa"/>
            <w:vAlign w:val="bottom"/>
            <w:gridSpan w:val="2"/>
          </w:tcPr>
          <w:p>
            <w:pPr>
              <w:jc w:val="right"/>
              <w:ind w:right="294"/>
              <w:spacing w:after="0"/>
              <w:rPr>
                <w:sz w:val="20"/>
                <w:szCs w:val="20"/>
                <w:color w:val="auto"/>
              </w:rPr>
            </w:pPr>
            <w:r>
              <w:rPr>
                <w:rFonts w:ascii="Arial" w:cs="Arial" w:eastAsia="Arial" w:hAnsi="Arial"/>
                <w:sz w:val="18"/>
                <w:szCs w:val="18"/>
                <w:color w:val="auto"/>
              </w:rPr>
              <w:t>$5,000,000 - $252,000,000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Over $320,000,000</w:t>
            </w:r>
          </w:p>
        </w:tc>
        <w:tc>
          <w:tcPr>
            <w:tcW w:w="138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Over $252,000,000</w:t>
            </w: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Treaty for July 1, 2017 – June 30, 2018 is a two year treaty with expiration date of June 30, 2019.</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Covered by excess of loss treaties up to $3,500,000 and by facultative facility from $3,500,000 to $10,000,000.</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16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Based upon the factors set forth under “Factors That May Affect Future Results and Financial Condition” in Item 7 of our Annual Report on Form 10-K for the year ended December 31, 2017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 of our assets and liabilities is subject to market risk, primarily interest rate, credit risk, and equity price risk related to our investment portfolio as well as fluctuations in the value of our alternative investment. The allocation of our portfolio was 88% fixed income securities, 11% equity securities, and 1% other investments as of March 31, 2018. We do not hold derivative or commodity investments. Foreign investments are made on a limited basis, and all fixed income transactions are denominated in U.S. currency. We have minimal foreign currency fluctuation risk. For a discussion of our investment mix and performance, see the "Investments" section of Item 2. "Management's Discussion and Analysis of Financial Condition and Results of Operations." of this Form 10-Q.</w:t>
      </w:r>
    </w:p>
    <w:p>
      <w:pPr>
        <w:spacing w:after="0" w:line="19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primary objectives of the investment portfolio are the preservation of capital and providing adequate liquidity to support our underwriting activities and other operational needs. The portfolio’s secondary investment objective is to provide a total rate of return with an emphasis on investment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invest in interest rate-sensitive securities, mainly fixed income securities. Our fixed income securities portfolio is comprised of primarily investment grade (investments receiving S&amp;P or an equivalent rating of BBB- or above) corporate securities, U.S. government and agency securities, municipal obligations, CLO and other ABS, and MBS. Our strategy to manage interest rate risk is to purchase intermediate-term fixed income investments that are attractively priced in relation to perceived credit risks.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exposure to interest rate risk relates primarily to the market price and cash flow variability associated with changes in interest rates. As our fixed income securities portfolio contains interest rate-sensitive instruments, it may be adversely affected by changes in interest rates resulting from governmental monetary policies, domestic and international economic and political conditions, and other factors beyond our control. Recent economic data points to increased U.S. and global economic growth, continued low levels of unemployment and signs of rising wages, which compounded with the potential for the pro-growth benefits of the Tax Cuts and Jobs Act of 2017 and the potential for higher Federal budget deficits, has recently led to rising U.S. interest rates. A rise in interest rates will decrease the fair value of our existing fixed income investments and a decline in interest rates will result in an increase in the fair value of our existing fixed income investments. However, new and reinvested money used to purchase fixed income securities would benefit from rising interest rates and would be negatively impacted by falling interest rates.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jc w:val="both"/>
        <w:ind w:right="40" w:firstLine="648"/>
        <w:spacing w:after="0" w:line="298" w:lineRule="auto"/>
        <w:rPr>
          <w:sz w:val="20"/>
          <w:szCs w:val="20"/>
          <w:color w:val="auto"/>
        </w:rPr>
      </w:pPr>
      <w:r>
        <w:rPr>
          <w:rFonts w:ascii="Arial" w:cs="Arial" w:eastAsia="Arial" w:hAnsi="Arial"/>
          <w:sz w:val="16"/>
          <w:szCs w:val="16"/>
          <w:color w:val="auto"/>
        </w:rPr>
        <w:t>We seek to mitigate our interest rate risk associated with holding fixed income investments by monitoring and maintaining the effective duration of our portfolio with a view toward achieving an adequate after-tax return without subjecting the portfolio to an unreasonable level of interest rate risk. The effective duration of the fixed income securities portfolio at March 31, 2018 and December 31, 2017 was 5.1 years and 4.9, respectively. The current duration is within our historical range, and is monitored and managed to maximize yield while managing interest rate risk at an acceptable level.</w:t>
      </w:r>
    </w:p>
    <w:p>
      <w:pPr>
        <w:spacing w:after="0" w:line="167"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We use an interest rate sensitivity analysis to measure the potential loss or gain in future earnings, fair values, or cash flows of market sensitive fixed income securities. The sensitivity analysis hypothetically assumes an instant parallel 200 basis point shift in interest rates up and down in 100 basis point increments from the date of our condensed consolidated financial statements. We use fair values to measure the potential loss. This analysis is not intended to provide a precise forecast of the effect of changes in market interest rates and equity prices on our income or stockholders’ equity. Further, the calculations do not take into account any actions we may take in response to market fluctuations, and do not take into account changes to credit spreads, liquidity spreads, and other risk factors which may also impact the value of the fixed income portfolio.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sensitivity analysis of interest rate risk as of March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March 31, 2018</w:t>
            </w:r>
          </w:p>
        </w:tc>
        <w:tc>
          <w:tcPr>
            <w:tcW w:w="1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5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20" w:type="dxa"/>
            <w:vAlign w:val="bottom"/>
            <w:gridSpan w:val="3"/>
          </w:tcPr>
          <w:p>
            <w:pPr>
              <w:jc w:val="center"/>
              <w:ind w:right="34"/>
              <w:spacing w:after="0"/>
              <w:rPr>
                <w:sz w:val="20"/>
                <w:szCs w:val="20"/>
                <w:color w:val="auto"/>
              </w:rPr>
            </w:pPr>
            <w:r>
              <w:rPr>
                <w:rFonts w:ascii="Arial" w:cs="Arial" w:eastAsia="Arial" w:hAnsi="Arial"/>
                <w:sz w:val="15"/>
                <w:szCs w:val="15"/>
                <w:b w:val="1"/>
                <w:bCs w:val="1"/>
                <w:color w:val="auto"/>
                <w:w w:val="89"/>
              </w:rPr>
              <w:t>Interest Rate Shift in Basis Points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1"/>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-200</w:t>
            </w: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-100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0</w:t>
            </w: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100</w:t>
            </w: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200</w:t>
            </w:r>
          </w:p>
        </w:tc>
        <w:tc>
          <w:tcPr>
            <w:tcW w:w="40" w:type="dxa"/>
            <w:vAlign w:val="bottom"/>
          </w:tcPr>
          <w:p>
            <w:pPr>
              <w:spacing w:after="0"/>
              <w:rPr>
                <w:sz w:val="24"/>
                <w:szCs w:val="24"/>
                <w:color w:val="auto"/>
              </w:rPr>
            </w:pPr>
          </w:p>
        </w:tc>
      </w:tr>
      <w:tr>
        <w:trPr>
          <w:trHeight w:val="243"/>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Held-to-Maturity Securities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Fair value of held-to-maturity securities portfolio</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  5,101,549</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w w:val="93"/>
              </w:rPr>
              <w:t>$  5,081,807</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  5,062,065</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w w:val="99"/>
              </w:rPr>
              <w:t>$  5,042,323</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w w:val="91"/>
              </w:rPr>
              <w:t>$  5,022,581</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change</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39,484</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19,742</w:t>
            </w: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(19,742)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(39,484)</w:t>
            </w:r>
          </w:p>
        </w:tc>
        <w:tc>
          <w:tcPr>
            <w:tcW w:w="40" w:type="dxa"/>
            <w:vAlign w:val="bottom"/>
          </w:tcPr>
          <w:p>
            <w:pPr>
              <w:spacing w:after="0"/>
              <w:rPr>
                <w:sz w:val="18"/>
                <w:szCs w:val="18"/>
                <w:color w:val="auto"/>
              </w:rPr>
            </w:pP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Fair value change from base percentage</w:t>
            </w:r>
          </w:p>
        </w:tc>
        <w:tc>
          <w:tcPr>
            <w:tcW w:w="1220" w:type="dxa"/>
            <w:vAlign w:val="bottom"/>
          </w:tcPr>
          <w:p>
            <w:pPr>
              <w:jc w:val="right"/>
              <w:spacing w:after="0"/>
              <w:rPr>
                <w:sz w:val="20"/>
                <w:szCs w:val="20"/>
                <w:color w:val="auto"/>
              </w:rPr>
            </w:pPr>
            <w:r>
              <w:rPr>
                <w:rFonts w:ascii="Arial" w:cs="Arial" w:eastAsia="Arial" w:hAnsi="Arial"/>
                <w:sz w:val="18"/>
                <w:szCs w:val="18"/>
                <w:color w:val="auto"/>
              </w:rPr>
              <w:t>0.78%</w:t>
            </w:r>
          </w:p>
        </w:tc>
        <w:tc>
          <w:tcPr>
            <w:tcW w:w="1120" w:type="dxa"/>
            <w:vAlign w:val="bottom"/>
          </w:tcPr>
          <w:p>
            <w:pPr>
              <w:jc w:val="right"/>
              <w:spacing w:after="0"/>
              <w:rPr>
                <w:sz w:val="20"/>
                <w:szCs w:val="20"/>
                <w:color w:val="auto"/>
              </w:rPr>
            </w:pPr>
            <w:r>
              <w:rPr>
                <w:rFonts w:ascii="Arial" w:cs="Arial" w:eastAsia="Arial" w:hAnsi="Arial"/>
                <w:sz w:val="18"/>
                <w:szCs w:val="18"/>
                <w:color w:val="auto"/>
              </w:rPr>
              <w:t>0.39%</w:t>
            </w:r>
          </w:p>
        </w:tc>
        <w:tc>
          <w:tcPr>
            <w:tcW w:w="1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-0.39%</w:t>
            </w:r>
          </w:p>
        </w:tc>
        <w:tc>
          <w:tcPr>
            <w:tcW w:w="1060" w:type="dxa"/>
            <w:vAlign w:val="bottom"/>
          </w:tcPr>
          <w:p>
            <w:pPr>
              <w:jc w:val="right"/>
              <w:spacing w:after="0"/>
              <w:rPr>
                <w:sz w:val="20"/>
                <w:szCs w:val="20"/>
                <w:color w:val="auto"/>
              </w:rPr>
            </w:pPr>
            <w:r>
              <w:rPr>
                <w:rFonts w:ascii="Arial" w:cs="Arial" w:eastAsia="Arial" w:hAnsi="Arial"/>
                <w:sz w:val="18"/>
                <w:szCs w:val="18"/>
                <w:color w:val="auto"/>
              </w:rPr>
              <w:t>-0.78%</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of available-for-sale securities portfolio</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141,237,566</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5"/>
              </w:rPr>
              <w:t>135,193,384</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7"/>
              </w:rPr>
              <w:t>129,149,201</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123,105,018</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117,060,836</w:t>
            </w:r>
          </w:p>
        </w:tc>
        <w:tc>
          <w:tcPr>
            <w:tcW w:w="40" w:type="dxa"/>
            <w:vAlign w:val="bottom"/>
          </w:tcPr>
          <w:p>
            <w:pPr>
              <w:spacing w:after="0"/>
              <w:rPr>
                <w:sz w:val="18"/>
                <w:szCs w:val="18"/>
                <w:color w:val="auto"/>
              </w:rPr>
            </w:pPr>
          </w:p>
        </w:tc>
      </w:tr>
      <w:tr>
        <w:trPr>
          <w:trHeight w:val="216"/>
        </w:trPr>
        <w:tc>
          <w:tcPr>
            <w:tcW w:w="5720" w:type="dxa"/>
            <w:vAlign w:val="bottom"/>
          </w:tcPr>
          <w:p>
            <w:pPr>
              <w:ind w:left="60"/>
              <w:spacing w:after="0"/>
              <w:rPr>
                <w:sz w:val="20"/>
                <w:szCs w:val="20"/>
                <w:color w:val="auto"/>
              </w:rPr>
            </w:pPr>
            <w:r>
              <w:rPr>
                <w:rFonts w:ascii="Arial" w:cs="Arial" w:eastAsia="Arial" w:hAnsi="Arial"/>
                <w:sz w:val="18"/>
                <w:szCs w:val="18"/>
                <w:color w:val="auto"/>
              </w:rPr>
              <w:t>Fair value change</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12,088,365</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6,044,183</w:t>
            </w:r>
          </w:p>
        </w:tc>
        <w:tc>
          <w:tcPr>
            <w:tcW w:w="110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(6,044,183)</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(12,088,365)</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change from base percentage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Our most significant credit risk is within our fixed income security portfolio, which had an overall credit quality of “BBB” as of March 31, 2018 and December 31, 2017. Exposure to non-investment grade bonds represented approximately 2.7% and 3.7% of the total fixed income securities portfolio at March 31, 2018 and December 31, 2017 respectively.</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65" w:name="page66"/>
    <w:bookmarkEnd w:id="65"/>
    <w:p>
      <w:pPr>
        <w:ind w:right="300" w:firstLine="648"/>
        <w:spacing w:after="0" w:line="268" w:lineRule="auto"/>
        <w:rPr>
          <w:sz w:val="20"/>
          <w:szCs w:val="20"/>
          <w:color w:val="auto"/>
        </w:rPr>
      </w:pPr>
      <w:r>
        <w:rPr>
          <w:rFonts w:ascii="Arial" w:cs="Arial" w:eastAsia="Arial" w:hAnsi="Arial"/>
          <w:sz w:val="18"/>
          <w:szCs w:val="18"/>
          <w:color w:val="auto"/>
        </w:rPr>
        <w:t>The following table summarizes the fair value, carrying value, net unrealized gain (loss) balances, and weighted average credit qualities of our fixed-maturity securities at March 31, 2018 and December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5"/>
                <w:szCs w:val="15"/>
                <w:b w:val="1"/>
                <w:bCs w:val="1"/>
                <w:color w:val="auto"/>
              </w:rPr>
              <w:t>March 31, 2018</w:t>
            </w:r>
          </w:p>
        </w:tc>
        <w:tc>
          <w:tcPr>
            <w:tcW w:w="120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jc w:val="center"/>
              <w:ind w:right="38"/>
              <w:spacing w:after="0" w:line="149" w:lineRule="exact"/>
              <w:rPr>
                <w:sz w:val="20"/>
                <w:szCs w:val="20"/>
                <w:color w:val="auto"/>
              </w:rPr>
            </w:pPr>
            <w:r>
              <w:rPr>
                <w:rFonts w:ascii="Arial" w:cs="Arial" w:eastAsia="Arial" w:hAnsi="Arial"/>
                <w:sz w:val="15"/>
                <w:szCs w:val="15"/>
                <w:b w:val="1"/>
                <w:bCs w:val="1"/>
                <w:color w:val="auto"/>
                <w:w w:val="88"/>
              </w:rPr>
              <w:t>Weighted</w:t>
            </w:r>
          </w:p>
        </w:tc>
      </w:tr>
      <w:tr>
        <w:trPr>
          <w:trHeight w:val="162"/>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center"/>
              <w:ind w:right="38"/>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96"/>
              <w:spacing w:after="0" w:line="162" w:lineRule="exact"/>
              <w:rPr>
                <w:sz w:val="20"/>
                <w:szCs w:val="20"/>
                <w:color w:val="auto"/>
              </w:rPr>
            </w:pPr>
            <w:r>
              <w:rPr>
                <w:rFonts w:ascii="Arial" w:cs="Arial" w:eastAsia="Arial" w:hAnsi="Arial"/>
                <w:sz w:val="15"/>
                <w:szCs w:val="15"/>
                <w:b w:val="1"/>
                <w:bCs w:val="1"/>
                <w:color w:val="auto"/>
                <w:w w:val="99"/>
              </w:rPr>
              <w:t>Fair Market</w:t>
            </w:r>
          </w:p>
        </w:tc>
        <w:tc>
          <w:tcPr>
            <w:tcW w:w="300" w:type="dxa"/>
            <w:vAlign w:val="bottom"/>
          </w:tcPr>
          <w:p>
            <w:pPr>
              <w:spacing w:after="0"/>
              <w:rPr>
                <w:sz w:val="14"/>
                <w:szCs w:val="14"/>
                <w:color w:val="auto"/>
              </w:rPr>
            </w:pPr>
          </w:p>
        </w:tc>
        <w:tc>
          <w:tcPr>
            <w:tcW w:w="1080" w:type="dxa"/>
            <w:vAlign w:val="bottom"/>
          </w:tcPr>
          <w:p>
            <w:pPr>
              <w:jc w:val="right"/>
              <w:ind w:right="397"/>
              <w:spacing w:after="0" w:line="162" w:lineRule="exact"/>
              <w:rPr>
                <w:sz w:val="20"/>
                <w:szCs w:val="20"/>
                <w:color w:val="auto"/>
              </w:rPr>
            </w:pPr>
            <w:r>
              <w:rPr>
                <w:rFonts w:ascii="Arial" w:cs="Arial" w:eastAsia="Arial" w:hAnsi="Arial"/>
                <w:sz w:val="15"/>
                <w:szCs w:val="15"/>
                <w:b w:val="1"/>
                <w:bCs w:val="1"/>
                <w:color w:val="auto"/>
              </w:rPr>
              <w:t>Carry</w:t>
            </w:r>
          </w:p>
        </w:tc>
        <w:tc>
          <w:tcPr>
            <w:tcW w:w="260" w:type="dxa"/>
            <w:vAlign w:val="bottom"/>
          </w:tcPr>
          <w:p>
            <w:pPr>
              <w:spacing w:after="0"/>
              <w:rPr>
                <w:sz w:val="14"/>
                <w:szCs w:val="14"/>
                <w:color w:val="auto"/>
              </w:rPr>
            </w:pPr>
          </w:p>
        </w:tc>
        <w:tc>
          <w:tcPr>
            <w:tcW w:w="1260" w:type="dxa"/>
            <w:vAlign w:val="bottom"/>
          </w:tcPr>
          <w:p>
            <w:pPr>
              <w:jc w:val="right"/>
              <w:ind w:right="396"/>
              <w:spacing w:after="0" w:line="162" w:lineRule="exact"/>
              <w:rPr>
                <w:sz w:val="20"/>
                <w:szCs w:val="20"/>
                <w:color w:val="auto"/>
              </w:rPr>
            </w:pPr>
            <w:r>
              <w:rPr>
                <w:rFonts w:ascii="Arial" w:cs="Arial" w:eastAsia="Arial" w:hAnsi="Arial"/>
                <w:sz w:val="15"/>
                <w:szCs w:val="15"/>
                <w:b w:val="1"/>
                <w:bCs w:val="1"/>
                <w:color w:val="auto"/>
              </w:rPr>
              <w:t>Unrealized</w:t>
            </w:r>
          </w:p>
        </w:tc>
        <w:tc>
          <w:tcPr>
            <w:tcW w:w="1200" w:type="dxa"/>
            <w:vAlign w:val="bottom"/>
          </w:tcPr>
          <w:p>
            <w:pPr>
              <w:jc w:val="center"/>
              <w:ind w:right="38"/>
              <w:spacing w:after="0" w:line="162" w:lineRule="exact"/>
              <w:rPr>
                <w:sz w:val="20"/>
                <w:szCs w:val="20"/>
                <w:color w:val="auto"/>
              </w:rPr>
            </w:pPr>
            <w:r>
              <w:rPr>
                <w:rFonts w:ascii="Arial" w:cs="Arial" w:eastAsia="Arial" w:hAnsi="Arial"/>
                <w:sz w:val="15"/>
                <w:szCs w:val="15"/>
                <w:b w:val="1"/>
                <w:bCs w:val="1"/>
                <w:color w:val="auto"/>
                <w:w w:val="92"/>
              </w:rPr>
              <w:t>Credit</w:t>
            </w: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Value</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w w:val="94"/>
              </w:rPr>
              <w:t>Gain (Loss)</w:t>
            </w: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4"/>
              </w:rPr>
              <w:t>Quality</w:t>
            </w:r>
          </w:p>
        </w:tc>
      </w:tr>
      <w:tr>
        <w:trPr>
          <w:trHeight w:val="243"/>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2"/>
        </w:trPr>
        <w:tc>
          <w:tcPr>
            <w:tcW w:w="596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7"/>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4,943,730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4,964,012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(20,282)</w:t>
            </w:r>
          </w:p>
        </w:tc>
        <w:tc>
          <w:tcPr>
            <w:tcW w:w="120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rPr>
              <w:t>AAA</w:t>
            </w: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6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6,555,925</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6,591,252</w:t>
            </w:r>
          </w:p>
        </w:tc>
        <w:tc>
          <w:tcPr>
            <w:tcW w:w="260" w:type="dxa"/>
            <w:vAlign w:val="bottom"/>
          </w:tcPr>
          <w:p>
            <w:pPr>
              <w:spacing w:after="0"/>
              <w:rPr>
                <w:sz w:val="18"/>
                <w:szCs w:val="18"/>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(35,327)</w:t>
            </w:r>
          </w:p>
        </w:tc>
        <w:tc>
          <w:tcPr>
            <w:tcW w:w="1200" w:type="dxa"/>
            <w:vAlign w:val="bottom"/>
          </w:tcPr>
          <w:p>
            <w:pPr>
              <w:jc w:val="center"/>
              <w:ind w:right="58"/>
              <w:spacing w:after="0"/>
              <w:rPr>
                <w:sz w:val="20"/>
                <w:szCs w:val="20"/>
                <w:color w:val="auto"/>
              </w:rPr>
            </w:pPr>
            <w:r>
              <w:rPr>
                <w:rFonts w:ascii="Arial" w:cs="Arial" w:eastAsia="Arial" w:hAnsi="Arial"/>
                <w:sz w:val="18"/>
                <w:szCs w:val="18"/>
                <w:color w:val="auto"/>
              </w:rPr>
              <w:t>AA</w:t>
            </w:r>
          </w:p>
        </w:tc>
      </w:tr>
      <w:tr>
        <w:trPr>
          <w:trHeight w:val="216"/>
        </w:trPr>
        <w:tc>
          <w:tcPr>
            <w:tcW w:w="5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95,294,416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96,910,715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(1,616,299)</w:t>
            </w:r>
          </w:p>
        </w:tc>
        <w:tc>
          <w:tcPr>
            <w:tcW w:w="1200" w:type="dxa"/>
            <w:vAlign w:val="bottom"/>
            <w:shd w:val="clear" w:color="auto" w:fill="CCEEFF"/>
          </w:tcPr>
          <w:p>
            <w:pPr>
              <w:jc w:val="center"/>
              <w:ind w:right="38"/>
              <w:spacing w:after="0"/>
              <w:rPr>
                <w:sz w:val="20"/>
                <w:szCs w:val="20"/>
                <w:color w:val="auto"/>
              </w:rPr>
            </w:pPr>
            <w:r>
              <w:rPr>
                <w:rFonts w:ascii="Arial" w:cs="Arial" w:eastAsia="Arial" w:hAnsi="Arial"/>
                <w:sz w:val="18"/>
                <w:szCs w:val="18"/>
                <w:color w:val="auto"/>
                <w:w w:val="99"/>
              </w:rPr>
              <w:t>BBB</w:t>
            </w: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backed securities (1)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22,355,130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22,446,778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(91,648)</w:t>
            </w: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8"/>
                <w:szCs w:val="18"/>
                <w:color w:val="auto"/>
                <w:w w:val="99"/>
              </w:rPr>
              <w:t>A</w:t>
            </w: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3"/>
              </w:rPr>
              <w:t>129,149,201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1"/>
              </w:rPr>
              <w:t>130,912,757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(1,763,556)</w:t>
            </w:r>
          </w:p>
        </w:tc>
        <w:tc>
          <w:tcPr>
            <w:tcW w:w="1200" w:type="dxa"/>
            <w:vAlign w:val="bottom"/>
            <w:tcBorders>
              <w:bottom w:val="single" w:sz="8" w:color="auto"/>
            </w:tcBorders>
            <w:shd w:val="clear" w:color="auto" w:fill="CCEEFF"/>
          </w:tcPr>
          <w:p>
            <w:pPr>
              <w:jc w:val="center"/>
              <w:ind w:right="38"/>
              <w:spacing w:after="0"/>
              <w:rPr>
                <w:sz w:val="20"/>
                <w:szCs w:val="20"/>
                <w:color w:val="auto"/>
              </w:rPr>
            </w:pPr>
            <w:r>
              <w:rPr>
                <w:rFonts w:ascii="Arial" w:cs="Arial" w:eastAsia="Arial" w:hAnsi="Arial"/>
                <w:sz w:val="18"/>
                <w:szCs w:val="18"/>
                <w:color w:val="auto"/>
                <w:w w:val="99"/>
              </w:rPr>
              <w:t>A</w:t>
            </w:r>
          </w:p>
        </w:tc>
      </w:tr>
    </w:tbl>
    <w:p>
      <w:pPr>
        <w:spacing w:after="0" w:line="208" w:lineRule="exact"/>
        <w:rPr>
          <w:sz w:val="20"/>
          <w:szCs w:val="20"/>
          <w:color w:val="auto"/>
        </w:rPr>
      </w:pPr>
    </w:p>
    <w:p>
      <w:pPr>
        <w:jc w:val="both"/>
        <w:ind w:left="340" w:hanging="332"/>
        <w:spacing w:after="0" w:line="298"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relationship with the Federal Home Loan Bank of New York ("FHLBNY") (See Note 7). The eligible collateral would be pledged to FHLBNY if KICO draws an advance from the FHBLNY credit line. As of March 31, 2018, the fair value of the eligible investments was approximately $6,225,000. KICO will retain all rights regarding all securities if pledged as collateral. As of March 31, 2018, there was no outstanding balance on the credit line.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5"/>
                <w:szCs w:val="15"/>
                <w:b w:val="1"/>
                <w:bCs w:val="1"/>
                <w:color w:val="auto"/>
              </w:rPr>
              <w:t>December 31, 2017</w:t>
            </w: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88"/>
              </w:rPr>
              <w:t>Weighted</w:t>
            </w:r>
          </w:p>
        </w:tc>
      </w:tr>
      <w:tr>
        <w:trPr>
          <w:trHeight w:val="162"/>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96"/>
              <w:spacing w:after="0" w:line="162" w:lineRule="exact"/>
              <w:rPr>
                <w:sz w:val="20"/>
                <w:szCs w:val="20"/>
                <w:color w:val="auto"/>
              </w:rPr>
            </w:pPr>
            <w:r>
              <w:rPr>
                <w:rFonts w:ascii="Arial" w:cs="Arial" w:eastAsia="Arial" w:hAnsi="Arial"/>
                <w:sz w:val="15"/>
                <w:szCs w:val="15"/>
                <w:b w:val="1"/>
                <w:bCs w:val="1"/>
                <w:color w:val="auto"/>
                <w:w w:val="99"/>
              </w:rPr>
              <w:t>Fair Market</w:t>
            </w:r>
          </w:p>
        </w:tc>
        <w:tc>
          <w:tcPr>
            <w:tcW w:w="300" w:type="dxa"/>
            <w:vAlign w:val="bottom"/>
          </w:tcPr>
          <w:p>
            <w:pPr>
              <w:spacing w:after="0"/>
              <w:rPr>
                <w:sz w:val="14"/>
                <w:szCs w:val="14"/>
                <w:color w:val="auto"/>
              </w:rPr>
            </w:pPr>
          </w:p>
        </w:tc>
        <w:tc>
          <w:tcPr>
            <w:tcW w:w="1080" w:type="dxa"/>
            <w:vAlign w:val="bottom"/>
          </w:tcPr>
          <w:p>
            <w:pPr>
              <w:jc w:val="right"/>
              <w:ind w:right="397"/>
              <w:spacing w:after="0" w:line="162" w:lineRule="exact"/>
              <w:rPr>
                <w:sz w:val="20"/>
                <w:szCs w:val="20"/>
                <w:color w:val="auto"/>
              </w:rPr>
            </w:pPr>
            <w:r>
              <w:rPr>
                <w:rFonts w:ascii="Arial" w:cs="Arial" w:eastAsia="Arial" w:hAnsi="Arial"/>
                <w:sz w:val="15"/>
                <w:szCs w:val="15"/>
                <w:b w:val="1"/>
                <w:bCs w:val="1"/>
                <w:color w:val="auto"/>
              </w:rPr>
              <w:t>Carry</w:t>
            </w:r>
          </w:p>
        </w:tc>
        <w:tc>
          <w:tcPr>
            <w:tcW w:w="260" w:type="dxa"/>
            <w:vAlign w:val="bottom"/>
          </w:tcPr>
          <w:p>
            <w:pPr>
              <w:spacing w:after="0"/>
              <w:rPr>
                <w:sz w:val="14"/>
                <w:szCs w:val="14"/>
                <w:color w:val="auto"/>
              </w:rPr>
            </w:pPr>
          </w:p>
        </w:tc>
        <w:tc>
          <w:tcPr>
            <w:tcW w:w="1220" w:type="dxa"/>
            <w:vAlign w:val="bottom"/>
          </w:tcPr>
          <w:p>
            <w:pPr>
              <w:jc w:val="right"/>
              <w:ind w:right="356"/>
              <w:spacing w:after="0" w:line="162" w:lineRule="exact"/>
              <w:rPr>
                <w:sz w:val="20"/>
                <w:szCs w:val="20"/>
                <w:color w:val="auto"/>
              </w:rPr>
            </w:pPr>
            <w:r>
              <w:rPr>
                <w:rFonts w:ascii="Arial" w:cs="Arial" w:eastAsia="Arial" w:hAnsi="Arial"/>
                <w:sz w:val="15"/>
                <w:szCs w:val="15"/>
                <w:b w:val="1"/>
                <w:bCs w:val="1"/>
                <w:color w:val="auto"/>
              </w:rPr>
              <w:t>Unrealized</w:t>
            </w: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5"/>
                <w:szCs w:val="15"/>
                <w:b w:val="1"/>
                <w:bCs w:val="1"/>
                <w:color w:val="auto"/>
                <w:w w:val="92"/>
              </w:rPr>
              <w:t>Credit</w:t>
            </w: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Value</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w w:val="94"/>
              </w:rPr>
              <w:t>Gain (Loss)</w:t>
            </w: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4"/>
              </w:rPr>
              <w:t>Quality</w:t>
            </w:r>
          </w:p>
        </w:tc>
      </w:tr>
      <w:tr>
        <w:trPr>
          <w:trHeight w:val="243"/>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596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596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260" w:type="dxa"/>
            <w:vAlign w:val="bottom"/>
          </w:tcPr>
          <w:p>
            <w:pPr>
              <w:spacing w:after="0"/>
              <w:rPr>
                <w:sz w:val="21"/>
                <w:szCs w:val="21"/>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11,315,443</w:t>
            </w:r>
          </w:p>
        </w:tc>
        <w:tc>
          <w:tcPr>
            <w:tcW w:w="3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11,096,122</w:t>
            </w:r>
          </w:p>
        </w:tc>
        <w:tc>
          <w:tcPr>
            <w:tcW w:w="260" w:type="dxa"/>
            <w:vAlign w:val="bottom"/>
          </w:tcPr>
          <w:p>
            <w:pPr>
              <w:spacing w:after="0"/>
              <w:rPr>
                <w:sz w:val="21"/>
                <w:szCs w:val="21"/>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219,321</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r>
      <w:tr>
        <w:trPr>
          <w:trHeight w:val="217"/>
        </w:trPr>
        <w:tc>
          <w:tcPr>
            <w:tcW w:w="5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88,141,465</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87,562,631</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578,834</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BBB</w:t>
            </w: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and other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0"/>
        </w:trPr>
        <w:tc>
          <w:tcPr>
            <w:tcW w:w="5960" w:type="dxa"/>
            <w:vAlign w:val="bottom"/>
          </w:tcPr>
          <w:p>
            <w:pPr>
              <w:ind w:left="220"/>
              <w:spacing w:after="0"/>
              <w:rPr>
                <w:sz w:val="20"/>
                <w:szCs w:val="20"/>
                <w:color w:val="auto"/>
              </w:rPr>
            </w:pPr>
            <w:r>
              <w:rPr>
                <w:rFonts w:ascii="Arial" w:cs="Arial" w:eastAsia="Arial" w:hAnsi="Arial"/>
                <w:sz w:val="18"/>
                <w:szCs w:val="18"/>
                <w:color w:val="auto"/>
              </w:rPr>
              <w:t>backed securities (1)</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20,531,348</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20,463,353</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67,995</w:t>
            </w: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A</w:t>
            </w:r>
          </w:p>
        </w:tc>
      </w:tr>
      <w:tr>
        <w:trPr>
          <w:trHeight w:val="28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3"/>
              </w:rPr>
              <w:t>119,988,256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1"/>
              </w:rPr>
              <w:t>119,122,106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866,150</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8" w:lineRule="exact"/>
        <w:rPr>
          <w:sz w:val="20"/>
          <w:szCs w:val="20"/>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2017, KICO placed certain residential mortgage backed securities as eligible collateral in a designated custodian account related to its relationship with the FHLBNY (see Note 7). The eligible collateral would be pledged to FHLBNY if KICO draws an advance from the FHBLNY credit line. As of December 31, 2017, the fair value of the eligible investments was approximately $6,703,000. KICO will retain all rights regarding all securities if pledged as collateral. As of December 31, 2017, there was no outstanding balance on the credit 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equity securities portfolio is exposed to risk arising from potential volatility in equity market prices. We strive to minimize the exposure to equity price risk by maintaining a well-diversified portfolio and limiting concentrations in any one company or industry. The following table presents the hypothetical increases and decreases in 10% increments in market value of the equity portfolio as of March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5"/>
              </w:rPr>
              <w:t>March 31, 2018</w:t>
            </w:r>
          </w:p>
        </w:tc>
        <w:tc>
          <w:tcPr>
            <w:tcW w:w="1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340" w:type="dxa"/>
            <w:vAlign w:val="bottom"/>
            <w:gridSpan w:val="3"/>
          </w:tcPr>
          <w:p>
            <w:pPr>
              <w:jc w:val="right"/>
              <w:ind w:right="555"/>
              <w:spacing w:after="0"/>
              <w:rPr>
                <w:sz w:val="20"/>
                <w:szCs w:val="20"/>
                <w:color w:val="auto"/>
              </w:rPr>
            </w:pPr>
            <w:r>
              <w:rPr>
                <w:rFonts w:ascii="Arial" w:cs="Arial" w:eastAsia="Arial" w:hAnsi="Arial"/>
                <w:sz w:val="15"/>
                <w:szCs w:val="15"/>
                <w:b w:val="1"/>
                <w:bCs w:val="1"/>
                <w:color w:val="auto"/>
              </w:rPr>
              <w:t>Change in Equity Values in Percent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Category</w:t>
            </w: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(30)%</w:t>
            </w: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w:t>
            </w: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b w:val="1"/>
                <w:bCs w:val="1"/>
                <w:color w:val="auto"/>
              </w:rPr>
              <w:t>(10)%</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0%</w:t>
            </w: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10%</w:t>
            </w: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w:t>
            </w: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30%</w:t>
            </w:r>
          </w:p>
        </w:tc>
      </w:tr>
      <w:tr>
        <w:trPr>
          <w:trHeight w:val="243"/>
        </w:trPr>
        <w:tc>
          <w:tcPr>
            <w:tcW w:w="3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Equity Securities:</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60"/>
              <w:spacing w:after="0"/>
              <w:rPr>
                <w:sz w:val="20"/>
                <w:szCs w:val="20"/>
                <w:color w:val="auto"/>
              </w:rPr>
            </w:pPr>
            <w:r>
              <w:rPr>
                <w:rFonts w:ascii="Arial" w:cs="Arial" w:eastAsia="Arial" w:hAnsi="Arial"/>
                <w:sz w:val="18"/>
                <w:szCs w:val="18"/>
                <w:color w:val="auto"/>
              </w:rPr>
              <w:t>Fair value of preferred stocks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4,979,224</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5,690,542</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6,401,859</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7,113,177</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7,824,495</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8,535,812</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9,247,130</w:t>
            </w:r>
          </w:p>
        </w:tc>
      </w:tr>
      <w:tr>
        <w:trPr>
          <w:trHeight w:val="216"/>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change</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(2,133,953)</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(1,422,635)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(711,318)</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711,318</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1,422,635</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2,133,953</w:t>
            </w:r>
          </w:p>
        </w:tc>
      </w:tr>
      <w:tr>
        <w:trPr>
          <w:trHeight w:val="216"/>
        </w:trPr>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of common stocks and</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exchange traded mutual funds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6,641,116</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7,589,846</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8,538,577</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9,487,308</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10,436,039</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11,384,770</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12,333,500</w:t>
            </w:r>
          </w:p>
        </w:tc>
      </w:tr>
      <w:tr>
        <w:trPr>
          <w:trHeight w:val="216"/>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change</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(2,846,192)</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(1,897,462)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(948,731)</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948,731</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1,897,462</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2,846,192</w:t>
            </w:r>
          </w:p>
        </w:tc>
      </w:tr>
    </w:tbl>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our equity securities, we invest in certain other investments that are also subject to price risk. Our other investments primarily include an alternative investment in a hedge fund limited partnership, which engages in various strategies and diversifies across multiple industries. As of March 31, 2018, other investments represented 1.3% of our total invested assets. These investments are subject to the risks arising from the fact that their valuation is inherently subjective. The general partner of the limited partnership usually reports the change in the value of the interests in the partnership on a quarterly basis. Since this partnership’s underlying investments consist primarily of assets or liabilities for which there are no quoted prices in active markets for the same or similar assets, the valuation of interests in this partnership is subject to a higher level of subjectivity and unobservable inputs than substantially all of our other investments. The general partner is required to determine the partnership value by the price obtainable for the sale of the interest at the time of determination. Valuations based on unobservable inputs are subject to greater scrutiny and reconsideration from one reporting period to the next and, therefore, may be subject to significant fluctuations, which could lead to significant decreases from one reporting period to the next. For additional information regarding this alternative investment, see Note 3. “Investments” in Item 1 “Financial Statements and Supplementary Data.” of this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31" w:lineRule="exact"/>
        <w:rPr>
          <w:sz w:val="20"/>
          <w:szCs w:val="20"/>
          <w:color w:val="auto"/>
        </w:rPr>
      </w:pPr>
    </w:p>
    <w:p>
      <w:pPr>
        <w:jc w:val="center"/>
        <w:ind w:right="97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-10160</wp:posOffset>
            </wp:positionV>
            <wp:extent cx="279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risk factors have not changed materially since they were described in our 2017 Annual Report on Form 10- K filed March 15, 2018 in “Management’s Discussion and Analysis of Financial Condition and Results of Operations – Factors That May Affect Future Results and Financial Condition” in Item 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164"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656"/>
        <w:spacing w:after="0" w:line="268" w:lineRule="auto"/>
        <w:tabs>
          <w:tab w:leader="none" w:pos="8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with respect to purchases of common stock made by us or any “affiliated purchaser” during the quarter ended March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Purchased as</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Total</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Part of Publicly</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Shares that May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300" w:type="dxa"/>
            <w:vAlign w:val="bottom"/>
          </w:tcPr>
          <w:p>
            <w:pPr>
              <w:spacing w:after="0"/>
              <w:rPr>
                <w:sz w:val="14"/>
                <w:szCs w:val="14"/>
                <w:color w:val="auto"/>
              </w:rPr>
            </w:pPr>
          </w:p>
        </w:tc>
        <w:tc>
          <w:tcPr>
            <w:tcW w:w="1080" w:type="dxa"/>
            <w:vAlign w:val="bottom"/>
          </w:tcPr>
          <w:p>
            <w:pPr>
              <w:jc w:val="center"/>
              <w:ind w:right="218"/>
              <w:spacing w:after="0" w:line="162" w:lineRule="exact"/>
              <w:rPr>
                <w:sz w:val="20"/>
                <w:szCs w:val="20"/>
                <w:color w:val="auto"/>
              </w:rPr>
            </w:pPr>
            <w:r>
              <w:rPr>
                <w:rFonts w:ascii="Arial" w:cs="Arial" w:eastAsia="Arial" w:hAnsi="Arial"/>
                <w:sz w:val="15"/>
                <w:szCs w:val="15"/>
                <w:b w:val="1"/>
                <w:bCs w:val="1"/>
                <w:color w:val="auto"/>
                <w:w w:val="84"/>
              </w:rPr>
              <w:t>Average</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Announced</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Be Purchased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Shares</w:t>
            </w:r>
          </w:p>
        </w:tc>
        <w:tc>
          <w:tcPr>
            <w:tcW w:w="300" w:type="dxa"/>
            <w:vAlign w:val="bottom"/>
          </w:tcPr>
          <w:p>
            <w:pPr>
              <w:spacing w:after="0"/>
              <w:rPr>
                <w:sz w:val="14"/>
                <w:szCs w:val="14"/>
                <w:color w:val="auto"/>
              </w:rPr>
            </w:pPr>
          </w:p>
        </w:tc>
        <w:tc>
          <w:tcPr>
            <w:tcW w:w="1080" w:type="dxa"/>
            <w:vAlign w:val="bottom"/>
          </w:tcPr>
          <w:p>
            <w:pPr>
              <w:jc w:val="center"/>
              <w:ind w:right="178"/>
              <w:spacing w:after="0" w:line="162" w:lineRule="exact"/>
              <w:rPr>
                <w:sz w:val="20"/>
                <w:szCs w:val="20"/>
                <w:color w:val="auto"/>
              </w:rPr>
            </w:pPr>
            <w:r>
              <w:rPr>
                <w:rFonts w:ascii="Arial" w:cs="Arial" w:eastAsia="Arial" w:hAnsi="Arial"/>
                <w:sz w:val="15"/>
                <w:szCs w:val="15"/>
                <w:b w:val="1"/>
                <w:bCs w:val="1"/>
                <w:color w:val="auto"/>
                <w:w w:val="90"/>
              </w:rPr>
              <w:t>Price Paid</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Plans or</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Under the Plans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740"/>
              <w:spacing w:after="0"/>
              <w:rPr>
                <w:sz w:val="20"/>
                <w:szCs w:val="20"/>
                <w:color w:val="auto"/>
              </w:rPr>
            </w:pPr>
            <w:r>
              <w:rPr>
                <w:rFonts w:ascii="Arial" w:cs="Arial" w:eastAsia="Arial" w:hAnsi="Arial"/>
                <w:sz w:val="15"/>
                <w:szCs w:val="15"/>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Purchased(1)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5"/>
                <w:szCs w:val="15"/>
                <w:b w:val="1"/>
                <w:bCs w:val="1"/>
                <w:color w:val="auto"/>
                <w:w w:val="89"/>
              </w:rPr>
              <w:t>per Share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Programs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or Programs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1/1/18 – 1/31/18</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2/1/18 – 2/28/18</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3/1/18 – 3/31/18</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60,885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15.51</w:t>
            </w: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60,885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15.51</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Purchases were made by us and “affiliated purchasers” in open market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p>
      <w:pPr>
        <w:ind w:left="420"/>
        <w:spacing w:after="0"/>
        <w:tabs>
          <w:tab w:leader="none" w:pos="1140" w:val="left"/>
        </w:tabs>
        <w:rPr>
          <w:rFonts w:ascii="Arial" w:cs="Arial" w:eastAsia="Arial" w:hAnsi="Arial"/>
          <w:sz w:val="18"/>
          <w:szCs w:val="18"/>
          <w:color w:val="auto"/>
        </w:rPr>
      </w:pPr>
      <w:r>
        <w:rPr>
          <w:rFonts w:ascii="Arial" w:cs="Arial" w:eastAsia="Arial" w:hAnsi="Arial"/>
          <w:sz w:val="18"/>
          <w:szCs w:val="18"/>
          <w:u w:val="single" w:color="auto"/>
          <w:color w:val="0000EE"/>
        </w:rPr>
        <w:t>3(a)</w:t>
      </w:r>
      <w:r>
        <w:rPr>
          <w:sz w:val="20"/>
          <w:szCs w:val="20"/>
          <w:color w:val="auto"/>
        </w:rPr>
        <w:tab/>
      </w:r>
      <w:r>
        <w:rPr>
          <w:rFonts w:ascii="Arial" w:cs="Arial" w:eastAsia="Arial" w:hAnsi="Arial"/>
          <w:sz w:val="18"/>
          <w:szCs w:val="18"/>
          <w:color w:val="auto"/>
        </w:rPr>
        <w:t>Restated Certificate of Incorporation, as amended</w:t>
      </w:r>
      <w:hyperlink w:anchor="page69">
        <w:r>
          <w:rPr>
            <w:rFonts w:ascii="Arial" w:cs="Arial" w:eastAsia="Arial" w:hAnsi="Arial"/>
            <w:sz w:val="12"/>
            <w:szCs w:val="12"/>
            <w:u w:val="single" w:color="auto"/>
            <w:color w:val="0000EE"/>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u w:val="single" w:color="auto"/>
          <w:color w:val="0000EE"/>
        </w:rPr>
        <w:t>3(b)</w:t>
      </w:r>
      <w:r>
        <w:rPr>
          <w:sz w:val="20"/>
          <w:szCs w:val="20"/>
          <w:color w:val="auto"/>
        </w:rPr>
        <w:tab/>
      </w:r>
      <w:r>
        <w:rPr>
          <w:rFonts w:ascii="Arial" w:cs="Arial" w:eastAsia="Arial" w:hAnsi="Arial"/>
          <w:sz w:val="18"/>
          <w:szCs w:val="18"/>
          <w:color w:val="auto"/>
        </w:rPr>
        <w:t>By-laws, as amended</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6"/>
          <w:szCs w:val="16"/>
          <w:u w:val="single" w:color="auto"/>
          <w:color w:val="0000EE"/>
        </w:rPr>
        <w:t>31(a)</w:t>
      </w:r>
      <w:r>
        <w:rPr>
          <w:sz w:val="20"/>
          <w:szCs w:val="20"/>
          <w:color w:val="auto"/>
        </w:rPr>
        <w:tab/>
      </w:r>
      <w:r>
        <w:rPr>
          <w:rFonts w:ascii="Arial" w:cs="Arial" w:eastAsia="Arial" w:hAnsi="Arial"/>
          <w:sz w:val="16"/>
          <w:szCs w:val="16"/>
          <w:color w:val="auto"/>
        </w:rPr>
        <w:t>Rule 13a-14(a)/15d-14(a) Certification of Principal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6"/>
          <w:szCs w:val="16"/>
          <w:u w:val="single" w:color="auto"/>
          <w:color w:val="0000EE"/>
        </w:rPr>
        <w:t>31(b)</w:t>
      </w:r>
      <w:r>
        <w:rPr>
          <w:sz w:val="20"/>
          <w:szCs w:val="20"/>
          <w:color w:val="auto"/>
        </w:rPr>
        <w:tab/>
      </w:r>
      <w:r>
        <w:rPr>
          <w:rFonts w:ascii="Arial" w:cs="Arial" w:eastAsia="Arial" w:hAnsi="Arial"/>
          <w:sz w:val="16"/>
          <w:szCs w:val="16"/>
          <w:color w:val="auto"/>
        </w:rPr>
        <w:t>Rule 13a-14(a)/15d-14(a) Certification of Principal Financial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28" w:lineRule="exact"/>
        <w:rPr>
          <w:sz w:val="20"/>
          <w:szCs w:val="20"/>
          <w:color w:val="auto"/>
        </w:rPr>
      </w:pPr>
    </w:p>
    <w:p>
      <w:pPr>
        <w:ind w:left="1160" w:right="100" w:hanging="625"/>
        <w:spacing w:after="0" w:line="265" w:lineRule="auto"/>
        <w:tabs>
          <w:tab w:leader="none" w:pos="1160" w:val="left"/>
        </w:tabs>
        <w:numPr>
          <w:ilvl w:val="0"/>
          <w:numId w:val="21"/>
        </w:numPr>
        <w:rPr>
          <w:rFonts w:ascii="Arial" w:cs="Arial" w:eastAsia="Arial" w:hAnsi="Arial"/>
          <w:sz w:val="18"/>
          <w:szCs w:val="18"/>
          <w:u w:val="single" w:color="auto"/>
          <w:color w:val="0000EE"/>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 w:type="dxa"/>
            <w:vAlign w:val="bottom"/>
            <w:shd w:val="clear" w:color="auto" w:fill="CCEEFF"/>
          </w:tcPr>
          <w:p>
            <w:pPr>
              <w:spacing w:after="0"/>
              <w:rPr>
                <w:sz w:val="17"/>
                <w:szCs w:val="17"/>
                <w:color w:val="auto"/>
              </w:rPr>
            </w:pPr>
          </w:p>
        </w:tc>
        <w:tc>
          <w:tcPr>
            <w:tcW w:w="10480" w:type="dxa"/>
            <w:vAlign w:val="bottom"/>
            <w:shd w:val="clear" w:color="auto" w:fill="CCEEFF"/>
          </w:tcPr>
          <w:p>
            <w:pPr>
              <w:spacing w:after="0"/>
              <w:rPr>
                <w:sz w:val="17"/>
                <w:szCs w:val="17"/>
                <w:color w:val="auto"/>
              </w:rPr>
            </w:pPr>
          </w:p>
        </w:tc>
      </w:tr>
      <w:tr>
        <w:trPr>
          <w:trHeight w:val="216"/>
        </w:trPr>
        <w:tc>
          <w:tcPr>
            <w:tcW w:w="940" w:type="dxa"/>
            <w:vAlign w:val="bottom"/>
          </w:tcPr>
          <w:p>
            <w:pPr>
              <w:jc w:val="right"/>
              <w:ind w:right="132"/>
              <w:spacing w:after="0"/>
              <w:rPr>
                <w:sz w:val="20"/>
                <w:szCs w:val="20"/>
                <w:color w:val="auto"/>
              </w:rPr>
            </w:pPr>
            <w:r>
              <w:rPr>
                <w:rFonts w:ascii="Arial" w:cs="Arial" w:eastAsia="Arial" w:hAnsi="Arial"/>
                <w:sz w:val="18"/>
                <w:szCs w:val="18"/>
                <w:color w:val="auto"/>
              </w:rPr>
              <w:t>101.INS</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shd w:val="clear" w:color="auto" w:fill="CCEEFF"/>
          </w:tcPr>
          <w:p>
            <w:pPr>
              <w:spacing w:after="0"/>
              <w:rPr>
                <w:sz w:val="18"/>
                <w:szCs w:val="18"/>
                <w:color w:val="auto"/>
              </w:rPr>
            </w:pPr>
          </w:p>
        </w:tc>
        <w:tc>
          <w:tcPr>
            <w:tcW w:w="10480" w:type="dxa"/>
            <w:vAlign w:val="bottom"/>
            <w:shd w:val="clear" w:color="auto" w:fill="CCEEFF"/>
          </w:tcPr>
          <w:p>
            <w:pPr>
              <w:spacing w:after="0"/>
              <w:rPr>
                <w:sz w:val="18"/>
                <w:szCs w:val="18"/>
                <w:color w:val="auto"/>
              </w:rPr>
            </w:pPr>
          </w:p>
        </w:tc>
      </w:tr>
      <w:tr>
        <w:trPr>
          <w:trHeight w:val="216"/>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5"/>
              </w:rPr>
              <w:t>101.SCH</w:t>
            </w:r>
          </w:p>
        </w:tc>
        <w:tc>
          <w:tcPr>
            <w:tcW w:w="10480" w:type="dxa"/>
            <w:vAlign w:val="bottom"/>
          </w:tcPr>
          <w:p>
            <w:pPr>
              <w:ind w:left="22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940" w:type="dxa"/>
            <w:vAlign w:val="bottom"/>
            <w:shd w:val="clear" w:color="auto" w:fill="CCEEFF"/>
          </w:tcPr>
          <w:p>
            <w:pPr>
              <w:spacing w:after="0"/>
              <w:rPr>
                <w:sz w:val="18"/>
                <w:szCs w:val="18"/>
                <w:color w:val="auto"/>
              </w:rPr>
            </w:pPr>
          </w:p>
        </w:tc>
        <w:tc>
          <w:tcPr>
            <w:tcW w:w="10480" w:type="dxa"/>
            <w:vAlign w:val="bottom"/>
            <w:shd w:val="clear" w:color="auto" w:fill="CCEEFF"/>
          </w:tcPr>
          <w:p>
            <w:pPr>
              <w:spacing w:after="0"/>
              <w:rPr>
                <w:sz w:val="18"/>
                <w:szCs w:val="18"/>
                <w:color w:val="auto"/>
              </w:rPr>
            </w:pPr>
          </w:p>
        </w:tc>
      </w:tr>
      <w:tr>
        <w:trPr>
          <w:trHeight w:val="216"/>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9"/>
              </w:rPr>
              <w:t>101.CAL</w:t>
            </w:r>
          </w:p>
        </w:tc>
        <w:tc>
          <w:tcPr>
            <w:tcW w:w="10480" w:type="dxa"/>
            <w:vAlign w:val="bottom"/>
          </w:tcPr>
          <w:p>
            <w:pPr>
              <w:ind w:left="22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940" w:type="dxa"/>
            <w:vAlign w:val="bottom"/>
            <w:shd w:val="clear" w:color="auto" w:fill="CCEEFF"/>
          </w:tcPr>
          <w:p>
            <w:pPr>
              <w:spacing w:after="0"/>
              <w:rPr>
                <w:sz w:val="18"/>
                <w:szCs w:val="18"/>
                <w:color w:val="auto"/>
              </w:rPr>
            </w:pPr>
          </w:p>
        </w:tc>
        <w:tc>
          <w:tcPr>
            <w:tcW w:w="10480" w:type="dxa"/>
            <w:vAlign w:val="bottom"/>
            <w:shd w:val="clear" w:color="auto" w:fill="CCEEFF"/>
          </w:tcPr>
          <w:p>
            <w:pPr>
              <w:spacing w:after="0"/>
              <w:rPr>
                <w:sz w:val="18"/>
                <w:szCs w:val="18"/>
                <w:color w:val="auto"/>
              </w:rPr>
            </w:pPr>
          </w:p>
        </w:tc>
      </w:tr>
      <w:tr>
        <w:trPr>
          <w:trHeight w:val="216"/>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8"/>
              </w:rPr>
              <w:t>101.DEF</w:t>
            </w:r>
          </w:p>
        </w:tc>
        <w:tc>
          <w:tcPr>
            <w:tcW w:w="10480" w:type="dxa"/>
            <w:vAlign w:val="bottom"/>
          </w:tcPr>
          <w:p>
            <w:pPr>
              <w:ind w:left="22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940" w:type="dxa"/>
            <w:vAlign w:val="bottom"/>
            <w:shd w:val="clear" w:color="auto" w:fill="CCEEFF"/>
          </w:tcPr>
          <w:p>
            <w:pPr>
              <w:spacing w:after="0"/>
              <w:rPr>
                <w:sz w:val="18"/>
                <w:szCs w:val="18"/>
                <w:color w:val="auto"/>
              </w:rPr>
            </w:pPr>
          </w:p>
        </w:tc>
        <w:tc>
          <w:tcPr>
            <w:tcW w:w="10480" w:type="dxa"/>
            <w:vAlign w:val="bottom"/>
            <w:shd w:val="clear" w:color="auto" w:fill="CCEEFF"/>
          </w:tcPr>
          <w:p>
            <w:pPr>
              <w:spacing w:after="0"/>
              <w:rPr>
                <w:sz w:val="18"/>
                <w:szCs w:val="18"/>
                <w:color w:val="auto"/>
              </w:rPr>
            </w:pPr>
          </w:p>
        </w:tc>
      </w:tr>
      <w:tr>
        <w:trPr>
          <w:trHeight w:val="216"/>
        </w:trPr>
        <w:tc>
          <w:tcPr>
            <w:tcW w:w="940" w:type="dxa"/>
            <w:vAlign w:val="bottom"/>
          </w:tcPr>
          <w:p>
            <w:pPr>
              <w:jc w:val="right"/>
              <w:ind w:right="132"/>
              <w:spacing w:after="0"/>
              <w:rPr>
                <w:sz w:val="20"/>
                <w:szCs w:val="20"/>
                <w:color w:val="auto"/>
              </w:rPr>
            </w:pPr>
            <w:r>
              <w:rPr>
                <w:rFonts w:ascii="Arial" w:cs="Arial" w:eastAsia="Arial" w:hAnsi="Arial"/>
                <w:sz w:val="18"/>
                <w:szCs w:val="18"/>
                <w:color w:val="auto"/>
              </w:rPr>
              <w:t>101.LAB</w:t>
            </w:r>
          </w:p>
        </w:tc>
        <w:tc>
          <w:tcPr>
            <w:tcW w:w="10480" w:type="dxa"/>
            <w:vAlign w:val="bottom"/>
          </w:tcPr>
          <w:p>
            <w:pPr>
              <w:ind w:left="22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940" w:type="dxa"/>
            <w:vAlign w:val="bottom"/>
            <w:shd w:val="clear" w:color="auto" w:fill="CCEEFF"/>
          </w:tcPr>
          <w:p>
            <w:pPr>
              <w:spacing w:after="0"/>
              <w:rPr>
                <w:sz w:val="18"/>
                <w:szCs w:val="18"/>
                <w:color w:val="auto"/>
              </w:rPr>
            </w:pPr>
          </w:p>
        </w:tc>
        <w:tc>
          <w:tcPr>
            <w:tcW w:w="10480" w:type="dxa"/>
            <w:vAlign w:val="bottom"/>
            <w:shd w:val="clear" w:color="auto" w:fill="CCEEFF"/>
          </w:tcPr>
          <w:p>
            <w:pPr>
              <w:spacing w:after="0"/>
              <w:rPr>
                <w:sz w:val="18"/>
                <w:szCs w:val="18"/>
                <w:color w:val="auto"/>
              </w:rPr>
            </w:pPr>
          </w:p>
        </w:tc>
      </w:tr>
      <w:tr>
        <w:trPr>
          <w:trHeight w:val="222"/>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7"/>
              </w:rPr>
              <w:t>101.PRE</w:t>
            </w:r>
          </w:p>
        </w:tc>
        <w:tc>
          <w:tcPr>
            <w:tcW w:w="10480" w:type="dxa"/>
            <w:vAlign w:val="bottom"/>
          </w:tcPr>
          <w:p>
            <w:pPr>
              <w:ind w:left="22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6"/>
          <w:szCs w:val="16"/>
          <w:color w:val="auto"/>
        </w:rPr>
        <w:t>Denotes document filed as Exhibit 3 (a) to our Quarterly Report on Form 10-Q for the period ended March 31, 2014 and incorporated herein by reference.</w:t>
      </w:r>
    </w:p>
    <w:p>
      <w:pPr>
        <w:spacing w:after="0" w:line="3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2</w:t>
      </w:r>
      <w:r>
        <w:rPr>
          <w:rFonts w:ascii="Arial" w:cs="Arial" w:eastAsia="Arial" w:hAnsi="Arial"/>
          <w:sz w:val="15"/>
          <w:szCs w:val="15"/>
          <w:color w:val="auto"/>
        </w:rPr>
        <w:t>Denotes document filed Exhibit 3.1 to our Current Report on Form 8-K for an event dated November 5, 2009 and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6440" w:type="dxa"/>
            <w:vAlign w:val="bottom"/>
            <w:gridSpan w:val="2"/>
          </w:tcPr>
          <w:p>
            <w:pPr>
              <w:ind w:left="2100"/>
              <w:spacing w:after="0"/>
              <w:rPr>
                <w:sz w:val="20"/>
                <w:szCs w:val="20"/>
                <w:color w:val="auto"/>
              </w:rPr>
            </w:pPr>
            <w:r>
              <w:rPr>
                <w:rFonts w:ascii="Arial" w:cs="Arial" w:eastAsia="Arial" w:hAnsi="Arial"/>
                <w:sz w:val="18"/>
                <w:szCs w:val="18"/>
                <w:b w:val="1"/>
                <w:bCs w:val="1"/>
                <w:color w:val="auto"/>
              </w:rPr>
              <w:t>KINGSTONE COMPANIES, INC.</w:t>
            </w:r>
          </w:p>
        </w:tc>
      </w:tr>
      <w:tr>
        <w:trPr>
          <w:trHeight w:val="468"/>
        </w:trPr>
        <w:tc>
          <w:tcPr>
            <w:tcW w:w="3620" w:type="dxa"/>
            <w:vAlign w:val="bottom"/>
          </w:tcPr>
          <w:p>
            <w:pPr>
              <w:spacing w:after="0"/>
              <w:rPr>
                <w:sz w:val="20"/>
                <w:szCs w:val="20"/>
                <w:color w:val="auto"/>
              </w:rPr>
            </w:pPr>
            <w:r>
              <w:rPr>
                <w:rFonts w:ascii="Arial" w:cs="Arial" w:eastAsia="Arial" w:hAnsi="Arial"/>
                <w:sz w:val="18"/>
                <w:szCs w:val="18"/>
                <w:color w:val="auto"/>
              </w:rPr>
              <w:t>Dated: May 10, 2018</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Barry B. Goldstein</w:t>
            </w:r>
          </w:p>
        </w:tc>
      </w:tr>
      <w:tr>
        <w:trPr>
          <w:trHeight w:val="208"/>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684"/>
        </w:trPr>
        <w:tc>
          <w:tcPr>
            <w:tcW w:w="3620" w:type="dxa"/>
            <w:vAlign w:val="bottom"/>
          </w:tcPr>
          <w:p>
            <w:pPr>
              <w:spacing w:after="0"/>
              <w:rPr>
                <w:sz w:val="20"/>
                <w:szCs w:val="20"/>
                <w:color w:val="auto"/>
              </w:rPr>
            </w:pPr>
            <w:r>
              <w:rPr>
                <w:rFonts w:ascii="Arial" w:cs="Arial" w:eastAsia="Arial" w:hAnsi="Arial"/>
                <w:sz w:val="18"/>
                <w:szCs w:val="18"/>
                <w:color w:val="auto"/>
              </w:rPr>
              <w:t>Dated: May 10, 2018</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Victor Brodsky</w:t>
            </w:r>
          </w:p>
        </w:tc>
      </w:tr>
      <w:tr>
        <w:trPr>
          <w:trHeight w:val="208"/>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225" w:lineRule="exact"/>
        <w:rPr>
          <w:rFonts w:ascii="Arial" w:cs="Arial" w:eastAsia="Arial" w:hAnsi="Arial"/>
          <w:sz w:val="18"/>
          <w:szCs w:val="18"/>
          <w:color w:val="auto"/>
        </w:rPr>
      </w:pPr>
    </w:p>
    <w:p>
      <w:pPr>
        <w:jc w:val="both"/>
        <w:ind w:left="660" w:hanging="652"/>
        <w:spacing w:after="0" w:line="370"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hanging="652"/>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39"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right="20" w:hanging="644"/>
        <w:spacing w:after="0" w:line="370" w:lineRule="auto"/>
        <w:tabs>
          <w:tab w:leader="none" w:pos="13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300" w:hanging="644"/>
        <w:spacing w:after="0" w:line="306"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0"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342" w:lineRule="exact"/>
        <w:rPr>
          <w:rFonts w:ascii="Arial" w:cs="Arial" w:eastAsia="Arial" w:hAnsi="Arial"/>
          <w:sz w:val="18"/>
          <w:szCs w:val="18"/>
          <w:color w:val="auto"/>
        </w:rPr>
      </w:pPr>
    </w:p>
    <w:p>
      <w:pPr>
        <w:ind w:left="1300" w:hanging="644"/>
        <w:spacing w:after="0" w:line="33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9" w:lineRule="exact"/>
        <w:rPr>
          <w:rFonts w:ascii="Arial" w:cs="Arial" w:eastAsia="Arial" w:hAnsi="Arial"/>
          <w:sz w:val="16"/>
          <w:szCs w:val="16"/>
          <w:color w:val="auto"/>
        </w:rPr>
      </w:pPr>
    </w:p>
    <w:p>
      <w:pPr>
        <w:ind w:left="1300" w:right="20" w:hanging="644"/>
        <w:spacing w:after="0" w:line="268"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27940</wp:posOffset>
            </wp:positionV>
            <wp:extent cx="36188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B. Goldstein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Victor Brodsky,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225" w:lineRule="exact"/>
        <w:rPr>
          <w:rFonts w:ascii="Arial" w:cs="Arial" w:eastAsia="Arial" w:hAnsi="Arial"/>
          <w:sz w:val="18"/>
          <w:szCs w:val="18"/>
          <w:color w:val="auto"/>
        </w:rPr>
      </w:pPr>
    </w:p>
    <w:p>
      <w:pPr>
        <w:jc w:val="both"/>
        <w:ind w:left="660" w:hanging="652"/>
        <w:spacing w:after="0" w:line="370"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hanging="652"/>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39"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right="20" w:hanging="644"/>
        <w:spacing w:after="0" w:line="370" w:lineRule="auto"/>
        <w:tabs>
          <w:tab w:leader="none" w:pos="13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300" w:hanging="644"/>
        <w:spacing w:after="0" w:line="306"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0"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94" w:lineRule="exact"/>
        <w:rPr>
          <w:rFonts w:ascii="Arial" w:cs="Arial" w:eastAsia="Arial" w:hAnsi="Arial"/>
          <w:sz w:val="18"/>
          <w:szCs w:val="18"/>
          <w:color w:val="auto"/>
        </w:rPr>
      </w:pPr>
    </w:p>
    <w:p>
      <w:pPr>
        <w:ind w:left="1300" w:hanging="644"/>
        <w:spacing w:after="0" w:line="33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9" w:lineRule="exact"/>
        <w:rPr>
          <w:rFonts w:ascii="Arial" w:cs="Arial" w:eastAsia="Arial" w:hAnsi="Arial"/>
          <w:sz w:val="16"/>
          <w:szCs w:val="16"/>
          <w:color w:val="auto"/>
        </w:rPr>
      </w:pPr>
    </w:p>
    <w:p>
      <w:pPr>
        <w:ind w:left="1300" w:right="20" w:hanging="644"/>
        <w:spacing w:after="0" w:line="268"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27940</wp:posOffset>
            </wp:positionV>
            <wp:extent cx="36188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Brodsky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2018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20"/>
                <w:szCs w:val="20"/>
                <w:color w:val="auto"/>
              </w:rPr>
            </w:pPr>
            <w:r>
              <w:rPr>
                <w:rFonts w:ascii="Arial" w:cs="Arial" w:eastAsia="Arial" w:hAnsi="Arial"/>
                <w:sz w:val="18"/>
                <w:szCs w:val="18"/>
                <w:color w:val="auto"/>
              </w:rPr>
              <w:t>Date: May 10, 2018</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Barry B. Goldstein</w:t>
            </w:r>
          </w:p>
        </w:tc>
        <w:tc>
          <w:tcPr>
            <w:tcW w:w="3740" w:type="dxa"/>
            <w:vAlign w:val="bottom"/>
          </w:tcPr>
          <w:p>
            <w:pPr>
              <w:spacing w:after="0"/>
              <w:rPr>
                <w:sz w:val="17"/>
                <w:szCs w:val="17"/>
                <w:color w:val="auto"/>
              </w:rPr>
            </w:pPr>
          </w:p>
        </w:tc>
      </w:tr>
      <w:tr>
        <w:trPr>
          <w:trHeight w:val="228"/>
        </w:trPr>
        <w:tc>
          <w:tcPr>
            <w:tcW w:w="5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5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4"/>
        </w:trPr>
        <w:tc>
          <w:tcPr>
            <w:tcW w:w="592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Brodsky</w:t>
            </w:r>
          </w:p>
        </w:tc>
        <w:tc>
          <w:tcPr>
            <w:tcW w:w="3820" w:type="dxa"/>
            <w:vAlign w:val="bottom"/>
            <w:gridSpan w:val="2"/>
          </w:tcPr>
          <w:p>
            <w:pPr>
              <w:spacing w:after="0"/>
              <w:rPr>
                <w:sz w:val="24"/>
                <w:szCs w:val="24"/>
                <w:color w:val="auto"/>
              </w:rPr>
            </w:pPr>
          </w:p>
        </w:tc>
      </w:tr>
      <w:tr>
        <w:trPr>
          <w:trHeight w:val="228"/>
        </w:trPr>
        <w:tc>
          <w:tcPr>
            <w:tcW w:w="5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5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1082"/>
        </w:trPr>
        <w:tc>
          <w:tcPr>
            <w:tcW w:w="59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upperLetter"/>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lvl w:ilvl="1">
      <w:lvlJc w:val="left"/>
      <w:lvlText w:val="(%2)"/>
      <w:numFmt w:val="decimal"/>
      <w:start w:val="2"/>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2020-01-15T10:41:00Z</dcterms:created>
  <dcterms:modified xsi:type="dcterms:W3CDTF">2020-01-15T10:41:00Z</dcterms:modified>
</cp:coreProperties>
</file>